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60DB" w14:textId="01D7CB9B" w:rsidR="00AB6E59" w:rsidRPr="00944E99" w:rsidRDefault="00CB60DF" w:rsidP="00944E99">
      <w:pPr>
        <w:pStyle w:val="Heading1"/>
        <w:rPr>
          <w:b/>
          <w:sz w:val="16"/>
          <w:szCs w:val="16"/>
        </w:rPr>
      </w:pPr>
      <w:bookmarkStart w:id="0" w:name="ChapterNumber"/>
      <w:r w:rsidRPr="00944E99">
        <w:rPr>
          <w:noProof/>
          <w:color w:val="FFFFFF" w:themeColor="background1"/>
          <w:sz w:val="16"/>
          <w:szCs w:val="16"/>
        </w:rPr>
        <w:drawing>
          <wp:anchor distT="0" distB="0" distL="114300" distR="114300" simplePos="0" relativeHeight="251659274" behindDoc="0" locked="0" layoutInCell="1" allowOverlap="1" wp14:anchorId="18B53DCC" wp14:editId="1CFA2C73">
            <wp:simplePos x="0" y="0"/>
            <wp:positionH relativeFrom="page">
              <wp:align>center</wp:align>
            </wp:positionH>
            <wp:positionV relativeFrom="page">
              <wp:align>center</wp:align>
            </wp:positionV>
            <wp:extent cx="7632000" cy="10792773"/>
            <wp:effectExtent l="0" t="0" r="7620" b="8890"/>
            <wp:wrapNone/>
            <wp:docPr id="9" name="Picture 9" descr="Publication Cover:&#10;PC Productivity Bulletin |  May 2019&#10;Features: Recent productivity trends; The mining boom and investment cycle; Labour productivity and wages; International 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 bulletin cover 2019.png"/>
                    <pic:cNvPicPr/>
                  </pic:nvPicPr>
                  <pic:blipFill>
                    <a:blip r:embed="rId8">
                      <a:extLst>
                        <a:ext uri="{28A0092B-C50C-407E-A947-70E740481C1C}">
                          <a14:useLocalDpi xmlns:a14="http://schemas.microsoft.com/office/drawing/2010/main" val="0"/>
                        </a:ext>
                      </a:extLst>
                    </a:blip>
                    <a:stretch>
                      <a:fillRect/>
                    </a:stretch>
                  </pic:blipFill>
                  <pic:spPr>
                    <a:xfrm>
                      <a:off x="0" y="0"/>
                      <a:ext cx="7632000" cy="10792773"/>
                    </a:xfrm>
                    <a:prstGeom prst="rect">
                      <a:avLst/>
                    </a:prstGeom>
                  </pic:spPr>
                </pic:pic>
              </a:graphicData>
            </a:graphic>
            <wp14:sizeRelH relativeFrom="margin">
              <wp14:pctWidth>0</wp14:pctWidth>
            </wp14:sizeRelH>
            <wp14:sizeRelV relativeFrom="margin">
              <wp14:pctHeight>0</wp14:pctHeight>
            </wp14:sizeRelV>
          </wp:anchor>
        </w:drawing>
      </w:r>
      <w:r w:rsidR="00944E99" w:rsidRPr="00944E99">
        <w:rPr>
          <w:color w:val="FFFFFF" w:themeColor="background1"/>
          <w:sz w:val="16"/>
          <w:szCs w:val="16"/>
        </w:rPr>
        <w:t>PC Productivity Bulletin, May 2019</w:t>
      </w:r>
      <w:r w:rsidR="00AB6E59" w:rsidRPr="00944E99">
        <w:rPr>
          <w:sz w:val="16"/>
          <w:szCs w:val="16"/>
        </w:rPr>
        <w:br w:type="page"/>
      </w:r>
    </w:p>
    <w:p w14:paraId="38C0B9DB" w14:textId="77777777" w:rsidR="00AB6E59" w:rsidRDefault="00AB6E59" w:rsidP="00AB6E59">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rsidR="003A141B">
        <w:t>2019</w:t>
      </w:r>
    </w:p>
    <w:p w14:paraId="54A6C99E" w14:textId="051B88A1" w:rsidR="00AB6E59" w:rsidRPr="007809B8" w:rsidRDefault="00AB6E59" w:rsidP="00AB6E59">
      <w:pPr>
        <w:pStyle w:val="BodyText"/>
        <w:tabs>
          <w:tab w:val="left" w:pos="851"/>
        </w:tabs>
        <w:spacing w:before="200" w:after="120"/>
        <w:jc w:val="left"/>
        <w:rPr>
          <w:b/>
        </w:rPr>
      </w:pPr>
      <w:bookmarkStart w:id="1" w:name="ISSN"/>
      <w:bookmarkEnd w:id="1"/>
      <w:r>
        <w:rPr>
          <w:b/>
        </w:rPr>
        <w:t>IS</w:t>
      </w:r>
      <w:r w:rsidR="00E072C9">
        <w:rPr>
          <w:b/>
        </w:rPr>
        <w:t>S</w:t>
      </w:r>
      <w:r>
        <w:rPr>
          <w:b/>
        </w:rPr>
        <w:t>N</w:t>
      </w:r>
      <w:r>
        <w:rPr>
          <w:b/>
        </w:rPr>
        <w:tab/>
      </w:r>
      <w:r w:rsidR="00E73B57" w:rsidRPr="00E73B57">
        <w:rPr>
          <w:b/>
        </w:rPr>
        <w:t>2652</w:t>
      </w:r>
      <w:r w:rsidR="001C4B06" w:rsidRPr="001C4B06">
        <w:rPr>
          <w:b/>
        </w:rPr>
        <w:t>-</w:t>
      </w:r>
      <w:r w:rsidR="00E73B57">
        <w:rPr>
          <w:b/>
        </w:rPr>
        <w:t>1407</w:t>
      </w:r>
      <w:r w:rsidR="001C4B06" w:rsidRPr="001C4B06">
        <w:rPr>
          <w:b/>
        </w:rPr>
        <w:t xml:space="preserve"> </w:t>
      </w:r>
      <w:r w:rsidR="001C4B06">
        <w:rPr>
          <w:b/>
        </w:rPr>
        <w:t>(online)</w:t>
      </w:r>
    </w:p>
    <w:p w14:paraId="1D91A20B" w14:textId="77777777" w:rsidR="00AB6E59" w:rsidRDefault="00AB6E59" w:rsidP="00AB6E59">
      <w:pPr>
        <w:pStyle w:val="BodyText"/>
        <w:spacing w:after="120"/>
      </w:pPr>
      <w:r w:rsidRPr="00862D8F">
        <w:rPr>
          <w:noProof/>
          <w:sz w:val="22"/>
          <w:szCs w:val="22"/>
        </w:rPr>
        <w:drawing>
          <wp:inline distT="0" distB="0" distL="0" distR="0" wp14:anchorId="1D32E4E2" wp14:editId="44836F05">
            <wp:extent cx="843280" cy="295043"/>
            <wp:effectExtent l="0" t="0" r="0" b="0"/>
            <wp:docPr id="51" name="Picture 5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77024C32" w14:textId="77777777" w:rsidR="00AB6E59" w:rsidRPr="00E73B57" w:rsidRDefault="00AB6E59" w:rsidP="00AB6E59">
      <w:pPr>
        <w:pStyle w:val="Copyrightbodytext"/>
        <w:rPr>
          <w:sz w:val="20"/>
        </w:rPr>
      </w:pPr>
      <w:r w:rsidRPr="00E73B57">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E73B57">
            <w:rPr>
              <w:sz w:val="20"/>
            </w:rPr>
            <w:t>http://creativecommons.org/licenses/by/3.0/au</w:t>
          </w:r>
        </w:hyperlink>
      </w:hyperlink>
      <w:r w:rsidRPr="00E73B57">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2E320FF4" w14:textId="77777777" w:rsidR="00AB6E59" w:rsidRPr="008A3857" w:rsidRDefault="00AB6E59" w:rsidP="00AB6E59">
      <w:pPr>
        <w:pStyle w:val="Copyrightsubtitle"/>
      </w:pPr>
      <w:r w:rsidRPr="008A3857">
        <w:t>Use of the Commonwealth Coat of Arms</w:t>
      </w:r>
    </w:p>
    <w:p w14:paraId="519ACBCC" w14:textId="12332F47" w:rsidR="00AB6E59" w:rsidRPr="00BA6C5C" w:rsidRDefault="00AB6E59" w:rsidP="00AB6E59">
      <w:pPr>
        <w:pStyle w:val="Copyrightbodytext"/>
        <w:rPr>
          <w:sz w:val="20"/>
        </w:rPr>
      </w:pPr>
      <w:r w:rsidRPr="00E73B57">
        <w:rPr>
          <w:sz w:val="20"/>
        </w:rPr>
        <w:t xml:space="preserve">Terms of use for the Coat of Arms are available from </w:t>
      </w:r>
      <w:r w:rsidRPr="00BA6C5C">
        <w:rPr>
          <w:sz w:val="20"/>
        </w:rPr>
        <w:t xml:space="preserve">the </w:t>
      </w:r>
      <w:r w:rsidRPr="00FE10AB">
        <w:rPr>
          <w:sz w:val="20"/>
        </w:rPr>
        <w:t xml:space="preserve">Department of the Prime Minister and Cabinet’s </w:t>
      </w:r>
      <w:r w:rsidR="00BA6C5C" w:rsidRPr="00BA6C5C">
        <w:rPr>
          <w:sz w:val="20"/>
        </w:rPr>
        <w:t>website:</w:t>
      </w:r>
      <w:r w:rsidR="00BA6C5C" w:rsidRPr="00BA6C5C">
        <w:rPr>
          <w:spacing w:val="-6"/>
          <w:sz w:val="20"/>
        </w:rPr>
        <w:t xml:space="preserve"> </w:t>
      </w:r>
      <w:hyperlink r:id="rId12" w:tooltip="Guidelines for Commonwealth Coat of Arms" w:history="1">
        <w:r w:rsidR="00BA6C5C" w:rsidRPr="00FE10AB">
          <w:rPr>
            <w:sz w:val="20"/>
          </w:rPr>
          <w:t>https://</w:t>
        </w:r>
        <w:proofErr w:type="spellStart"/>
        <w:r w:rsidR="00BA6C5C" w:rsidRPr="00FE10AB">
          <w:rPr>
            <w:sz w:val="20"/>
          </w:rPr>
          <w:t>www.pmc.gov.au</w:t>
        </w:r>
        <w:proofErr w:type="spellEnd"/>
        <w:r w:rsidR="00BA6C5C" w:rsidRPr="00FE10AB">
          <w:rPr>
            <w:sz w:val="20"/>
          </w:rPr>
          <w:t>/government/commonwealth-coat-arms</w:t>
        </w:r>
      </w:hyperlink>
      <w:r w:rsidR="00BA6C5C" w:rsidRPr="00BA6C5C">
        <w:rPr>
          <w:sz w:val="20"/>
        </w:rPr>
        <w:t>.</w:t>
      </w:r>
    </w:p>
    <w:p w14:paraId="3A8927E1" w14:textId="77777777" w:rsidR="00AB6E59" w:rsidRPr="008A3857" w:rsidRDefault="00AB6E59" w:rsidP="00AB6E59">
      <w:pPr>
        <w:pStyle w:val="Copyrightsubtitle"/>
      </w:pPr>
      <w:r w:rsidRPr="008A3857">
        <w:t>Third party copyright</w:t>
      </w:r>
      <w:bookmarkStart w:id="2" w:name="_GoBack"/>
      <w:bookmarkEnd w:id="2"/>
    </w:p>
    <w:p w14:paraId="3ACBA341" w14:textId="77777777" w:rsidR="00AB6E59" w:rsidRPr="00E73B57" w:rsidRDefault="00AB6E59" w:rsidP="00AB6E59">
      <w:pPr>
        <w:pStyle w:val="Copyrightbodytext"/>
        <w:rPr>
          <w:sz w:val="20"/>
        </w:rPr>
      </w:pPr>
      <w:r w:rsidRPr="00E73B57">
        <w:rPr>
          <w:sz w:val="20"/>
        </w:rPr>
        <w:t>Wherever a third party holds copyright in this material, the copyright remains with that party. Their permission may be required to use the material, please contact them directly.</w:t>
      </w:r>
    </w:p>
    <w:p w14:paraId="3142B727" w14:textId="77777777" w:rsidR="00AB6E59" w:rsidRPr="008A3857" w:rsidRDefault="00AB6E59" w:rsidP="00AB6E59">
      <w:pPr>
        <w:pStyle w:val="Copyrightsubtitle"/>
      </w:pPr>
      <w:r w:rsidRPr="008A3857">
        <w:t>Attribution</w:t>
      </w:r>
    </w:p>
    <w:p w14:paraId="67791208" w14:textId="24F996F0" w:rsidR="00AB6E59" w:rsidRPr="00E73B57" w:rsidRDefault="00AB6E59" w:rsidP="00AB6E59">
      <w:pPr>
        <w:pStyle w:val="Copyrightbodytext"/>
        <w:rPr>
          <w:spacing w:val="-2"/>
          <w:sz w:val="20"/>
        </w:rPr>
      </w:pPr>
      <w:r w:rsidRPr="00E73B57">
        <w:rPr>
          <w:spacing w:val="-2"/>
          <w:sz w:val="20"/>
        </w:rPr>
        <w:t xml:space="preserve">This work should be attributed as follows, </w:t>
      </w:r>
      <w:r w:rsidRPr="00E73B57">
        <w:rPr>
          <w:i/>
          <w:spacing w:val="-2"/>
          <w:sz w:val="20"/>
        </w:rPr>
        <w:t xml:space="preserve">Source: </w:t>
      </w:r>
      <w:r w:rsidR="003A141B" w:rsidRPr="00E73B57">
        <w:rPr>
          <w:i/>
          <w:spacing w:val="-2"/>
          <w:sz w:val="20"/>
        </w:rPr>
        <w:t xml:space="preserve">Productivity Commission, </w:t>
      </w:r>
      <w:r w:rsidR="001149C8" w:rsidRPr="00E73B57">
        <w:rPr>
          <w:i/>
          <w:spacing w:val="-2"/>
          <w:sz w:val="20"/>
        </w:rPr>
        <w:t>PC </w:t>
      </w:r>
      <w:r w:rsidR="002D2339" w:rsidRPr="00E73B57">
        <w:rPr>
          <w:i/>
          <w:spacing w:val="-2"/>
          <w:sz w:val="20"/>
        </w:rPr>
        <w:t>Productivity Bulletin</w:t>
      </w:r>
      <w:r w:rsidR="00E73B57" w:rsidRPr="00E73B57">
        <w:rPr>
          <w:i/>
          <w:spacing w:val="-2"/>
          <w:sz w:val="20"/>
        </w:rPr>
        <w:t>, May 2019</w:t>
      </w:r>
      <w:r w:rsidRPr="00E73B57">
        <w:rPr>
          <w:spacing w:val="-2"/>
          <w:sz w:val="20"/>
        </w:rPr>
        <w:t>.</w:t>
      </w:r>
    </w:p>
    <w:p w14:paraId="2AB5A5F5" w14:textId="16204D62" w:rsidR="00AB6E59" w:rsidRPr="00E73B57" w:rsidRDefault="00AB6E59" w:rsidP="00AB6E59">
      <w:pPr>
        <w:pStyle w:val="Copyrightbodytext"/>
        <w:spacing w:before="120"/>
        <w:rPr>
          <w:sz w:val="20"/>
        </w:rPr>
      </w:pPr>
      <w:r w:rsidRPr="00E73B57">
        <w:rPr>
          <w:sz w:val="20"/>
        </w:rPr>
        <w:t xml:space="preserve">If you have adapted, modified or transformed this work in anyway, please use the following, </w:t>
      </w:r>
      <w:r w:rsidRPr="00E73B57">
        <w:rPr>
          <w:i/>
          <w:sz w:val="20"/>
        </w:rPr>
        <w:t xml:space="preserve">Source: based on Productivity Commission data, </w:t>
      </w:r>
      <w:r w:rsidR="001149C8" w:rsidRPr="00E73B57">
        <w:rPr>
          <w:i/>
          <w:sz w:val="20"/>
        </w:rPr>
        <w:t xml:space="preserve">PC </w:t>
      </w:r>
      <w:r w:rsidR="00925EEC" w:rsidRPr="00E73B57">
        <w:rPr>
          <w:i/>
          <w:sz w:val="20"/>
        </w:rPr>
        <w:t>Productivity Bulletin</w:t>
      </w:r>
      <w:r w:rsidR="00E73B57">
        <w:rPr>
          <w:i/>
          <w:sz w:val="20"/>
        </w:rPr>
        <w:t>, May</w:t>
      </w:r>
      <w:r w:rsidR="00925EEC" w:rsidRPr="00E73B57" w:rsidDel="00925EEC">
        <w:rPr>
          <w:i/>
          <w:sz w:val="20"/>
        </w:rPr>
        <w:t xml:space="preserve"> </w:t>
      </w:r>
      <w:r w:rsidR="00925EEC" w:rsidRPr="00E73B57">
        <w:rPr>
          <w:i/>
          <w:sz w:val="20"/>
        </w:rPr>
        <w:t>2019</w:t>
      </w:r>
      <w:r w:rsidRPr="00E73B57">
        <w:rPr>
          <w:sz w:val="20"/>
        </w:rPr>
        <w:t>.</w:t>
      </w:r>
    </w:p>
    <w:p w14:paraId="15AC74CF" w14:textId="77777777" w:rsidR="00AB6E59" w:rsidRPr="008A3857" w:rsidRDefault="00AB6E59" w:rsidP="00AB6E59">
      <w:pPr>
        <w:pStyle w:val="Copyrightsubtitle"/>
      </w:pPr>
      <w:r w:rsidRPr="008A3857">
        <w:t xml:space="preserve">An appropriate </w:t>
      </w:r>
      <w:r>
        <w:t>reference</w:t>
      </w:r>
      <w:r w:rsidRPr="008A3857">
        <w:t xml:space="preserve"> for this publication is:</w:t>
      </w:r>
    </w:p>
    <w:p w14:paraId="1409E3A5" w14:textId="6E872D5D" w:rsidR="00AB6E59" w:rsidRPr="00E73B57" w:rsidRDefault="002C1DD9" w:rsidP="00AB6E59">
      <w:pPr>
        <w:pStyle w:val="Copyrightbodytext"/>
        <w:rPr>
          <w:sz w:val="20"/>
        </w:rPr>
      </w:pPr>
      <w:r w:rsidRPr="00E73B57">
        <w:rPr>
          <w:sz w:val="20"/>
        </w:rPr>
        <w:t xml:space="preserve">Productivity Commission 2019, </w:t>
      </w:r>
      <w:r w:rsidRPr="00E73B57">
        <w:rPr>
          <w:i/>
          <w:sz w:val="20"/>
        </w:rPr>
        <w:t xml:space="preserve">PC Productivity </w:t>
      </w:r>
      <w:r w:rsidR="00B73A1C" w:rsidRPr="00E73B57">
        <w:rPr>
          <w:i/>
          <w:sz w:val="20"/>
        </w:rPr>
        <w:t>Bulletin</w:t>
      </w:r>
      <w:r w:rsidRPr="00E73B57">
        <w:rPr>
          <w:sz w:val="20"/>
        </w:rPr>
        <w:t xml:space="preserve">, </w:t>
      </w:r>
      <w:r w:rsidR="00E73B57">
        <w:rPr>
          <w:sz w:val="20"/>
        </w:rPr>
        <w:t>May</w:t>
      </w:r>
      <w:r w:rsidRPr="00E73B57">
        <w:rPr>
          <w:sz w:val="20"/>
        </w:rPr>
        <w:t>.</w:t>
      </w:r>
    </w:p>
    <w:p w14:paraId="5A6EFE7E" w14:textId="77777777" w:rsidR="00AB6E59" w:rsidRPr="008A3857" w:rsidRDefault="00AB6E59" w:rsidP="00AB6E59">
      <w:pPr>
        <w:pStyle w:val="Copyrightsubtitle"/>
      </w:pPr>
      <w:bookmarkStart w:id="3" w:name="JEL"/>
      <w:bookmarkEnd w:id="3"/>
      <w:r w:rsidRPr="008A3857">
        <w:t>Publications enquiries</w:t>
      </w:r>
    </w:p>
    <w:p w14:paraId="6F260189" w14:textId="77777777" w:rsidR="00AB6E59" w:rsidRPr="00E73B57" w:rsidRDefault="00AB6E59" w:rsidP="00AB6E59">
      <w:pPr>
        <w:pStyle w:val="Copyrightbodytext"/>
        <w:rPr>
          <w:sz w:val="20"/>
        </w:rPr>
      </w:pPr>
      <w:r w:rsidRPr="00E73B57">
        <w:rPr>
          <w:sz w:val="20"/>
        </w:rPr>
        <w:t>Media, Publications and Web, phone: (03) 9653 2244 or email: mpw@pc.gov.au</w:t>
      </w:r>
    </w:p>
    <w:p w14:paraId="2015D5D7" w14:textId="77777777" w:rsidR="00AB6E59" w:rsidRDefault="00AB6E59" w:rsidP="00AB6E5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B6E59" w14:paraId="604B7B55" w14:textId="77777777" w:rsidTr="001C1537">
        <w:trPr>
          <w:tblHeader/>
        </w:trPr>
        <w:tc>
          <w:tcPr>
            <w:tcW w:w="5000" w:type="pct"/>
            <w:tcBorders>
              <w:top w:val="single" w:sz="6" w:space="0" w:color="78A22F"/>
              <w:left w:val="nil"/>
              <w:bottom w:val="nil"/>
              <w:right w:val="nil"/>
            </w:tcBorders>
            <w:shd w:val="clear" w:color="auto" w:fill="F2F2F2" w:themeFill="background1" w:themeFillShade="F2"/>
          </w:tcPr>
          <w:p w14:paraId="00B95055" w14:textId="77777777" w:rsidR="00AB6E59" w:rsidRPr="008A3857" w:rsidRDefault="00AB6E59" w:rsidP="00C337C1">
            <w:pPr>
              <w:pStyle w:val="BoxTitle"/>
              <w:rPr>
                <w:sz w:val="22"/>
                <w:szCs w:val="22"/>
              </w:rPr>
            </w:pPr>
            <w:r w:rsidRPr="008A3857">
              <w:rPr>
                <w:sz w:val="22"/>
                <w:szCs w:val="22"/>
              </w:rPr>
              <w:t>The Productivity Commission</w:t>
            </w:r>
          </w:p>
        </w:tc>
      </w:tr>
      <w:tr w:rsidR="00AB6E59" w14:paraId="0B79A18B" w14:textId="77777777" w:rsidTr="001C1537">
        <w:tc>
          <w:tcPr>
            <w:tcW w:w="5000" w:type="pct"/>
            <w:tcBorders>
              <w:top w:val="nil"/>
              <w:left w:val="nil"/>
              <w:bottom w:val="nil"/>
              <w:right w:val="nil"/>
            </w:tcBorders>
            <w:shd w:val="clear" w:color="auto" w:fill="F2F2F2" w:themeFill="background1" w:themeFillShade="F2"/>
          </w:tcPr>
          <w:p w14:paraId="4AC75D65" w14:textId="77777777" w:rsidR="00AB6E59" w:rsidRDefault="00AB6E59" w:rsidP="00C337C1">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5D56D81C" w14:textId="77777777" w:rsidR="00AB6E59" w:rsidRDefault="00AB6E59" w:rsidP="00C337C1">
            <w:pPr>
              <w:pStyle w:val="Box"/>
            </w:pPr>
            <w:r w:rsidRPr="00BB5DCF">
              <w:t>The Commission’s independence is underpinned by an Act of Parliament. Its processes and outputs are open to public scrutiny and are driven by concern for the wellbeing of the community as a whole.</w:t>
            </w:r>
          </w:p>
          <w:p w14:paraId="67ADA401" w14:textId="7358040A" w:rsidR="00AB6E59" w:rsidRDefault="00AB6E59" w:rsidP="00C337C1">
            <w:pPr>
              <w:pStyle w:val="Box"/>
            </w:pPr>
            <w:r w:rsidRPr="00BB5DCF">
              <w:rPr>
                <w:szCs w:val="24"/>
              </w:rPr>
              <w:t>Further information on the Productivity Commission can be obtained from the Commission’s website (</w:t>
            </w:r>
            <w:hyperlink r:id="rId13" w:tooltip="Productivity Commission's website address" w:history="1">
              <w:r w:rsidRPr="00805FD7">
                <w:t>www.pc.gov.au</w:t>
              </w:r>
            </w:hyperlink>
            <w:r w:rsidRPr="00BB5DCF">
              <w:rPr>
                <w:szCs w:val="24"/>
              </w:rPr>
              <w:t>)</w:t>
            </w:r>
            <w:r>
              <w:rPr>
                <w:szCs w:val="24"/>
              </w:rPr>
              <w:t>.</w:t>
            </w:r>
          </w:p>
        </w:tc>
      </w:tr>
      <w:tr w:rsidR="00AB6E59" w14:paraId="5E75EE3D" w14:textId="77777777" w:rsidTr="001C1537">
        <w:tc>
          <w:tcPr>
            <w:tcW w:w="5000" w:type="pct"/>
            <w:tcBorders>
              <w:top w:val="nil"/>
              <w:left w:val="nil"/>
              <w:bottom w:val="single" w:sz="6" w:space="0" w:color="78A22F"/>
              <w:right w:val="nil"/>
            </w:tcBorders>
            <w:shd w:val="clear" w:color="auto" w:fill="F2F2F2" w:themeFill="background1" w:themeFillShade="F2"/>
          </w:tcPr>
          <w:p w14:paraId="5437098B" w14:textId="77777777" w:rsidR="00AB6E59" w:rsidRDefault="00AB6E59" w:rsidP="00C337C1">
            <w:pPr>
              <w:pStyle w:val="Box"/>
              <w:spacing w:before="0" w:line="120" w:lineRule="exact"/>
            </w:pPr>
          </w:p>
        </w:tc>
      </w:tr>
    </w:tbl>
    <w:p w14:paraId="6D4184B5" w14:textId="77777777" w:rsidR="00AB6E59" w:rsidRDefault="00AB6E59" w:rsidP="00AB6E59">
      <w:pPr>
        <w:pStyle w:val="BodyText"/>
        <w:sectPr w:rsidR="00AB6E59" w:rsidSect="00AB6E59">
          <w:pgSz w:w="11907" w:h="16840" w:code="9"/>
          <w:pgMar w:top="1304" w:right="1304" w:bottom="567" w:left="1814" w:header="1701" w:footer="397" w:gutter="0"/>
          <w:pgNumType w:fmt="lowerRoman" w:start="1"/>
          <w:cols w:space="720"/>
          <w:titlePg/>
        </w:sectPr>
      </w:pPr>
      <w:bookmarkStart w:id="4" w:name="cov"/>
      <w:bookmarkEnd w:id="4"/>
    </w:p>
    <w:p w14:paraId="058CF8D6" w14:textId="77777777" w:rsidR="00AB6E59" w:rsidRDefault="00AB6E59" w:rsidP="00AB6E59">
      <w:pPr>
        <w:pStyle w:val="Heading1"/>
      </w:pPr>
      <w:bookmarkStart w:id="5" w:name="_Toc5636656"/>
      <w:bookmarkStart w:id="6" w:name="_Toc5690106"/>
      <w:r>
        <w:lastRenderedPageBreak/>
        <w:t>Foreword</w:t>
      </w:r>
      <w:bookmarkEnd w:id="5"/>
      <w:bookmarkEnd w:id="6"/>
    </w:p>
    <w:p w14:paraId="0C32DE92" w14:textId="77777777" w:rsidR="00AB6E59" w:rsidRDefault="001E4C01" w:rsidP="00AB6E59">
      <w:pPr>
        <w:pStyle w:val="BodyText"/>
        <w:rPr>
          <w:lang w:eastAsia="en-US"/>
        </w:rPr>
      </w:pPr>
      <w:r>
        <w:rPr>
          <w:lang w:eastAsia="en-US"/>
        </w:rPr>
        <w:t xml:space="preserve">Welcome to the PC Productivity </w:t>
      </w:r>
      <w:r w:rsidR="001D2E43">
        <w:rPr>
          <w:lang w:eastAsia="en-US"/>
        </w:rPr>
        <w:t xml:space="preserve">Bulletin </w:t>
      </w:r>
      <w:r>
        <w:rPr>
          <w:lang w:eastAsia="en-US"/>
        </w:rPr>
        <w:t>2019.</w:t>
      </w:r>
    </w:p>
    <w:p w14:paraId="16913CB1" w14:textId="07268F1E" w:rsidR="005220A1" w:rsidRDefault="001D2E43" w:rsidP="00AB6E59">
      <w:pPr>
        <w:pStyle w:val="BodyText"/>
        <w:rPr>
          <w:lang w:eastAsia="en-US"/>
        </w:rPr>
      </w:pPr>
      <w:r>
        <w:rPr>
          <w:lang w:eastAsia="en-US"/>
        </w:rPr>
        <w:t>Each year</w:t>
      </w:r>
      <w:r w:rsidR="00B73A1C">
        <w:rPr>
          <w:lang w:eastAsia="en-US"/>
        </w:rPr>
        <w:t>,</w:t>
      </w:r>
      <w:r w:rsidR="001E4C01">
        <w:rPr>
          <w:lang w:eastAsia="en-US"/>
        </w:rPr>
        <w:t xml:space="preserve"> we provide an analysis of Australia’s recent productivity performance, recognising that it is a key determinant of our </w:t>
      </w:r>
      <w:r w:rsidR="00475A21">
        <w:rPr>
          <w:lang w:eastAsia="en-US"/>
        </w:rPr>
        <w:t>long</w:t>
      </w:r>
      <w:r w:rsidR="00475A21">
        <w:rPr>
          <w:lang w:eastAsia="en-US"/>
        </w:rPr>
        <w:noBreakHyphen/>
        <w:t xml:space="preserve">run </w:t>
      </w:r>
      <w:r w:rsidR="001E4C01">
        <w:rPr>
          <w:lang w:eastAsia="en-US"/>
        </w:rPr>
        <w:t xml:space="preserve">prosperity. </w:t>
      </w:r>
      <w:r w:rsidR="00CE1831">
        <w:rPr>
          <w:lang w:eastAsia="en-US"/>
        </w:rPr>
        <w:t xml:space="preserve">While output growth in Australia is relatively </w:t>
      </w:r>
      <w:r w:rsidR="005220A1">
        <w:rPr>
          <w:lang w:eastAsia="en-US"/>
        </w:rPr>
        <w:t>buoyant</w:t>
      </w:r>
      <w:r w:rsidR="00CE1831">
        <w:rPr>
          <w:lang w:eastAsia="en-US"/>
        </w:rPr>
        <w:t xml:space="preserve">, this has not translated into significant productivity growth because </w:t>
      </w:r>
      <w:r w:rsidR="00475A21">
        <w:rPr>
          <w:lang w:eastAsia="en-US"/>
        </w:rPr>
        <w:t>growth has reflected input growth rather than ‘doing things better’</w:t>
      </w:r>
      <w:r w:rsidR="00851E10">
        <w:rPr>
          <w:lang w:eastAsia="en-US"/>
        </w:rPr>
        <w:t>. The result</w:t>
      </w:r>
      <w:r w:rsidR="00CE1831">
        <w:rPr>
          <w:lang w:eastAsia="en-US"/>
        </w:rPr>
        <w:t xml:space="preserve"> is that t</w:t>
      </w:r>
      <w:r w:rsidR="001E4C01">
        <w:rPr>
          <w:lang w:eastAsia="en-US"/>
        </w:rPr>
        <w:t xml:space="preserve">he labour and multifactor productivity performance of the market sector, where measurement of performance is most accurate, has deteriorated further from the previous two years. </w:t>
      </w:r>
      <w:r w:rsidR="005220A1">
        <w:rPr>
          <w:lang w:eastAsia="en-US"/>
        </w:rPr>
        <w:t>Economy</w:t>
      </w:r>
      <w:r w:rsidR="00E0146B">
        <w:rPr>
          <w:lang w:eastAsia="en-US"/>
        </w:rPr>
        <w:noBreakHyphen/>
      </w:r>
      <w:r w:rsidR="005220A1">
        <w:rPr>
          <w:lang w:eastAsia="en-US"/>
        </w:rPr>
        <w:t xml:space="preserve">wide generalisations do not capture the fact that some industries have experienced strong productivity growth — a story that we emphasise in the </w:t>
      </w:r>
      <w:r w:rsidR="00B73A1C">
        <w:rPr>
          <w:lang w:eastAsia="en-US"/>
        </w:rPr>
        <w:t>Bulletin</w:t>
      </w:r>
      <w:r w:rsidR="005220A1">
        <w:rPr>
          <w:lang w:eastAsia="en-US"/>
        </w:rPr>
        <w:t>.</w:t>
      </w:r>
    </w:p>
    <w:p w14:paraId="5CD207E0" w14:textId="77777777" w:rsidR="005220A1" w:rsidRDefault="005220A1" w:rsidP="005220A1">
      <w:pPr>
        <w:pStyle w:val="BodyText"/>
        <w:rPr>
          <w:lang w:eastAsia="en-US"/>
        </w:rPr>
      </w:pPr>
      <w:r>
        <w:rPr>
          <w:lang w:eastAsia="en-US"/>
        </w:rPr>
        <w:t>In addition to its usual analysis of current Australian productivity performance, and comparisons with global trends, this</w:t>
      </w:r>
      <w:r w:rsidR="00144E98">
        <w:rPr>
          <w:lang w:eastAsia="en-US"/>
        </w:rPr>
        <w:t xml:space="preserve"> </w:t>
      </w:r>
      <w:r w:rsidR="00B73A1C">
        <w:rPr>
          <w:lang w:eastAsia="en-US"/>
        </w:rPr>
        <w:t>Bulletin</w:t>
      </w:r>
      <w:r>
        <w:rPr>
          <w:lang w:eastAsia="en-US"/>
        </w:rPr>
        <w:t xml:space="preserve"> also considers the linkage between growth in labour productivity and wages, and the far</w:t>
      </w:r>
      <w:r w:rsidR="00D33627">
        <w:rPr>
          <w:lang w:eastAsia="en-US"/>
        </w:rPr>
        <w:noBreakHyphen/>
      </w:r>
      <w:r>
        <w:rPr>
          <w:lang w:eastAsia="en-US"/>
        </w:rPr>
        <w:t xml:space="preserve">reaching implications of the resources boom (and its end) on Australia’s productivity outcomes. </w:t>
      </w:r>
    </w:p>
    <w:p w14:paraId="0084F159" w14:textId="77777777" w:rsidR="005220A1" w:rsidRDefault="005220A1" w:rsidP="003A141B">
      <w:pPr>
        <w:pStyle w:val="BodyText"/>
        <w:spacing w:before="480"/>
        <w:jc w:val="left"/>
        <w:rPr>
          <w:lang w:eastAsia="en-US"/>
        </w:rPr>
      </w:pPr>
      <w:r>
        <w:rPr>
          <w:lang w:eastAsia="en-US"/>
        </w:rPr>
        <w:t>Michael Brennan</w:t>
      </w:r>
      <w:r w:rsidR="003A141B">
        <w:rPr>
          <w:lang w:eastAsia="en-US"/>
        </w:rPr>
        <w:br/>
      </w:r>
      <w:r>
        <w:rPr>
          <w:lang w:eastAsia="en-US"/>
        </w:rPr>
        <w:t>Chair</w:t>
      </w:r>
    </w:p>
    <w:p w14:paraId="072B9610" w14:textId="77777777" w:rsidR="00AB6E59" w:rsidRDefault="00AB6E59" w:rsidP="00AB6E59">
      <w:pPr>
        <w:pStyle w:val="BodyText"/>
      </w:pPr>
    </w:p>
    <w:p w14:paraId="2E28962B" w14:textId="77777777" w:rsidR="00AB6E59" w:rsidRDefault="00AB6E59" w:rsidP="00AB6E59">
      <w:pPr>
        <w:pStyle w:val="BodyText"/>
        <w:sectPr w:rsidR="00AB6E59" w:rsidSect="00C337C1">
          <w:headerReference w:type="even" r:id="rId14"/>
          <w:headerReference w:type="default" r:id="rId15"/>
          <w:footerReference w:type="even" r:id="rId16"/>
          <w:footerReference w:type="default" r:id="rId17"/>
          <w:pgSz w:w="11907" w:h="16840" w:code="9"/>
          <w:pgMar w:top="1985" w:right="1304" w:bottom="1247" w:left="1814" w:header="1701" w:footer="397" w:gutter="0"/>
          <w:pgNumType w:fmt="lowerRoman"/>
          <w:cols w:space="720"/>
        </w:sectPr>
      </w:pPr>
    </w:p>
    <w:p w14:paraId="6615B0FE" w14:textId="77777777" w:rsidR="00AB6E59" w:rsidRPr="008206EE" w:rsidRDefault="00AB6E59" w:rsidP="00AB6E59">
      <w:pPr>
        <w:pStyle w:val="Heading1NotTOC"/>
      </w:pPr>
      <w:bookmarkStart w:id="7" w:name="Contents"/>
      <w:bookmarkEnd w:id="7"/>
      <w:r w:rsidRPr="00B153C3">
        <w:lastRenderedPageBreak/>
        <w:t>Contents</w:t>
      </w:r>
      <w:bookmarkStart w:id="8" w:name="InsertContents"/>
      <w:bookmarkEnd w:id="8"/>
    </w:p>
    <w:p w14:paraId="6933FFC3" w14:textId="77777777" w:rsidR="00EC5EF6" w:rsidRPr="00EC5EF6" w:rsidRDefault="00EC5EF6" w:rsidP="00EC5EF6">
      <w:pPr>
        <w:pStyle w:val="TOC1"/>
        <w:rPr>
          <w:rFonts w:asciiTheme="minorHAnsi" w:eastAsiaTheme="minorEastAsia" w:hAnsiTheme="minorHAnsi" w:cstheme="minorBidi"/>
          <w:b w:val="0"/>
          <w:noProof/>
          <w:sz w:val="22"/>
          <w:szCs w:val="22"/>
          <w:lang w:eastAsia="en-AU"/>
        </w:rPr>
      </w:pPr>
      <w:r w:rsidRPr="00EC5EF6">
        <w:rPr>
          <w:b w:val="0"/>
          <w:noProof/>
        </w:rPr>
        <w:t>Foreword</w:t>
      </w:r>
      <w:r w:rsidRPr="00EC5EF6">
        <w:rPr>
          <w:b w:val="0"/>
          <w:noProof/>
        </w:rPr>
        <w:tab/>
        <w:t>iii</w:t>
      </w:r>
    </w:p>
    <w:p w14:paraId="0AE7CB30" w14:textId="77777777" w:rsidR="00EC5EF6" w:rsidRPr="00EC5EF6" w:rsidRDefault="00EC5EF6" w:rsidP="00EC5EF6">
      <w:pPr>
        <w:pStyle w:val="TOC1"/>
        <w:rPr>
          <w:rFonts w:asciiTheme="minorHAnsi" w:eastAsiaTheme="minorEastAsia" w:hAnsiTheme="minorHAnsi" w:cstheme="minorBidi"/>
          <w:b w:val="0"/>
          <w:noProof/>
          <w:sz w:val="22"/>
          <w:szCs w:val="22"/>
          <w:lang w:eastAsia="en-AU"/>
        </w:rPr>
      </w:pPr>
      <w:r w:rsidRPr="00EC5EF6">
        <w:rPr>
          <w:b w:val="0"/>
          <w:noProof/>
        </w:rPr>
        <w:t>Abbreviations and explanations</w:t>
      </w:r>
      <w:r w:rsidRPr="00EC5EF6">
        <w:rPr>
          <w:b w:val="0"/>
          <w:noProof/>
        </w:rPr>
        <w:tab/>
        <w:t>vi</w:t>
      </w:r>
    </w:p>
    <w:p w14:paraId="796AA0C3" w14:textId="77777777" w:rsidR="00EC5EF6" w:rsidRPr="00EC5EF6" w:rsidRDefault="00EC5EF6" w:rsidP="00EC5EF6">
      <w:pPr>
        <w:pStyle w:val="TOC1"/>
        <w:spacing w:before="240"/>
        <w:rPr>
          <w:noProof/>
        </w:rPr>
      </w:pPr>
      <w:r w:rsidRPr="00EC5EF6">
        <w:rPr>
          <w:noProof/>
        </w:rPr>
        <w:t>Key points</w:t>
      </w:r>
      <w:r w:rsidRPr="00EC5EF6">
        <w:rPr>
          <w:noProof/>
        </w:rPr>
        <w:tab/>
        <w:t>1</w:t>
      </w:r>
    </w:p>
    <w:p w14:paraId="0AA65F1D" w14:textId="77777777" w:rsidR="00EC5EF6" w:rsidRPr="00EC5EF6" w:rsidRDefault="00EC5EF6" w:rsidP="00EC5EF6">
      <w:pPr>
        <w:pStyle w:val="TOC1"/>
        <w:rPr>
          <w:rFonts w:asciiTheme="minorHAnsi" w:eastAsiaTheme="minorEastAsia" w:hAnsiTheme="minorHAnsi" w:cstheme="minorBidi"/>
          <w:noProof/>
          <w:sz w:val="22"/>
          <w:szCs w:val="22"/>
          <w:lang w:eastAsia="en-AU"/>
        </w:rPr>
      </w:pPr>
      <w:r w:rsidRPr="00EC5EF6">
        <w:rPr>
          <w:noProof/>
        </w:rPr>
        <w:t>Productivity at a glance</w:t>
      </w:r>
      <w:r w:rsidRPr="00EC5EF6">
        <w:rPr>
          <w:noProof/>
        </w:rPr>
        <w:tab/>
        <w:t>2</w:t>
      </w:r>
    </w:p>
    <w:p w14:paraId="2B9BA232" w14:textId="77777777" w:rsidR="00EC5EF6" w:rsidRDefault="00EC5EF6" w:rsidP="00EC5EF6">
      <w:pPr>
        <w:pStyle w:val="TOC1"/>
        <w:spacing w:before="240"/>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Recent productivity trends</w:t>
      </w:r>
      <w:r>
        <w:rPr>
          <w:noProof/>
        </w:rPr>
        <w:tab/>
        <w:t>5</w:t>
      </w:r>
    </w:p>
    <w:p w14:paraId="0CAA16A8" w14:textId="77777777" w:rsidR="00EC5EF6" w:rsidRDefault="00EC5EF6" w:rsidP="00EC5EF6">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The mining boom and the investment cycle</w:t>
      </w:r>
      <w:r>
        <w:rPr>
          <w:noProof/>
        </w:rPr>
        <w:tab/>
        <w:t>19</w:t>
      </w:r>
    </w:p>
    <w:p w14:paraId="7433F13C" w14:textId="77777777" w:rsidR="00EC5EF6" w:rsidRDefault="00EC5EF6" w:rsidP="00EC5EF6">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Labour productivity and wages</w:t>
      </w:r>
      <w:r>
        <w:rPr>
          <w:noProof/>
        </w:rPr>
        <w:tab/>
        <w:t>27</w:t>
      </w:r>
    </w:p>
    <w:p w14:paraId="07BA9292" w14:textId="77777777" w:rsidR="00EC5EF6" w:rsidRDefault="00EC5EF6" w:rsidP="00EC5EF6">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Australian productivity trends in an international context</w:t>
      </w:r>
      <w:r>
        <w:rPr>
          <w:noProof/>
        </w:rPr>
        <w:tab/>
        <w:t>37</w:t>
      </w:r>
    </w:p>
    <w:p w14:paraId="1B95A39D" w14:textId="77777777" w:rsidR="00EC5EF6" w:rsidRDefault="00EC5EF6" w:rsidP="001D1494">
      <w:pPr>
        <w:pStyle w:val="TOC1"/>
        <w:spacing w:before="240"/>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Data annex</w:t>
      </w:r>
      <w:r>
        <w:rPr>
          <w:noProof/>
        </w:rPr>
        <w:tab/>
        <w:t>49</w:t>
      </w:r>
    </w:p>
    <w:p w14:paraId="56B276D4" w14:textId="77777777" w:rsidR="00AB6E59" w:rsidRDefault="00EC5EF6" w:rsidP="00EC5EF6">
      <w:pPr>
        <w:pStyle w:val="TOC1"/>
        <w:rPr>
          <w:noProof/>
        </w:rPr>
      </w:pPr>
      <w:r>
        <w:rPr>
          <w:noProof/>
        </w:rPr>
        <w:t>References</w:t>
      </w:r>
      <w:r>
        <w:rPr>
          <w:noProof/>
        </w:rPr>
        <w:tab/>
        <w:t>55</w:t>
      </w:r>
    </w:p>
    <w:p w14:paraId="17859715" w14:textId="77777777" w:rsidR="00EC5EF6" w:rsidRDefault="00EC5EF6" w:rsidP="00AB6E59">
      <w:pPr>
        <w:pStyle w:val="BodyText"/>
      </w:pPr>
    </w:p>
    <w:p w14:paraId="7B01C1F7" w14:textId="77777777" w:rsidR="00EC5EF6" w:rsidRDefault="00EC5EF6" w:rsidP="00AB6E59">
      <w:pPr>
        <w:pStyle w:val="BodyText"/>
        <w:sectPr w:rsidR="00EC5EF6" w:rsidSect="00C337C1">
          <w:headerReference w:type="even" r:id="rId18"/>
          <w:headerReference w:type="default" r:id="rId19"/>
          <w:footerReference w:type="even" r:id="rId20"/>
          <w:footerReference w:type="default" r:id="rId21"/>
          <w:type w:val="oddPage"/>
          <w:pgSz w:w="11907" w:h="16840" w:code="9"/>
          <w:pgMar w:top="1985" w:right="1304" w:bottom="1247" w:left="1814" w:header="1701" w:footer="397" w:gutter="0"/>
          <w:pgNumType w:fmt="lowerRoman"/>
          <w:cols w:space="720"/>
        </w:sectPr>
      </w:pPr>
    </w:p>
    <w:p w14:paraId="0D7B098F" w14:textId="77777777" w:rsidR="00AB6E59" w:rsidRDefault="00AB6E59" w:rsidP="00AB6E59">
      <w:pPr>
        <w:pStyle w:val="Heading1"/>
      </w:pPr>
      <w:bookmarkStart w:id="9" w:name="Abbreviations"/>
      <w:bookmarkStart w:id="10" w:name="EndContents"/>
      <w:bookmarkStart w:id="11" w:name="RDnote"/>
      <w:bookmarkStart w:id="12" w:name="_Toc5636657"/>
      <w:bookmarkStart w:id="13" w:name="_Toc5690107"/>
      <w:bookmarkEnd w:id="9"/>
      <w:bookmarkEnd w:id="10"/>
      <w:bookmarkEnd w:id="11"/>
      <w:r>
        <w:lastRenderedPageBreak/>
        <w:t>Abbreviations and explanations</w:t>
      </w:r>
      <w:bookmarkEnd w:id="12"/>
      <w:bookmarkEnd w:id="13"/>
    </w:p>
    <w:p w14:paraId="442A6AEC" w14:textId="77777777" w:rsidR="00AB6E59" w:rsidRDefault="00AB6E59" w:rsidP="00AB6E59">
      <w:pPr>
        <w:pStyle w:val="Heading2NotTOC"/>
      </w:pPr>
      <w:r>
        <w:t>Abbrevia</w:t>
      </w:r>
      <w:r w:rsidRPr="00F85393">
        <w:t>t</w:t>
      </w:r>
      <w:r>
        <w:t>ions</w:t>
      </w:r>
    </w:p>
    <w:tbl>
      <w:tblPr>
        <w:tblW w:w="0" w:type="auto"/>
        <w:shd w:val="clear" w:color="auto" w:fill="FFFFFF" w:themeFill="background1"/>
        <w:tblCellMar>
          <w:left w:w="0" w:type="dxa"/>
          <w:right w:w="0" w:type="dxa"/>
        </w:tblCellMar>
        <w:tblLook w:val="0000" w:firstRow="0" w:lastRow="0" w:firstColumn="0" w:lastColumn="0" w:noHBand="0" w:noVBand="0"/>
        <w:tblDescription w:val="Table used for design layout."/>
      </w:tblPr>
      <w:tblGrid>
        <w:gridCol w:w="2410"/>
        <w:gridCol w:w="6379"/>
      </w:tblGrid>
      <w:tr w:rsidR="00030371" w14:paraId="18C02FE6" w14:textId="77777777" w:rsidTr="00C60B9B">
        <w:trPr>
          <w:tblHeader/>
        </w:trPr>
        <w:tc>
          <w:tcPr>
            <w:tcW w:w="2410" w:type="dxa"/>
            <w:shd w:val="clear" w:color="auto" w:fill="FFFFFF" w:themeFill="background1"/>
          </w:tcPr>
          <w:p w14:paraId="2A54AD83" w14:textId="77777777" w:rsidR="00030371" w:rsidRDefault="00030371" w:rsidP="00030371">
            <w:pPr>
              <w:pStyle w:val="BodyText"/>
              <w:spacing w:before="120"/>
              <w:ind w:right="6"/>
            </w:pPr>
            <w:r>
              <w:t>ABS</w:t>
            </w:r>
          </w:p>
        </w:tc>
        <w:tc>
          <w:tcPr>
            <w:tcW w:w="6379" w:type="dxa"/>
            <w:shd w:val="clear" w:color="auto" w:fill="FFFFFF" w:themeFill="background1"/>
          </w:tcPr>
          <w:p w14:paraId="0D9142E6" w14:textId="77777777" w:rsidR="00030371" w:rsidRDefault="00030371" w:rsidP="00030371">
            <w:pPr>
              <w:pStyle w:val="BodyText"/>
              <w:spacing w:before="120"/>
              <w:ind w:left="227" w:right="6"/>
            </w:pPr>
            <w:r>
              <w:t>Australian Bureau of Statistics</w:t>
            </w:r>
          </w:p>
        </w:tc>
      </w:tr>
      <w:tr w:rsidR="00FE4DD5" w14:paraId="32ADA229" w14:textId="77777777" w:rsidTr="00030371">
        <w:tc>
          <w:tcPr>
            <w:tcW w:w="2410" w:type="dxa"/>
            <w:shd w:val="clear" w:color="auto" w:fill="FFFFFF" w:themeFill="background1"/>
          </w:tcPr>
          <w:p w14:paraId="1FFA42D4" w14:textId="77777777" w:rsidR="00FE4DD5" w:rsidRDefault="00FE4DD5" w:rsidP="00030371">
            <w:pPr>
              <w:pStyle w:val="BodyText"/>
              <w:spacing w:before="120"/>
              <w:ind w:right="6"/>
            </w:pPr>
            <w:proofErr w:type="spellStart"/>
            <w:r>
              <w:t>ANZSIC</w:t>
            </w:r>
            <w:proofErr w:type="spellEnd"/>
          </w:p>
        </w:tc>
        <w:tc>
          <w:tcPr>
            <w:tcW w:w="6379" w:type="dxa"/>
            <w:shd w:val="clear" w:color="auto" w:fill="FFFFFF" w:themeFill="background1"/>
          </w:tcPr>
          <w:p w14:paraId="5EE2824D" w14:textId="77777777" w:rsidR="00FE4DD5" w:rsidRDefault="00FE4DD5" w:rsidP="00030371">
            <w:pPr>
              <w:pStyle w:val="BodyText"/>
              <w:spacing w:before="120"/>
              <w:ind w:left="227" w:right="6"/>
            </w:pPr>
            <w:r w:rsidRPr="00FE4DD5">
              <w:t>Australian and New Zealand Standard Industrial Classification</w:t>
            </w:r>
          </w:p>
        </w:tc>
      </w:tr>
      <w:tr w:rsidR="00FE4DD5" w14:paraId="0895FC6D" w14:textId="77777777" w:rsidTr="00030371">
        <w:tc>
          <w:tcPr>
            <w:tcW w:w="2410" w:type="dxa"/>
            <w:shd w:val="clear" w:color="auto" w:fill="FFFFFF" w:themeFill="background1"/>
          </w:tcPr>
          <w:p w14:paraId="4A32BEBC" w14:textId="77777777" w:rsidR="00FE4DD5" w:rsidRDefault="00FE4DD5" w:rsidP="00030371">
            <w:pPr>
              <w:pStyle w:val="BodyText"/>
              <w:spacing w:before="120"/>
              <w:ind w:right="6"/>
            </w:pPr>
            <w:r>
              <w:t>CPI</w:t>
            </w:r>
          </w:p>
        </w:tc>
        <w:tc>
          <w:tcPr>
            <w:tcW w:w="6379" w:type="dxa"/>
            <w:shd w:val="clear" w:color="auto" w:fill="FFFFFF" w:themeFill="background1"/>
          </w:tcPr>
          <w:p w14:paraId="17CC02D9" w14:textId="77777777" w:rsidR="00FE4DD5" w:rsidRPr="00FE4DD5" w:rsidRDefault="00FE4DD5" w:rsidP="00030371">
            <w:pPr>
              <w:pStyle w:val="BodyText"/>
              <w:spacing w:before="120"/>
              <w:ind w:left="227" w:right="6"/>
            </w:pPr>
            <w:r w:rsidRPr="00FE4DD5">
              <w:t>Consumer Price Index</w:t>
            </w:r>
          </w:p>
        </w:tc>
      </w:tr>
      <w:tr w:rsidR="00BF6F18" w14:paraId="4EC3FA84" w14:textId="77777777" w:rsidTr="00030371">
        <w:tc>
          <w:tcPr>
            <w:tcW w:w="2410" w:type="dxa"/>
            <w:shd w:val="clear" w:color="auto" w:fill="FFFFFF" w:themeFill="background1"/>
          </w:tcPr>
          <w:p w14:paraId="7D01A0E9" w14:textId="77777777" w:rsidR="00BF6F18" w:rsidRDefault="00BF6F18" w:rsidP="00030371">
            <w:pPr>
              <w:pStyle w:val="BodyText"/>
              <w:spacing w:before="120"/>
              <w:ind w:right="6"/>
            </w:pPr>
            <w:r>
              <w:t>GDP</w:t>
            </w:r>
          </w:p>
        </w:tc>
        <w:tc>
          <w:tcPr>
            <w:tcW w:w="6379" w:type="dxa"/>
            <w:shd w:val="clear" w:color="auto" w:fill="FFFFFF" w:themeFill="background1"/>
          </w:tcPr>
          <w:p w14:paraId="4286F724" w14:textId="77777777" w:rsidR="00BF6F18" w:rsidRDefault="00BF6F18" w:rsidP="00030371">
            <w:pPr>
              <w:pStyle w:val="BodyText"/>
              <w:spacing w:before="120"/>
              <w:ind w:left="227" w:right="6"/>
            </w:pPr>
            <w:r>
              <w:t>Gross Domestic Product</w:t>
            </w:r>
          </w:p>
        </w:tc>
      </w:tr>
      <w:tr w:rsidR="00FE4DD5" w14:paraId="165436D1" w14:textId="77777777" w:rsidTr="00030371">
        <w:tc>
          <w:tcPr>
            <w:tcW w:w="2410" w:type="dxa"/>
            <w:shd w:val="clear" w:color="auto" w:fill="FFFFFF" w:themeFill="background1"/>
          </w:tcPr>
          <w:p w14:paraId="4F6E7D02" w14:textId="77777777" w:rsidR="00FE4DD5" w:rsidRDefault="00FE4DD5" w:rsidP="00030371">
            <w:pPr>
              <w:pStyle w:val="BodyText"/>
              <w:spacing w:before="120"/>
              <w:ind w:right="6"/>
            </w:pPr>
            <w:proofErr w:type="spellStart"/>
            <w:r>
              <w:t>GFC</w:t>
            </w:r>
            <w:proofErr w:type="spellEnd"/>
          </w:p>
        </w:tc>
        <w:tc>
          <w:tcPr>
            <w:tcW w:w="6379" w:type="dxa"/>
            <w:shd w:val="clear" w:color="auto" w:fill="FFFFFF" w:themeFill="background1"/>
          </w:tcPr>
          <w:p w14:paraId="5CBE9482" w14:textId="77777777" w:rsidR="00FE4DD5" w:rsidRDefault="00FE4DD5" w:rsidP="00030371">
            <w:pPr>
              <w:pStyle w:val="BodyText"/>
              <w:spacing w:before="120"/>
              <w:ind w:left="227" w:right="6"/>
            </w:pPr>
            <w:r w:rsidRPr="00FE4DD5">
              <w:t>Global Financial Crisis</w:t>
            </w:r>
          </w:p>
        </w:tc>
      </w:tr>
      <w:tr w:rsidR="00BF6F18" w14:paraId="0BC2616F" w14:textId="77777777" w:rsidTr="00030371">
        <w:tc>
          <w:tcPr>
            <w:tcW w:w="2410" w:type="dxa"/>
            <w:shd w:val="clear" w:color="auto" w:fill="FFFFFF" w:themeFill="background1"/>
          </w:tcPr>
          <w:p w14:paraId="37C79F82" w14:textId="77777777" w:rsidR="00BF6F18" w:rsidRDefault="00BF6F18" w:rsidP="00030371">
            <w:pPr>
              <w:pStyle w:val="BodyText"/>
              <w:spacing w:before="120"/>
              <w:ind w:right="6"/>
            </w:pPr>
            <w:proofErr w:type="spellStart"/>
            <w:r>
              <w:t>GVA</w:t>
            </w:r>
            <w:proofErr w:type="spellEnd"/>
          </w:p>
        </w:tc>
        <w:tc>
          <w:tcPr>
            <w:tcW w:w="6379" w:type="dxa"/>
            <w:shd w:val="clear" w:color="auto" w:fill="FFFFFF" w:themeFill="background1"/>
          </w:tcPr>
          <w:p w14:paraId="003EFED2" w14:textId="77777777" w:rsidR="00BF6F18" w:rsidRDefault="00BF6F18" w:rsidP="00030371">
            <w:pPr>
              <w:pStyle w:val="BodyText"/>
              <w:spacing w:before="120"/>
              <w:ind w:left="227" w:right="6"/>
            </w:pPr>
            <w:r>
              <w:t>Gross Value Added</w:t>
            </w:r>
          </w:p>
        </w:tc>
      </w:tr>
      <w:tr w:rsidR="00FE4DD5" w14:paraId="2191D363" w14:textId="77777777" w:rsidTr="00030371">
        <w:tc>
          <w:tcPr>
            <w:tcW w:w="2410" w:type="dxa"/>
            <w:shd w:val="clear" w:color="auto" w:fill="FFFFFF" w:themeFill="background1"/>
          </w:tcPr>
          <w:p w14:paraId="3B209A12" w14:textId="77777777" w:rsidR="00FE4DD5" w:rsidRDefault="00FE4DD5" w:rsidP="00030371">
            <w:pPr>
              <w:pStyle w:val="BodyText"/>
              <w:spacing w:before="120"/>
              <w:ind w:right="6"/>
            </w:pPr>
            <w:r>
              <w:t>HILDA</w:t>
            </w:r>
          </w:p>
        </w:tc>
        <w:tc>
          <w:tcPr>
            <w:tcW w:w="6379" w:type="dxa"/>
            <w:shd w:val="clear" w:color="auto" w:fill="FFFFFF" w:themeFill="background1"/>
          </w:tcPr>
          <w:p w14:paraId="6CC375F9" w14:textId="77777777" w:rsidR="00FE4DD5" w:rsidRDefault="00FE4DD5" w:rsidP="00030371">
            <w:pPr>
              <w:pStyle w:val="BodyText"/>
              <w:spacing w:before="120"/>
              <w:ind w:left="227" w:right="6"/>
            </w:pPr>
            <w:r w:rsidRPr="00FE4DD5">
              <w:t>Household, Income and Labour Dynamics in Australia</w:t>
            </w:r>
          </w:p>
        </w:tc>
      </w:tr>
      <w:tr w:rsidR="00FE4DD5" w14:paraId="4C85647F" w14:textId="77777777" w:rsidTr="00030371">
        <w:tc>
          <w:tcPr>
            <w:tcW w:w="2410" w:type="dxa"/>
            <w:shd w:val="clear" w:color="auto" w:fill="FFFFFF" w:themeFill="background1"/>
          </w:tcPr>
          <w:p w14:paraId="72672F3D" w14:textId="77777777" w:rsidR="00FE4DD5" w:rsidRDefault="00FE4DD5" w:rsidP="00C337C1">
            <w:pPr>
              <w:pStyle w:val="BodyText"/>
              <w:spacing w:before="120"/>
              <w:ind w:right="6"/>
            </w:pPr>
            <w:r>
              <w:t>ICT</w:t>
            </w:r>
          </w:p>
        </w:tc>
        <w:tc>
          <w:tcPr>
            <w:tcW w:w="6379" w:type="dxa"/>
            <w:shd w:val="clear" w:color="auto" w:fill="FFFFFF" w:themeFill="background1"/>
          </w:tcPr>
          <w:p w14:paraId="7B8C32CA" w14:textId="77777777" w:rsidR="00FE4DD5" w:rsidRPr="00FE4DD5" w:rsidRDefault="00FE4DD5" w:rsidP="00C337C1">
            <w:pPr>
              <w:pStyle w:val="BodyText"/>
              <w:spacing w:before="120"/>
              <w:ind w:left="227" w:right="6"/>
            </w:pPr>
            <w:r w:rsidRPr="00FE4DD5">
              <w:t>Information and communications technology</w:t>
            </w:r>
          </w:p>
        </w:tc>
      </w:tr>
      <w:tr w:rsidR="00BF6F18" w14:paraId="1ABFA56A" w14:textId="77777777" w:rsidTr="00030371">
        <w:tc>
          <w:tcPr>
            <w:tcW w:w="2410" w:type="dxa"/>
            <w:shd w:val="clear" w:color="auto" w:fill="FFFFFF" w:themeFill="background1"/>
          </w:tcPr>
          <w:p w14:paraId="346D3261" w14:textId="77777777" w:rsidR="00BF6F18" w:rsidRDefault="00BF6F18" w:rsidP="00C337C1">
            <w:pPr>
              <w:pStyle w:val="BodyText"/>
              <w:spacing w:before="120"/>
              <w:ind w:right="6"/>
            </w:pPr>
            <w:r>
              <w:t>MFP</w:t>
            </w:r>
          </w:p>
        </w:tc>
        <w:tc>
          <w:tcPr>
            <w:tcW w:w="6379" w:type="dxa"/>
            <w:shd w:val="clear" w:color="auto" w:fill="FFFFFF" w:themeFill="background1"/>
          </w:tcPr>
          <w:p w14:paraId="5C328FB3" w14:textId="77777777" w:rsidR="00BF6F18" w:rsidRDefault="00BF6F18" w:rsidP="00FE4DD5">
            <w:pPr>
              <w:pStyle w:val="BodyText"/>
              <w:spacing w:before="120"/>
              <w:ind w:left="227" w:right="6"/>
            </w:pPr>
            <w:r>
              <w:t xml:space="preserve">Multifactor </w:t>
            </w:r>
            <w:r w:rsidR="00FE4DD5">
              <w:t>productivity</w:t>
            </w:r>
          </w:p>
        </w:tc>
      </w:tr>
      <w:tr w:rsidR="005220A1" w14:paraId="30D9F9F1" w14:textId="77777777" w:rsidTr="00030371">
        <w:tc>
          <w:tcPr>
            <w:tcW w:w="2410" w:type="dxa"/>
            <w:shd w:val="clear" w:color="auto" w:fill="FFFFFF" w:themeFill="background1"/>
          </w:tcPr>
          <w:p w14:paraId="45398FC0" w14:textId="77777777" w:rsidR="005220A1" w:rsidRDefault="005220A1" w:rsidP="00C337C1">
            <w:pPr>
              <w:pStyle w:val="BodyText"/>
              <w:spacing w:before="120"/>
              <w:ind w:right="6"/>
            </w:pPr>
            <w:r>
              <w:t>OECD</w:t>
            </w:r>
          </w:p>
        </w:tc>
        <w:tc>
          <w:tcPr>
            <w:tcW w:w="6379" w:type="dxa"/>
            <w:shd w:val="clear" w:color="auto" w:fill="FFFFFF" w:themeFill="background1"/>
          </w:tcPr>
          <w:p w14:paraId="4C4C9416" w14:textId="77777777" w:rsidR="005220A1" w:rsidRDefault="005220A1" w:rsidP="00141C38">
            <w:pPr>
              <w:pStyle w:val="BodyText"/>
              <w:spacing w:before="120"/>
              <w:ind w:left="227" w:right="6"/>
            </w:pPr>
            <w:r>
              <w:t xml:space="preserve">Organisation for Economic </w:t>
            </w:r>
            <w:r w:rsidR="00141C38">
              <w:t>Co</w:t>
            </w:r>
            <w:r w:rsidR="00141C38">
              <w:noBreakHyphen/>
              <w:t xml:space="preserve">operation and </w:t>
            </w:r>
            <w:r>
              <w:t>Development</w:t>
            </w:r>
          </w:p>
        </w:tc>
      </w:tr>
      <w:tr w:rsidR="00AB6E59" w14:paraId="04C3905C" w14:textId="77777777" w:rsidTr="00030371">
        <w:tc>
          <w:tcPr>
            <w:tcW w:w="2410" w:type="dxa"/>
            <w:shd w:val="clear" w:color="auto" w:fill="FFFFFF" w:themeFill="background1"/>
          </w:tcPr>
          <w:p w14:paraId="3556663F" w14:textId="77777777" w:rsidR="00AB6E59" w:rsidRDefault="00AB6E59" w:rsidP="00C337C1">
            <w:pPr>
              <w:pStyle w:val="BodyText"/>
              <w:spacing w:before="120"/>
              <w:ind w:right="6"/>
            </w:pPr>
            <w:r>
              <w:t>PC</w:t>
            </w:r>
          </w:p>
        </w:tc>
        <w:tc>
          <w:tcPr>
            <w:tcW w:w="6379" w:type="dxa"/>
            <w:shd w:val="clear" w:color="auto" w:fill="FFFFFF" w:themeFill="background1"/>
          </w:tcPr>
          <w:p w14:paraId="4E9D549B" w14:textId="77777777" w:rsidR="00AB6E59" w:rsidRDefault="00AB6E59" w:rsidP="00C337C1">
            <w:pPr>
              <w:pStyle w:val="BodyText"/>
              <w:spacing w:before="120"/>
              <w:ind w:left="227" w:right="6"/>
            </w:pPr>
            <w:r>
              <w:t>Productivity Commission</w:t>
            </w:r>
          </w:p>
        </w:tc>
      </w:tr>
      <w:tr w:rsidR="00535EAE" w14:paraId="152E4F42" w14:textId="77777777" w:rsidTr="00030371">
        <w:tc>
          <w:tcPr>
            <w:tcW w:w="2410" w:type="dxa"/>
            <w:shd w:val="clear" w:color="auto" w:fill="FFFFFF" w:themeFill="background1"/>
          </w:tcPr>
          <w:p w14:paraId="5D85C8ED" w14:textId="77777777" w:rsidR="00535EAE" w:rsidRDefault="00535EAE" w:rsidP="00C337C1">
            <w:pPr>
              <w:pStyle w:val="BodyText"/>
              <w:spacing w:before="120"/>
              <w:ind w:right="6"/>
            </w:pPr>
            <w:r>
              <w:t>PPP</w:t>
            </w:r>
          </w:p>
        </w:tc>
        <w:tc>
          <w:tcPr>
            <w:tcW w:w="6379" w:type="dxa"/>
            <w:shd w:val="clear" w:color="auto" w:fill="FFFFFF" w:themeFill="background1"/>
          </w:tcPr>
          <w:p w14:paraId="707A0C14" w14:textId="77777777" w:rsidR="00535EAE" w:rsidRDefault="00535EAE" w:rsidP="00C337C1">
            <w:pPr>
              <w:pStyle w:val="BodyText"/>
              <w:spacing w:before="120"/>
              <w:ind w:left="227" w:right="6"/>
            </w:pPr>
            <w:r w:rsidRPr="00535EAE">
              <w:t>Purchasing power parity</w:t>
            </w:r>
          </w:p>
        </w:tc>
      </w:tr>
      <w:tr w:rsidR="004222EA" w14:paraId="61DBB3E4" w14:textId="77777777" w:rsidTr="00030371">
        <w:tc>
          <w:tcPr>
            <w:tcW w:w="2410" w:type="dxa"/>
            <w:shd w:val="clear" w:color="auto" w:fill="FFFFFF" w:themeFill="background1"/>
          </w:tcPr>
          <w:p w14:paraId="2CA35159" w14:textId="77777777" w:rsidR="004222EA" w:rsidRDefault="004222EA" w:rsidP="00030371">
            <w:pPr>
              <w:pStyle w:val="BodyText"/>
              <w:spacing w:before="120"/>
              <w:ind w:right="6"/>
            </w:pPr>
            <w:r>
              <w:t>R&amp;D</w:t>
            </w:r>
          </w:p>
        </w:tc>
        <w:tc>
          <w:tcPr>
            <w:tcW w:w="6379" w:type="dxa"/>
            <w:shd w:val="clear" w:color="auto" w:fill="FFFFFF" w:themeFill="background1"/>
          </w:tcPr>
          <w:p w14:paraId="107489EB" w14:textId="77777777" w:rsidR="004222EA" w:rsidRDefault="004222EA" w:rsidP="00030371">
            <w:pPr>
              <w:pStyle w:val="BodyText"/>
              <w:spacing w:before="120"/>
              <w:ind w:left="227" w:right="6"/>
            </w:pPr>
            <w:r>
              <w:t>Research and Development</w:t>
            </w:r>
          </w:p>
        </w:tc>
      </w:tr>
      <w:tr w:rsidR="00030371" w14:paraId="2ECD1DCA" w14:textId="77777777" w:rsidTr="00030371">
        <w:tc>
          <w:tcPr>
            <w:tcW w:w="2410" w:type="dxa"/>
            <w:shd w:val="clear" w:color="auto" w:fill="FFFFFF" w:themeFill="background1"/>
          </w:tcPr>
          <w:p w14:paraId="44912285" w14:textId="77777777" w:rsidR="00030371" w:rsidRDefault="00030371" w:rsidP="00030371">
            <w:pPr>
              <w:pStyle w:val="BodyText"/>
              <w:spacing w:before="120"/>
              <w:ind w:right="6"/>
            </w:pPr>
            <w:r>
              <w:t>TED</w:t>
            </w:r>
          </w:p>
        </w:tc>
        <w:tc>
          <w:tcPr>
            <w:tcW w:w="6379" w:type="dxa"/>
            <w:shd w:val="clear" w:color="auto" w:fill="FFFFFF" w:themeFill="background1"/>
          </w:tcPr>
          <w:p w14:paraId="0EE6295A" w14:textId="77777777" w:rsidR="00030371" w:rsidRDefault="00030371" w:rsidP="00030371">
            <w:pPr>
              <w:pStyle w:val="BodyText"/>
              <w:spacing w:before="120"/>
              <w:ind w:left="227" w:right="6"/>
            </w:pPr>
            <w:r>
              <w:t>Total Economy Database</w:t>
            </w:r>
          </w:p>
        </w:tc>
      </w:tr>
      <w:tr w:rsidR="00535EAE" w14:paraId="77450CC6" w14:textId="77777777" w:rsidTr="00030371">
        <w:tc>
          <w:tcPr>
            <w:tcW w:w="2410" w:type="dxa"/>
            <w:shd w:val="clear" w:color="auto" w:fill="FFFFFF" w:themeFill="background1"/>
          </w:tcPr>
          <w:p w14:paraId="0DFC9BCA" w14:textId="77777777" w:rsidR="00535EAE" w:rsidRDefault="00535EAE" w:rsidP="00030371">
            <w:pPr>
              <w:pStyle w:val="BodyText"/>
              <w:spacing w:before="120"/>
              <w:ind w:right="6"/>
            </w:pPr>
            <w:r>
              <w:t>UK</w:t>
            </w:r>
          </w:p>
        </w:tc>
        <w:tc>
          <w:tcPr>
            <w:tcW w:w="6379" w:type="dxa"/>
            <w:shd w:val="clear" w:color="auto" w:fill="FFFFFF" w:themeFill="background1"/>
          </w:tcPr>
          <w:p w14:paraId="2EF139D9" w14:textId="77777777" w:rsidR="00535EAE" w:rsidRDefault="00535EAE" w:rsidP="00030371">
            <w:pPr>
              <w:pStyle w:val="BodyText"/>
              <w:spacing w:before="120"/>
              <w:ind w:left="227" w:right="6"/>
            </w:pPr>
            <w:r>
              <w:t>United Kingdom</w:t>
            </w:r>
          </w:p>
        </w:tc>
      </w:tr>
      <w:tr w:rsidR="00535EAE" w14:paraId="3941EB0C" w14:textId="77777777" w:rsidTr="00030371">
        <w:tc>
          <w:tcPr>
            <w:tcW w:w="2410" w:type="dxa"/>
            <w:shd w:val="clear" w:color="auto" w:fill="FFFFFF" w:themeFill="background1"/>
          </w:tcPr>
          <w:p w14:paraId="2F080B0E" w14:textId="77777777" w:rsidR="00535EAE" w:rsidRDefault="00535EAE" w:rsidP="00030371">
            <w:pPr>
              <w:pStyle w:val="BodyText"/>
              <w:spacing w:before="120"/>
              <w:ind w:right="6"/>
            </w:pPr>
            <w:r>
              <w:t>US</w:t>
            </w:r>
          </w:p>
        </w:tc>
        <w:tc>
          <w:tcPr>
            <w:tcW w:w="6379" w:type="dxa"/>
            <w:shd w:val="clear" w:color="auto" w:fill="FFFFFF" w:themeFill="background1"/>
          </w:tcPr>
          <w:p w14:paraId="629CED21" w14:textId="77777777" w:rsidR="00535EAE" w:rsidRDefault="00535EAE" w:rsidP="00030371">
            <w:pPr>
              <w:pStyle w:val="BodyText"/>
              <w:spacing w:before="120"/>
              <w:ind w:left="227" w:right="6"/>
            </w:pPr>
            <w:r>
              <w:t>United States</w:t>
            </w:r>
          </w:p>
        </w:tc>
      </w:tr>
    </w:tbl>
    <w:p w14:paraId="30E2FFF4" w14:textId="77777777" w:rsidR="00AB6E59" w:rsidRDefault="00AB6E59" w:rsidP="00AB6E59">
      <w:pPr>
        <w:pStyle w:val="Heading2NotTOC"/>
      </w:pPr>
      <w:r>
        <w:t>Explanations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AB6E59" w14:paraId="6CD73F66" w14:textId="77777777" w:rsidTr="00C60B9B">
        <w:trPr>
          <w:tblHeader/>
        </w:trPr>
        <w:tc>
          <w:tcPr>
            <w:tcW w:w="2410" w:type="dxa"/>
          </w:tcPr>
          <w:p w14:paraId="0F821041" w14:textId="77777777" w:rsidR="00AB6E59" w:rsidRDefault="00AB6E59" w:rsidP="00C337C1">
            <w:pPr>
              <w:pStyle w:val="BodyText"/>
              <w:spacing w:before="120"/>
              <w:ind w:right="6"/>
            </w:pPr>
            <w:r>
              <w:t>Billion</w:t>
            </w:r>
          </w:p>
        </w:tc>
        <w:tc>
          <w:tcPr>
            <w:tcW w:w="6379" w:type="dxa"/>
          </w:tcPr>
          <w:p w14:paraId="0BB65493" w14:textId="77777777" w:rsidR="00AB6E59" w:rsidRDefault="00AB6E59" w:rsidP="00C337C1">
            <w:pPr>
              <w:pStyle w:val="BodyText"/>
              <w:spacing w:before="120"/>
              <w:ind w:left="227" w:right="6"/>
            </w:pPr>
            <w:r>
              <w:t>The convention used for a billion is a thousand million (10</w:t>
            </w:r>
            <w:r>
              <w:rPr>
                <w:position w:val="6"/>
                <w:sz w:val="22"/>
              </w:rPr>
              <w:t>9</w:t>
            </w:r>
            <w:r>
              <w:t>).</w:t>
            </w:r>
          </w:p>
        </w:tc>
      </w:tr>
    </w:tbl>
    <w:p w14:paraId="18A82E82" w14:textId="77777777" w:rsidR="00986FD2" w:rsidRDefault="00986FD2" w:rsidP="00AB6E59">
      <w:pPr>
        <w:pStyle w:val="BodyText"/>
        <w:sectPr w:rsidR="00986FD2" w:rsidSect="00986FD2">
          <w:headerReference w:type="even" r:id="rId22"/>
          <w:headerReference w:type="default" r:id="rId23"/>
          <w:footerReference w:type="even" r:id="rId24"/>
          <w:footerReference w:type="default" r:id="rId25"/>
          <w:type w:val="evenPage"/>
          <w:pgSz w:w="11907" w:h="16840" w:code="9"/>
          <w:pgMar w:top="1985" w:right="1304" w:bottom="1247" w:left="1814" w:header="1701" w:footer="397" w:gutter="0"/>
          <w:pgNumType w:fmt="lowerRoman" w:chapSep="period"/>
          <w:cols w:space="720"/>
        </w:sectPr>
      </w:pPr>
      <w:bookmarkStart w:id="16" w:name="Glossary"/>
      <w:bookmarkEnd w:id="16"/>
    </w:p>
    <w:p w14:paraId="070CEDD9" w14:textId="77777777" w:rsidR="00986FD2" w:rsidRPr="00E73B57" w:rsidRDefault="00986FD2" w:rsidP="00E73B57">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B6E59" w14:paraId="17A778DE" w14:textId="77777777" w:rsidTr="00C337C1">
        <w:tc>
          <w:tcPr>
            <w:tcW w:w="5000" w:type="pct"/>
            <w:tcBorders>
              <w:top w:val="single" w:sz="4" w:space="0" w:color="78A22F" w:themeColor="accent1"/>
              <w:left w:val="nil"/>
              <w:bottom w:val="nil"/>
              <w:right w:val="nil"/>
            </w:tcBorders>
            <w:shd w:val="clear" w:color="auto" w:fill="E5F1D0"/>
          </w:tcPr>
          <w:p w14:paraId="160D4F4A" w14:textId="77777777" w:rsidR="00AB6E59" w:rsidRDefault="00AB6E59" w:rsidP="00C337C1">
            <w:pPr>
              <w:pStyle w:val="BoxTitle"/>
            </w:pPr>
            <w:r>
              <w:t>Key points</w:t>
            </w:r>
          </w:p>
        </w:tc>
      </w:tr>
      <w:tr w:rsidR="00AB6E59" w14:paraId="0E38464D" w14:textId="77777777" w:rsidTr="00C337C1">
        <w:tc>
          <w:tcPr>
            <w:tcW w:w="5000" w:type="pct"/>
            <w:tcBorders>
              <w:top w:val="nil"/>
              <w:left w:val="nil"/>
              <w:bottom w:val="nil"/>
              <w:right w:val="nil"/>
            </w:tcBorders>
            <w:shd w:val="clear" w:color="auto" w:fill="E5F1D0"/>
          </w:tcPr>
          <w:p w14:paraId="0ED48BDB" w14:textId="34E4AB2F" w:rsidR="00AB6E59" w:rsidRPr="00340224" w:rsidRDefault="00C337C1" w:rsidP="00340224">
            <w:pPr>
              <w:pStyle w:val="KeyPointsListBullet"/>
            </w:pPr>
            <w:r w:rsidRPr="00340224">
              <w:t xml:space="preserve">Growth in labour </w:t>
            </w:r>
            <w:r w:rsidR="00AB6E59" w:rsidRPr="00340224">
              <w:t xml:space="preserve">and multifactor productivity </w:t>
            </w:r>
            <w:r w:rsidR="00030371" w:rsidRPr="00340224">
              <w:t xml:space="preserve">for the 16 industry market sector </w:t>
            </w:r>
            <w:r w:rsidR="00AB6E59" w:rsidRPr="00340224">
              <w:t>in 2017</w:t>
            </w:r>
            <w:r w:rsidR="00AB6E59" w:rsidRPr="00340224">
              <w:noBreakHyphen/>
              <w:t xml:space="preserve">18 </w:t>
            </w:r>
            <w:r w:rsidRPr="00340224">
              <w:t xml:space="preserve">was sluggish at </w:t>
            </w:r>
            <w:r w:rsidR="00030371" w:rsidRPr="00340224">
              <w:t>0.4</w:t>
            </w:r>
            <w:r w:rsidR="00AB6E59" w:rsidRPr="00340224">
              <w:t> </w:t>
            </w:r>
            <w:r w:rsidR="006D5DEF" w:rsidRPr="00340224">
              <w:t>per</w:t>
            </w:r>
            <w:r w:rsidR="006D5DEF">
              <w:t> </w:t>
            </w:r>
            <w:r w:rsidR="00AB6E59" w:rsidRPr="00340224">
              <w:t xml:space="preserve">cent and </w:t>
            </w:r>
            <w:r w:rsidR="00030371" w:rsidRPr="00340224">
              <w:t>0.5</w:t>
            </w:r>
            <w:r w:rsidR="00AB6E59" w:rsidRPr="00340224">
              <w:t> </w:t>
            </w:r>
            <w:r w:rsidR="006D5DEF" w:rsidRPr="00340224">
              <w:t>per</w:t>
            </w:r>
            <w:r w:rsidR="006D5DEF">
              <w:t> </w:t>
            </w:r>
            <w:r w:rsidR="00AB6E59" w:rsidRPr="00340224">
              <w:t>cent, respectively.</w:t>
            </w:r>
          </w:p>
          <w:p w14:paraId="0B0614AC" w14:textId="77777777" w:rsidR="00C337C1" w:rsidRDefault="00AB6E59" w:rsidP="00340224">
            <w:pPr>
              <w:pStyle w:val="KeyPointsListBullet2"/>
              <w:spacing w:line="240" w:lineRule="atLeast"/>
              <w:ind w:left="624" w:hanging="284"/>
            </w:pPr>
            <w:r>
              <w:t>This continues the recent trend of weakening productivity growth since the end of the investment phase of the mining boom in 2012</w:t>
            </w:r>
            <w:r>
              <w:noBreakHyphen/>
              <w:t>13</w:t>
            </w:r>
            <w:r w:rsidR="00B73A1C">
              <w:t>.</w:t>
            </w:r>
          </w:p>
          <w:p w14:paraId="0353C23C" w14:textId="77777777" w:rsidR="00AB6E59" w:rsidRDefault="00B73A1C" w:rsidP="00340224">
            <w:pPr>
              <w:pStyle w:val="KeyPointsListBullet2"/>
              <w:spacing w:line="240" w:lineRule="atLeast"/>
              <w:ind w:left="624" w:hanging="284"/>
            </w:pPr>
            <w:r>
              <w:t xml:space="preserve">Labour productivity growth </w:t>
            </w:r>
            <w:r w:rsidR="0050295E">
              <w:t>is well below the market sector’s long</w:t>
            </w:r>
            <w:r w:rsidR="0050295E">
              <w:noBreakHyphen/>
              <w:t xml:space="preserve">run trend </w:t>
            </w:r>
            <w:r w:rsidR="005D3AA4">
              <w:t xml:space="preserve">rate </w:t>
            </w:r>
            <w:r w:rsidR="0050295E">
              <w:t>of 2.2 per cent per year</w:t>
            </w:r>
            <w:r w:rsidR="00DF51C2">
              <w:t xml:space="preserve"> from 1974</w:t>
            </w:r>
            <w:r w:rsidR="00DF51C2">
              <w:noBreakHyphen/>
              <w:t>75 to 2017</w:t>
            </w:r>
            <w:r w:rsidR="00DF51C2">
              <w:noBreakHyphen/>
              <w:t>18</w:t>
            </w:r>
            <w:r>
              <w:t>.</w:t>
            </w:r>
          </w:p>
          <w:p w14:paraId="3F4F30AB" w14:textId="426373C6" w:rsidR="00DF51C2" w:rsidRDefault="00DF51C2" w:rsidP="00340224">
            <w:pPr>
              <w:pStyle w:val="KeyPointsListBullet2"/>
              <w:spacing w:line="240" w:lineRule="atLeast"/>
              <w:ind w:left="624" w:hanging="284"/>
            </w:pPr>
            <w:r>
              <w:t>Corresponding to the market sector outcomes, productivity growth has also been weak at the economy</w:t>
            </w:r>
            <w:r w:rsidR="00E0146B">
              <w:rPr>
                <w:lang w:eastAsia="en-US"/>
              </w:rPr>
              <w:noBreakHyphen/>
            </w:r>
            <w:r>
              <w:t>wide level.</w:t>
            </w:r>
          </w:p>
          <w:p w14:paraId="5C0AE4CB" w14:textId="77777777" w:rsidR="00E04576" w:rsidRDefault="002554CB" w:rsidP="00340224">
            <w:pPr>
              <w:pStyle w:val="KeyPointsListBullet"/>
            </w:pPr>
            <w:r>
              <w:t>The current weakness in labour productivity can be partly attributed to a marked slowdown in investment in capital — so much so</w:t>
            </w:r>
            <w:r w:rsidR="00E04576">
              <w:t xml:space="preserve"> that the ratio of capital to labour has fallen — ‘capital shallowing’.</w:t>
            </w:r>
          </w:p>
          <w:p w14:paraId="28F813F8" w14:textId="77777777" w:rsidR="00A82BB5" w:rsidRDefault="00E04576" w:rsidP="00340224">
            <w:pPr>
              <w:pStyle w:val="KeyPointsListBullet2"/>
              <w:spacing w:line="240" w:lineRule="atLeast"/>
              <w:ind w:left="624" w:hanging="284"/>
            </w:pPr>
            <w:r>
              <w:t>This</w:t>
            </w:r>
            <w:r w:rsidRPr="00E04576">
              <w:t xml:space="preserve"> is troubling because investment typically embod</w:t>
            </w:r>
            <w:r w:rsidR="001D2E43">
              <w:t>ies</w:t>
            </w:r>
            <w:r w:rsidRPr="00E04576">
              <w:t xml:space="preserve"> new technologies, which complement people’s skill development and innovation. This is especially so for investment in research and development, where capital stocks are now falling</w:t>
            </w:r>
            <w:r w:rsidR="00573DCC">
              <w:t>.</w:t>
            </w:r>
          </w:p>
          <w:p w14:paraId="5022CADD" w14:textId="77777777" w:rsidR="009031BE" w:rsidRDefault="00A82BB5" w:rsidP="00191FAC">
            <w:pPr>
              <w:pStyle w:val="KeyPointsListBullet"/>
            </w:pPr>
            <w:r>
              <w:t>I</w:t>
            </w:r>
            <w:r w:rsidR="00CB15EC">
              <w:t>ncreases in labour supply</w:t>
            </w:r>
            <w:r>
              <w:t xml:space="preserve"> </w:t>
            </w:r>
            <w:r w:rsidR="009031BE">
              <w:t>have increased the overall productive capacity of the economy, so t</w:t>
            </w:r>
            <w:r>
              <w:t xml:space="preserve">hat output </w:t>
            </w:r>
            <w:r w:rsidRPr="009031BE">
              <w:rPr>
                <w:i/>
              </w:rPr>
              <w:t>per capita</w:t>
            </w:r>
            <w:r>
              <w:t xml:space="preserve"> </w:t>
            </w:r>
            <w:r w:rsidR="009031BE">
              <w:t xml:space="preserve">has </w:t>
            </w:r>
            <w:r>
              <w:t xml:space="preserve">exceeded output </w:t>
            </w:r>
            <w:r w:rsidRPr="009031BE">
              <w:rPr>
                <w:i/>
              </w:rPr>
              <w:t>per hour</w:t>
            </w:r>
            <w:r>
              <w:t xml:space="preserve"> in recent years. Labour supply growth </w:t>
            </w:r>
            <w:r w:rsidR="00EA64AB">
              <w:t xml:space="preserve">has </w:t>
            </w:r>
            <w:r>
              <w:t>primarily refl</w:t>
            </w:r>
            <w:r w:rsidR="009031BE">
              <w:t>e</w:t>
            </w:r>
            <w:r>
              <w:t xml:space="preserve">cted increased labour participation rates, which has many positive social and economic benefits for households beyond its effects on </w:t>
            </w:r>
            <w:r w:rsidR="009031BE">
              <w:t>economic growth.</w:t>
            </w:r>
          </w:p>
          <w:p w14:paraId="61CD5BD9" w14:textId="77777777" w:rsidR="00AB6E59" w:rsidRDefault="009031BE" w:rsidP="00C07599">
            <w:pPr>
              <w:pStyle w:val="KeyPointsListBullet"/>
            </w:pPr>
            <w:r>
              <w:t xml:space="preserve">There has also been </w:t>
            </w:r>
            <w:r w:rsidR="006E083A">
              <w:t>a continued</w:t>
            </w:r>
            <w:r>
              <w:t xml:space="preserve"> recovery in real net national disposable income per capita</w:t>
            </w:r>
            <w:r w:rsidR="00C07599">
              <w:t xml:space="preserve">, the single best measure of prosperity, </w:t>
            </w:r>
            <w:r>
              <w:t xml:space="preserve">which had </w:t>
            </w:r>
            <w:r w:rsidR="00C07599">
              <w:t>fallen</w:t>
            </w:r>
            <w:r>
              <w:t xml:space="preserve"> </w:t>
            </w:r>
            <w:r w:rsidR="00C07599">
              <w:t>steadily from 2011</w:t>
            </w:r>
            <w:r w:rsidR="00C07599">
              <w:noBreakHyphen/>
              <w:t>12 to 2015</w:t>
            </w:r>
            <w:r w:rsidR="00C07599">
              <w:noBreakHyphen/>
              <w:t>16.</w:t>
            </w:r>
            <w:r w:rsidR="00CB15EC">
              <w:t xml:space="preserve"> </w:t>
            </w:r>
          </w:p>
          <w:p w14:paraId="1E496C53" w14:textId="77777777" w:rsidR="00C22C62" w:rsidRDefault="00573DCC" w:rsidP="00030371">
            <w:pPr>
              <w:pStyle w:val="KeyPointsListBullet"/>
              <w:spacing w:before="80"/>
            </w:pPr>
            <w:r>
              <w:t xml:space="preserve">Real </w:t>
            </w:r>
            <w:r w:rsidR="00244B6C">
              <w:t xml:space="preserve">(consumer) </w:t>
            </w:r>
            <w:r>
              <w:t xml:space="preserve">wage </w:t>
            </w:r>
            <w:r w:rsidR="00347118">
              <w:t xml:space="preserve">growth — the degree to which nominal wages outpaces the prices of goods and services — has been </w:t>
            </w:r>
            <w:r w:rsidR="00C22C62">
              <w:t>low from 2011</w:t>
            </w:r>
            <w:r w:rsidR="00C22C62">
              <w:noBreakHyphen/>
              <w:t>12 and is the lowest since the mid</w:t>
            </w:r>
            <w:r w:rsidR="00C22C62">
              <w:noBreakHyphen/>
            </w:r>
            <w:proofErr w:type="spellStart"/>
            <w:r w:rsidR="00C22C62">
              <w:t>1980s</w:t>
            </w:r>
            <w:proofErr w:type="spellEnd"/>
            <w:r w:rsidR="00C22C62">
              <w:t xml:space="preserve">. A </w:t>
            </w:r>
            <w:r w:rsidR="00751B8D">
              <w:t xml:space="preserve">puzzling </w:t>
            </w:r>
            <w:r w:rsidR="00C22C62">
              <w:t xml:space="preserve">gap has opened between labour productivity and real wage growth. </w:t>
            </w:r>
          </w:p>
          <w:p w14:paraId="01CD737D" w14:textId="77777777" w:rsidR="00091096" w:rsidRDefault="00091096" w:rsidP="00592CCE">
            <w:pPr>
              <w:pStyle w:val="KeyPointsListBullet"/>
              <w:spacing w:before="80"/>
            </w:pPr>
            <w:r>
              <w:t>However, n</w:t>
            </w:r>
            <w:r w:rsidR="00C07599">
              <w:t xml:space="preserve">o gap exists between labour productivity and </w:t>
            </w:r>
            <w:r w:rsidR="00C6510C">
              <w:t>real wages defined in terms of producer prices</w:t>
            </w:r>
            <w:r w:rsidR="00662B60">
              <w:t xml:space="preserve">, a sign that </w:t>
            </w:r>
            <w:r>
              <w:t>producer price growth has deviated from consumer prices.</w:t>
            </w:r>
          </w:p>
          <w:p w14:paraId="41D432E4" w14:textId="77777777" w:rsidR="00091096" w:rsidRDefault="00091096" w:rsidP="00340224">
            <w:pPr>
              <w:pStyle w:val="KeyPointsListBullet2"/>
              <w:spacing w:line="240" w:lineRule="atLeast"/>
              <w:ind w:left="624" w:hanging="284"/>
            </w:pPr>
            <w:r>
              <w:t>The breakdown in the usually strong relationship between consumer and producer prices is likely to have been partly driven by the different impacts of the commencement and ending of the resources boom, with some prospect that real consumer wages will grow more strongly.</w:t>
            </w:r>
          </w:p>
          <w:p w14:paraId="04B11C51" w14:textId="77777777" w:rsidR="00244B6C" w:rsidRDefault="00091096" w:rsidP="00340224">
            <w:pPr>
              <w:pStyle w:val="KeyPointsListBullet2"/>
              <w:spacing w:line="240" w:lineRule="atLeast"/>
              <w:ind w:left="624" w:hanging="284"/>
            </w:pPr>
            <w:r>
              <w:t xml:space="preserve">Nevertheless, other factors — such as a </w:t>
            </w:r>
            <w:r w:rsidR="006E083A">
              <w:t xml:space="preserve">poorer labour market dynamism and </w:t>
            </w:r>
            <w:r>
              <w:t xml:space="preserve">weaker than usual response of wages to labour demand — are also likely to be </w:t>
            </w:r>
            <w:r w:rsidR="0053399F">
              <w:t>contributing to wage stagnation</w:t>
            </w:r>
            <w:r>
              <w:t xml:space="preserve">. </w:t>
            </w:r>
          </w:p>
          <w:p w14:paraId="1997FE7C" w14:textId="77777777" w:rsidR="00F50EE5" w:rsidRDefault="00F50EE5" w:rsidP="00030371">
            <w:pPr>
              <w:pStyle w:val="KeyPointsListBullet"/>
              <w:spacing w:before="80"/>
            </w:pPr>
            <w:r>
              <w:t xml:space="preserve">Notwithstanding recent mediocre productivity growth, </w:t>
            </w:r>
            <w:r w:rsidR="00030371">
              <w:t xml:space="preserve">Australia has a high </w:t>
            </w:r>
            <w:r w:rsidR="00030371" w:rsidRPr="006E083A">
              <w:rPr>
                <w:i/>
              </w:rPr>
              <w:t>level</w:t>
            </w:r>
            <w:r w:rsidR="00030371">
              <w:t xml:space="preserve"> of productivity compared </w:t>
            </w:r>
            <w:r w:rsidR="00A852A8">
              <w:t>with</w:t>
            </w:r>
            <w:r w:rsidR="00030371">
              <w:t xml:space="preserve"> many economies and, as a result, a high standard of living by international standards.</w:t>
            </w:r>
            <w:r>
              <w:t xml:space="preserve"> </w:t>
            </w:r>
          </w:p>
          <w:p w14:paraId="770A9138" w14:textId="77777777" w:rsidR="00030371" w:rsidRDefault="00F50EE5" w:rsidP="00340224">
            <w:pPr>
              <w:pStyle w:val="KeyPointsListBullet2"/>
              <w:spacing w:line="240" w:lineRule="atLeast"/>
              <w:ind w:left="624" w:hanging="284"/>
            </w:pPr>
            <w:r>
              <w:t>Productivity levels, however</w:t>
            </w:r>
            <w:r w:rsidR="00193DDF">
              <w:t>,</w:t>
            </w:r>
            <w:r>
              <w:t xml:space="preserve"> remain below the best performers.</w:t>
            </w:r>
          </w:p>
          <w:p w14:paraId="6B71F7B2" w14:textId="77777777" w:rsidR="00AB6E59" w:rsidRDefault="00F50EE5" w:rsidP="00193DDF">
            <w:pPr>
              <w:pStyle w:val="KeyPointsListBullet"/>
            </w:pPr>
            <w:r>
              <w:t>While Australia has experienced a productivity slowdown, it has been more persistent and extreme in many other countries.</w:t>
            </w:r>
          </w:p>
        </w:tc>
      </w:tr>
      <w:tr w:rsidR="00AB6E59" w14:paraId="7E389107" w14:textId="77777777" w:rsidTr="00C337C1">
        <w:tc>
          <w:tcPr>
            <w:tcW w:w="5000" w:type="pct"/>
            <w:tcBorders>
              <w:top w:val="nil"/>
              <w:left w:val="nil"/>
              <w:bottom w:val="single" w:sz="4" w:space="0" w:color="78A22F" w:themeColor="accent1"/>
              <w:right w:val="nil"/>
            </w:tcBorders>
            <w:shd w:val="clear" w:color="auto" w:fill="E5F1D0"/>
          </w:tcPr>
          <w:p w14:paraId="1FEDBB56" w14:textId="77777777" w:rsidR="00AB6E59" w:rsidRDefault="00AB6E59" w:rsidP="00C337C1">
            <w:pPr>
              <w:pStyle w:val="Box"/>
              <w:spacing w:before="0" w:line="120" w:lineRule="exact"/>
            </w:pPr>
          </w:p>
        </w:tc>
      </w:tr>
    </w:tbl>
    <w:p w14:paraId="5B20C1FC" w14:textId="77777777" w:rsidR="00AB6E59" w:rsidRDefault="00AB6E59" w:rsidP="00AB6E59">
      <w:pPr>
        <w:pStyle w:val="BodyText"/>
        <w:rPr>
          <w:rFonts w:ascii="Arial" w:hAnsi="Arial" w:cs="Arial"/>
          <w:i/>
        </w:rPr>
      </w:pPr>
    </w:p>
    <w:p w14:paraId="12BED7E9" w14:textId="77777777" w:rsidR="00AB6E59" w:rsidRDefault="00AB6E59" w:rsidP="00C54961">
      <w:pPr>
        <w:pStyle w:val="Heading1"/>
        <w:spacing w:before="0"/>
        <w:sectPr w:rsidR="00AB6E59" w:rsidSect="00986FD2">
          <w:type w:val="oddPage"/>
          <w:pgSz w:w="11907" w:h="16840" w:code="9"/>
          <w:pgMar w:top="1985" w:right="1304" w:bottom="1247" w:left="1814" w:header="1701" w:footer="397" w:gutter="0"/>
          <w:pgNumType w:start="1" w:chapSep="period"/>
          <w:cols w:space="720"/>
        </w:sectPr>
      </w:pPr>
    </w:p>
    <w:p w14:paraId="3E6DC6AF" w14:textId="77777777" w:rsidR="00C54961" w:rsidRDefault="00C54961" w:rsidP="00201743">
      <w:pPr>
        <w:pStyle w:val="Heading1"/>
      </w:pPr>
      <w:bookmarkStart w:id="17" w:name="begin"/>
      <w:bookmarkStart w:id="18" w:name="_Toc5636658"/>
      <w:bookmarkStart w:id="19" w:name="_Toc5690108"/>
      <w:bookmarkEnd w:id="0"/>
      <w:bookmarkEnd w:id="17"/>
      <w:r>
        <w:lastRenderedPageBreak/>
        <w:t>Productivity at a glance</w:t>
      </w:r>
      <w:bookmarkEnd w:id="18"/>
      <w:bookmarkEnd w:id="19"/>
    </w:p>
    <w:p w14:paraId="146BF487" w14:textId="4387F0E2" w:rsidR="00F80E05" w:rsidRPr="00191FAC" w:rsidRDefault="00F80E05" w:rsidP="00F80E05">
      <w:pPr>
        <w:spacing w:before="120" w:after="120" w:line="240" w:lineRule="exact"/>
        <w:rPr>
          <w:rFonts w:ascii="Verdana" w:eastAsia="Verdana" w:hAnsi="Verdana" w:cs="Verdana"/>
          <w:b/>
          <w:color w:val="3B5117" w:themeColor="accent1" w:themeShade="80"/>
        </w:rPr>
      </w:pPr>
      <w:r w:rsidRPr="00191FAC">
        <w:rPr>
          <w:rFonts w:ascii="Verdana" w:eastAsia="Verdana" w:hAnsi="Verdana" w:cs="Verdana"/>
          <w:b/>
          <w:color w:val="3B5117" w:themeColor="accent1" w:themeShade="80"/>
        </w:rPr>
        <w:t>Annual change, 2017</w:t>
      </w:r>
      <w:r w:rsidRPr="00191FAC">
        <w:rPr>
          <w:rFonts w:ascii="Verdana" w:eastAsia="Verdana" w:hAnsi="Verdana" w:cs="Verdana"/>
          <w:b/>
          <w:color w:val="3B5117" w:themeColor="accent1" w:themeShade="80"/>
        </w:rPr>
        <w:noBreakHyphen/>
        <w:t>18</w:t>
      </w:r>
      <w:r>
        <w:rPr>
          <w:rFonts w:ascii="Verdana" w:eastAsia="Verdana" w:hAnsi="Verdana" w:cs="Verdana"/>
          <w:b/>
          <w:color w:val="3B5117" w:themeColor="accent1" w:themeShade="80"/>
        </w:rPr>
        <w:t xml:space="preserve"> </w:t>
      </w:r>
      <w:r w:rsidRPr="00191FAC">
        <w:rPr>
          <w:rFonts w:ascii="Verdana" w:eastAsia="Verdana" w:hAnsi="Verdana" w:cs="Verdana"/>
          <w:b/>
          <w:color w:val="3B5117" w:themeColor="accent1" w:themeShade="80"/>
        </w:rPr>
        <w:t>(</w:t>
      </w:r>
      <w:r w:rsidR="001355C4" w:rsidRPr="00191FAC">
        <w:rPr>
          <w:rFonts w:ascii="Verdana" w:eastAsia="Verdana" w:hAnsi="Verdana" w:cs="Verdana"/>
          <w:b/>
          <w:color w:val="3B5117" w:themeColor="accent1" w:themeShade="80"/>
        </w:rPr>
        <w:t>per</w:t>
      </w:r>
      <w:r w:rsidR="001355C4">
        <w:rPr>
          <w:rFonts w:ascii="Verdana" w:eastAsia="Verdana" w:hAnsi="Verdana" w:cs="Verdana"/>
          <w:b/>
          <w:color w:val="3B5117" w:themeColor="accent1" w:themeShade="80"/>
        </w:rPr>
        <w:t> </w:t>
      </w:r>
      <w:r w:rsidRPr="00191FAC">
        <w:rPr>
          <w:rFonts w:ascii="Verdana" w:eastAsia="Verdana" w:hAnsi="Verdana" w:cs="Verdana"/>
          <w:b/>
          <w:color w:val="3B5117" w:themeColor="accent1" w:themeShade="80"/>
        </w:rPr>
        <w:t>cent)</w:t>
      </w:r>
    </w:p>
    <w:p w14:paraId="0C90A76D" w14:textId="77777777" w:rsidR="00C54961" w:rsidRPr="000C3D3B" w:rsidRDefault="00F80E05" w:rsidP="00364471">
      <w:pPr>
        <w:spacing w:before="200" w:after="120" w:line="240" w:lineRule="atLeast"/>
        <w:rPr>
          <w:rFonts w:ascii="Verdana" w:eastAsia="Verdana" w:hAnsi="Verdana" w:cs="Verdana"/>
          <w:b/>
          <w:bCs/>
          <w:color w:val="78A22F"/>
        </w:rPr>
      </w:pPr>
      <w:r w:rsidRPr="000C3D3B">
        <w:rPr>
          <w:rFonts w:ascii="Verdana" w:eastAsia="Verdana" w:hAnsi="Verdana" w:cs="Verdana"/>
          <w:b/>
          <w:color w:val="78A22F"/>
        </w:rPr>
        <w:t>T</w:t>
      </w:r>
      <w:r w:rsidR="00C54961" w:rsidRPr="000C3D3B">
        <w:rPr>
          <w:rFonts w:ascii="Verdana" w:eastAsia="Verdana" w:hAnsi="Verdana" w:cs="Verdana"/>
          <w:b/>
          <w:color w:val="78A22F"/>
        </w:rPr>
        <w:t>otal economy</w:t>
      </w:r>
    </w:p>
    <w:tbl>
      <w:tblPr>
        <w:tblW w:w="4698" w:type="pct"/>
        <w:tblCellMar>
          <w:left w:w="0" w:type="dxa"/>
          <w:right w:w="0" w:type="dxa"/>
        </w:tblCellMar>
        <w:tblLook w:val="04A0" w:firstRow="1" w:lastRow="0" w:firstColumn="1" w:lastColumn="0" w:noHBand="0" w:noVBand="1"/>
      </w:tblPr>
      <w:tblGrid>
        <w:gridCol w:w="1986"/>
        <w:gridCol w:w="3402"/>
        <w:gridCol w:w="1417"/>
        <w:gridCol w:w="1453"/>
      </w:tblGrid>
      <w:tr w:rsidR="00C54961" w14:paraId="6DA63107" w14:textId="77777777" w:rsidTr="00C60B9B">
        <w:trPr>
          <w:trHeight w:val="507"/>
          <w:tblHeader/>
        </w:trPr>
        <w:tc>
          <w:tcPr>
            <w:tcW w:w="1202" w:type="pct"/>
          </w:tcPr>
          <w:p w14:paraId="2473C5E9" w14:textId="77777777" w:rsidR="00C54961" w:rsidRDefault="00C54961" w:rsidP="00DB60E1">
            <w:pPr>
              <w:pStyle w:val="TableBodyText"/>
              <w:spacing w:after="0" w:line="480" w:lineRule="auto"/>
              <w:ind w:left="1260"/>
            </w:pPr>
          </w:p>
        </w:tc>
        <w:tc>
          <w:tcPr>
            <w:tcW w:w="2060" w:type="pct"/>
            <w:shd w:val="clear" w:color="auto" w:fill="F2F2F2" w:themeFill="background1" w:themeFillShade="F2"/>
            <w:hideMark/>
          </w:tcPr>
          <w:p w14:paraId="087C2FCC" w14:textId="77777777" w:rsidR="00C54961" w:rsidRDefault="00C54961" w:rsidP="00DB60E1">
            <w:pPr>
              <w:pStyle w:val="TableBodyText"/>
              <w:spacing w:before="240" w:after="0" w:line="480" w:lineRule="auto"/>
              <w:rPr>
                <w:b/>
              </w:rPr>
            </w:pPr>
            <w:r>
              <w:rPr>
                <w:rFonts w:ascii="Verdana" w:hAnsi="Verdana"/>
                <w:b/>
                <w:color w:val="000000" w:themeColor="text1"/>
                <w:sz w:val="24"/>
                <w:szCs w:val="24"/>
              </w:rPr>
              <w:t>Labour productivity</w:t>
            </w:r>
          </w:p>
        </w:tc>
        <w:tc>
          <w:tcPr>
            <w:tcW w:w="858" w:type="pct"/>
            <w:shd w:val="clear" w:color="auto" w:fill="F2F2F2" w:themeFill="background1" w:themeFillShade="F2"/>
            <w:hideMark/>
          </w:tcPr>
          <w:p w14:paraId="1F4268C6" w14:textId="77777777" w:rsidR="00C54961" w:rsidRDefault="00C54961" w:rsidP="00DB60E1">
            <w:pPr>
              <w:pStyle w:val="TableBodyText"/>
              <w:spacing w:before="240" w:after="0" w:line="480" w:lineRule="auto"/>
              <w:ind w:right="28"/>
              <w:rPr>
                <w:b/>
              </w:rPr>
            </w:pPr>
            <w:r>
              <w:rPr>
                <w:rFonts w:ascii="Verdana" w:hAnsi="Verdana"/>
                <w:b/>
                <w:color w:val="000000" w:themeColor="text1"/>
                <w:sz w:val="24"/>
                <w:szCs w:val="24"/>
              </w:rPr>
              <w:t>+0.2%</w:t>
            </w:r>
          </w:p>
        </w:tc>
        <w:tc>
          <w:tcPr>
            <w:tcW w:w="880" w:type="pct"/>
            <w:shd w:val="clear" w:color="auto" w:fill="F2F2F2" w:themeFill="background1" w:themeFillShade="F2"/>
            <w:vAlign w:val="center"/>
            <w:hideMark/>
          </w:tcPr>
          <w:p w14:paraId="51BA283B" w14:textId="77777777" w:rsidR="00C54961" w:rsidRDefault="00C54961" w:rsidP="00DB60E1">
            <w:pPr>
              <w:pStyle w:val="TableBodyText"/>
              <w:spacing w:after="0" w:line="480" w:lineRule="auto"/>
              <w:ind w:right="28"/>
              <w:jc w:val="center"/>
            </w:pPr>
            <w:r>
              <w:rPr>
                <w:noProof/>
              </w:rPr>
              <mc:AlternateContent>
                <mc:Choice Requires="wps">
                  <w:drawing>
                    <wp:anchor distT="0" distB="0" distL="114300" distR="114300" simplePos="0" relativeHeight="251658240" behindDoc="0" locked="0" layoutInCell="1" allowOverlap="1" wp14:anchorId="0146E026" wp14:editId="1711B04E">
                      <wp:simplePos x="0" y="0"/>
                      <wp:positionH relativeFrom="column">
                        <wp:align>center</wp:align>
                      </wp:positionH>
                      <wp:positionV relativeFrom="paragraph">
                        <wp:posOffset>36195</wp:posOffset>
                      </wp:positionV>
                      <wp:extent cx="414020" cy="396240"/>
                      <wp:effectExtent l="0" t="0" r="5080" b="3810"/>
                      <wp:wrapNone/>
                      <wp:docPr id="15" name="Isosceles Triangle 15" descr="decreased sinc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13385" cy="395605"/>
                              </a:xfrm>
                              <a:prstGeom prst="triangle">
                                <a:avLst>
                                  <a:gd name="adj" fmla="val 50000"/>
                                </a:avLst>
                              </a:prstGeom>
                              <a:solidFill>
                                <a:schemeClr val="accent4"/>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196D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alt="decreased since 2017" style="position:absolute;margin-left:0;margin-top:2.85pt;width:32.6pt;height:31.2pt;rotation:18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6HQgIAAF8EAAAOAAAAZHJzL2Uyb0RvYy54bWysVNtu2zAMfR+wfxD0vtppkl6MOkWRokOB&#10;bivQ7gMUiY61yaJHKXG6rx8le122vQ3LgyBedHx4SObq+tA5sQcKFn0tZyelFOA1Guu3tfz8fPfu&#10;QooQlTfKoYdavkCQ16u3b66GvoJTbNEZIMEgPlRDX8s2xr4qiqBb6FQ4wR48BxukTkU2aVsYUgOj&#10;d644LcuzYkAyPaGGENh7OwblKuM3Dej4qWkCROFqydxiPimfm3QWqytVbUn1rdUTDfUPLDplPX/0&#10;FepWRSV2ZP+C6qwmDNjEE41dgU1jNeQauJpZ+Uc1T63qIdfC4oT+Vabw/2D1x/0jCWu4d0spvOq4&#10;R/cBgwYHQTyTVX7rQKSggaBZOQOaQAUwggXXIJj3eZJx6EPFaE/9IyUhQv+A+msQHtctY8ANEQ4t&#10;KMPkZym/+O1BMgI/FZvhAxomoXYRs6KHhjpByJ2blRdl+mU3SycOuY8vr32EQxSanYvZfH7BjDWH&#10;5pfLs3KZP6iqhJXI9RTie8BOpEst41RmBlb7hxBzK82khzJfpGg6x4OxV04sM4dUgaqmZL79hMy1&#10;o7PmzjqXjTTKsHYk+DHXpTX4uJgIheNM51O+x/RyhB89kOeYWbFTVVzkeM0CJs1G7TdoXli/rBRP&#10;Ou8kV9YifZdi4PmuZfi2UwRSuHvPPbicLRZpIbKxWJ6fskHHkc1xRHnNULXUkaQYjXUc12jXk922&#10;qT1ZPo833LnGJrKZ4chrMniKs27TxqU1ObZz1q//hdUPAAAA//8DAFBLAwQUAAYACAAAACEAmWAY&#10;ANkAAAAEAQAADwAAAGRycy9kb3ducmV2LnhtbEyPwUrDQBCG74LvsEzBm90k0FhiNqVUvAnFWvE6&#10;TcYkdHc2ZLdp+vaOJz0Nw//zzTflZnZWTTSG3rOBdJmAIq5903Nr4Pjx+rgGFSJyg9YzGbhRgE11&#10;f1di0fgrv9N0iK0SCIcCDXQxDoXWoe7IYVj6gViybz86jLKOrW5GvArcWZ0lSa4d9iwXOhxo11F9&#10;PlycgdXb/ovST7d9aae9tVlyyzXujHlYzNtnUJHm+FeGX31Rh0qcTv7CTVDWgDwShfQESsJ8lYE6&#10;yVynoKtS/5evfgAAAP//AwBQSwECLQAUAAYACAAAACEAtoM4kv4AAADhAQAAEwAAAAAAAAAAAAAA&#10;AAAAAAAAW0NvbnRlbnRfVHlwZXNdLnhtbFBLAQItABQABgAIAAAAIQA4/SH/1gAAAJQBAAALAAAA&#10;AAAAAAAAAAAAAC8BAABfcmVscy8ucmVsc1BLAQItABQABgAIAAAAIQCBIw6HQgIAAF8EAAAOAAAA&#10;AAAAAAAAAAAAAC4CAABkcnMvZTJvRG9jLnhtbFBLAQItABQABgAIAAAAIQCZYBgA2QAAAAQBAAAP&#10;AAAAAAAAAAAAAAAAAJwEAABkcnMvZG93bnJldi54bWxQSwUGAAAAAAQABADzAAAAogUAAAAA&#10;" fillcolor="#f15a25 [3207]" stroked="f"/>
                  </w:pict>
                </mc:Fallback>
              </mc:AlternateContent>
            </w:r>
          </w:p>
        </w:tc>
      </w:tr>
    </w:tbl>
    <w:p w14:paraId="1BB3D254" w14:textId="77777777" w:rsidR="00C54961" w:rsidRPr="000C3D3B" w:rsidRDefault="00C54961" w:rsidP="00364471">
      <w:pPr>
        <w:spacing w:before="200" w:after="120" w:line="240" w:lineRule="atLeast"/>
        <w:rPr>
          <w:rFonts w:ascii="Verdana" w:eastAsia="Verdana" w:hAnsi="Verdana" w:cs="Verdana"/>
          <w:b/>
          <w:color w:val="78A22F"/>
        </w:rPr>
      </w:pPr>
      <w:r w:rsidRPr="000C3D3B">
        <w:rPr>
          <w:rFonts w:ascii="Verdana" w:eastAsia="Verdana" w:hAnsi="Verdana" w:cs="Verdana"/>
          <w:b/>
          <w:color w:val="78A22F"/>
        </w:rPr>
        <w:t>Market sector (</w:t>
      </w:r>
      <w:r w:rsidR="00F57825" w:rsidRPr="000C3D3B">
        <w:rPr>
          <w:rFonts w:ascii="Verdana" w:eastAsia="Verdana" w:hAnsi="Verdana" w:cs="Verdana"/>
          <w:b/>
          <w:color w:val="78A22F"/>
        </w:rPr>
        <w:t>16 </w:t>
      </w:r>
      <w:r w:rsidRPr="000C3D3B">
        <w:rPr>
          <w:rFonts w:ascii="Verdana" w:eastAsia="Verdana" w:hAnsi="Verdana" w:cs="Verdana"/>
          <w:b/>
          <w:color w:val="78A22F"/>
        </w:rPr>
        <w:t>industries)</w:t>
      </w:r>
    </w:p>
    <w:tbl>
      <w:tblPr>
        <w:tblW w:w="4698" w:type="pct"/>
        <w:tblCellMar>
          <w:left w:w="0" w:type="dxa"/>
          <w:right w:w="0" w:type="dxa"/>
        </w:tblCellMar>
        <w:tblLook w:val="04A0" w:firstRow="1" w:lastRow="0" w:firstColumn="1" w:lastColumn="0" w:noHBand="0" w:noVBand="1"/>
      </w:tblPr>
      <w:tblGrid>
        <w:gridCol w:w="1986"/>
        <w:gridCol w:w="3403"/>
        <w:gridCol w:w="1416"/>
        <w:gridCol w:w="1453"/>
      </w:tblGrid>
      <w:tr w:rsidR="00C54961" w14:paraId="160AEF18" w14:textId="77777777" w:rsidTr="00C60B9B">
        <w:trPr>
          <w:trHeight w:val="307"/>
          <w:tblHeader/>
        </w:trPr>
        <w:tc>
          <w:tcPr>
            <w:tcW w:w="1202" w:type="pct"/>
            <w:vMerge w:val="restart"/>
          </w:tcPr>
          <w:p w14:paraId="5C98B2DC" w14:textId="77777777" w:rsidR="00C54961" w:rsidRDefault="00C54961" w:rsidP="00DB60E1">
            <w:pPr>
              <w:pStyle w:val="TableBodyText"/>
              <w:spacing w:line="480" w:lineRule="auto"/>
            </w:pPr>
          </w:p>
        </w:tc>
        <w:tc>
          <w:tcPr>
            <w:tcW w:w="2060" w:type="pct"/>
            <w:shd w:val="clear" w:color="auto" w:fill="F2F2F2" w:themeFill="background1" w:themeFillShade="F2"/>
            <w:vAlign w:val="bottom"/>
            <w:hideMark/>
          </w:tcPr>
          <w:p w14:paraId="691293A9" w14:textId="77777777" w:rsidR="00C54961" w:rsidRDefault="00C54961" w:rsidP="00DB60E1">
            <w:pPr>
              <w:pStyle w:val="TableBodyText"/>
              <w:spacing w:before="240" w:after="0" w:line="480" w:lineRule="auto"/>
              <w:rPr>
                <w:b/>
                <w:sz w:val="24"/>
                <w:szCs w:val="24"/>
              </w:rPr>
            </w:pPr>
            <w:r>
              <w:rPr>
                <w:rFonts w:ascii="Verdana" w:hAnsi="Verdana"/>
                <w:b/>
                <w:color w:val="000000" w:themeColor="text1"/>
                <w:sz w:val="24"/>
                <w:szCs w:val="24"/>
              </w:rPr>
              <w:t>Multifactor productivity</w:t>
            </w:r>
          </w:p>
        </w:tc>
        <w:tc>
          <w:tcPr>
            <w:tcW w:w="857" w:type="pct"/>
            <w:shd w:val="clear" w:color="auto" w:fill="F2F2F2" w:themeFill="background1" w:themeFillShade="F2"/>
            <w:vAlign w:val="bottom"/>
            <w:hideMark/>
          </w:tcPr>
          <w:p w14:paraId="08B7B043" w14:textId="77777777" w:rsidR="00C54961" w:rsidRDefault="00C54961" w:rsidP="00F57825">
            <w:pPr>
              <w:pStyle w:val="TableBodyText"/>
              <w:spacing w:before="240" w:after="0" w:line="480" w:lineRule="auto"/>
              <w:ind w:right="28"/>
              <w:rPr>
                <w:b/>
                <w:sz w:val="24"/>
                <w:szCs w:val="24"/>
              </w:rPr>
            </w:pPr>
            <w:r>
              <w:rPr>
                <w:rFonts w:ascii="Verdana" w:hAnsi="Verdana"/>
                <w:b/>
                <w:color w:val="000000" w:themeColor="text1"/>
                <w:sz w:val="24"/>
                <w:szCs w:val="24"/>
              </w:rPr>
              <w:t>+0.</w:t>
            </w:r>
            <w:r w:rsidR="00F57825">
              <w:rPr>
                <w:rFonts w:ascii="Verdana" w:hAnsi="Verdana"/>
                <w:b/>
                <w:color w:val="000000" w:themeColor="text1"/>
                <w:sz w:val="24"/>
                <w:szCs w:val="24"/>
              </w:rPr>
              <w:t>5</w:t>
            </w:r>
            <w:r>
              <w:rPr>
                <w:rFonts w:ascii="Verdana" w:hAnsi="Verdana"/>
                <w:b/>
                <w:color w:val="000000" w:themeColor="text1"/>
                <w:sz w:val="24"/>
                <w:szCs w:val="24"/>
              </w:rPr>
              <w:t>%</w:t>
            </w:r>
          </w:p>
        </w:tc>
        <w:tc>
          <w:tcPr>
            <w:tcW w:w="880" w:type="pct"/>
            <w:shd w:val="clear" w:color="auto" w:fill="F2F2F2" w:themeFill="background1" w:themeFillShade="F2"/>
            <w:vAlign w:val="center"/>
            <w:hideMark/>
          </w:tcPr>
          <w:p w14:paraId="09F1A31B" w14:textId="77777777" w:rsidR="00C54961" w:rsidRDefault="00C54961" w:rsidP="00DB60E1">
            <w:pPr>
              <w:pStyle w:val="TableBodyText"/>
              <w:spacing w:line="480" w:lineRule="auto"/>
              <w:ind w:right="28"/>
            </w:pPr>
            <w:r>
              <w:rPr>
                <w:noProof/>
              </w:rPr>
              <mc:AlternateContent>
                <mc:Choice Requires="wps">
                  <w:drawing>
                    <wp:anchor distT="0" distB="0" distL="114300" distR="114300" simplePos="0" relativeHeight="251658241" behindDoc="0" locked="0" layoutInCell="1" allowOverlap="1" wp14:anchorId="1CA5510B" wp14:editId="0D22D486">
                      <wp:simplePos x="0" y="0"/>
                      <wp:positionH relativeFrom="column">
                        <wp:align>center</wp:align>
                      </wp:positionH>
                      <wp:positionV relativeFrom="paragraph">
                        <wp:posOffset>36195</wp:posOffset>
                      </wp:positionV>
                      <wp:extent cx="414020" cy="396240"/>
                      <wp:effectExtent l="0" t="0" r="5080" b="3810"/>
                      <wp:wrapNone/>
                      <wp:docPr id="1" name="Isosceles Triangle 1" descr="decreased sinc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3385" cy="395605"/>
                              </a:xfrm>
                              <a:prstGeom prst="triangle">
                                <a:avLst>
                                  <a:gd name="adj" fmla="val 50000"/>
                                </a:avLst>
                              </a:prstGeom>
                              <a:solidFill>
                                <a:schemeClr val="accent4"/>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45352" id="Isosceles Triangle 1" o:spid="_x0000_s1026" type="#_x0000_t5" alt="decreased since 2017" style="position:absolute;margin-left:0;margin-top:2.85pt;width:32.6pt;height:31.2pt;flip:y;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6PAIAAFgEAAAOAAAAZHJzL2Uyb0RvYy54bWysVMFu2zAMvQ/YPwi6r07apGuNOkXRokOB&#10;bivQbndFomNtsqhRSpzu60fJRpttt2E+CKIoPj0+kr643PdO7ICiRd/I+dFMCvAajfWbRn55un13&#10;JkVMyhvl0EMjnyHKy9XbNxdDqOEYO3QGSDCIj/UQGtmlFOqqirqDXsUjDODZ2SL1KrFJm8qQGhi9&#10;d9XxbHZaDUgmEGqIkU9vRqdcFfy2BZ0+t22EJFwjmVsqK5V1nddqdaHqDanQWT3RUP/AolfW86Mv&#10;UDcqKbEl+xdUbzVhxDYdaewrbFuroeTA2cxnf2Tz2KkAJRcWJ4YXmeL/g9Wfdg8krOHaSeFVzyW6&#10;ixg1OIjiiazyGweCfQaiZt0MaAIVwQiWW4Ng1u+ziEOINWM9hgfKMsRwj/p7FB6vO4aAKyIcOlCG&#10;qc/z/eq3gGxEDhXr4SMa5qC2CYue+5Z60TobvubADM2aiX0p4PNLAWGfhObDxfzk5GwphWbXyfny&#10;dLYsb6k6w+TgQDF9AOxF3jQyTQkWYLW7j6nU0ExKKPNNirZ33BE75cRyxt8EOF2uXiFL2uisubXO&#10;FSP3MFw7EhzMKWkNPi2m+Hh40/l832OOzNqoejyB0sDMqnQpJzlui3ZZrlH2NZpnlo5wbG4eRt50&#10;SD+lGLixGxl/bBWBFO7Os/zn88UiT0IxFsv3x2zQoWd96FFeM1QjdSIpRuM6jfOzDWQ3Hb811sXj&#10;FRettZlsYTjymgxu35LYNGp5Pg7tcuv1h7D6BQAA//8DAFBLAwQUAAYACAAAACEALRw1LdgAAAAE&#10;AQAADwAAAGRycy9kb3ducmV2LnhtbEyPy27CMBBF95X4B2sqsSsOICikcRB9bdiV9gOceIgj7HEU&#10;myT9+05X7Wo0Old3zhSHyTsxYB/bQAqWiwwEUh1MS42Cr8/3hx2ImDQZ7QKhgm+McChnd4XOTRjp&#10;A4dzagSXUMy1AptSl0sZa4tex0XokJhdQu914rVvpOn1yOXeyVWWbaXXLfEFqzt8sVhfzzev4HW6&#10;kt0Pp8YxfatMZU/j+lmp+f10fAKRcEp/YfjVZ3Uo2akKNzJROAX8SFKweQTBcLtZgah47pYgy0L+&#10;ly9/AAAA//8DAFBLAQItABQABgAIAAAAIQC2gziS/gAAAOEBAAATAAAAAAAAAAAAAAAAAAAAAABb&#10;Q29udGVudF9UeXBlc10ueG1sUEsBAi0AFAAGAAgAAAAhADj9If/WAAAAlAEAAAsAAAAAAAAAAAAA&#10;AAAALwEAAF9yZWxzLy5yZWxzUEsBAi0AFAAGAAgAAAAhAFkM27o8AgAAWAQAAA4AAAAAAAAAAAAA&#10;AAAALgIAAGRycy9lMm9Eb2MueG1sUEsBAi0AFAAGAAgAAAAhAC0cNS3YAAAABAEAAA8AAAAAAAAA&#10;AAAAAAAAlgQAAGRycy9kb3ducmV2LnhtbFBLBQYAAAAABAAEAPMAAACbBQAAAAA=&#10;" fillcolor="#f15a25 [3207]" stroked="f"/>
                  </w:pict>
                </mc:Fallback>
              </mc:AlternateContent>
            </w:r>
          </w:p>
        </w:tc>
      </w:tr>
      <w:tr w:rsidR="00C54961" w14:paraId="1AA47B93" w14:textId="77777777" w:rsidTr="00C60B9B">
        <w:trPr>
          <w:trHeight w:val="567"/>
          <w:tblHeader/>
        </w:trPr>
        <w:tc>
          <w:tcPr>
            <w:tcW w:w="0" w:type="auto"/>
            <w:vMerge/>
            <w:vAlign w:val="center"/>
            <w:hideMark/>
          </w:tcPr>
          <w:p w14:paraId="3C832C9B" w14:textId="77777777" w:rsidR="00C54961" w:rsidRDefault="00C54961" w:rsidP="00DB60E1">
            <w:pPr>
              <w:rPr>
                <w:rFonts w:ascii="Arial" w:hAnsi="Arial"/>
                <w:sz w:val="18"/>
                <w:szCs w:val="20"/>
              </w:rPr>
            </w:pPr>
          </w:p>
        </w:tc>
        <w:tc>
          <w:tcPr>
            <w:tcW w:w="2060" w:type="pct"/>
            <w:shd w:val="clear" w:color="auto" w:fill="F2F2F2" w:themeFill="background1" w:themeFillShade="F2"/>
            <w:vAlign w:val="center"/>
            <w:hideMark/>
          </w:tcPr>
          <w:p w14:paraId="0F531BB1" w14:textId="77777777" w:rsidR="00C54961" w:rsidRDefault="00C54961" w:rsidP="00DB60E1">
            <w:pPr>
              <w:pStyle w:val="TableBodyText"/>
              <w:spacing w:before="120" w:after="120" w:line="276" w:lineRule="auto"/>
            </w:pPr>
            <w:r>
              <w:rPr>
                <w:rFonts w:ascii="Verdana" w:hAnsi="Verdana"/>
                <w:color w:val="000000" w:themeColor="text1"/>
              </w:rPr>
              <w:t>Labour productivity</w:t>
            </w:r>
          </w:p>
        </w:tc>
        <w:tc>
          <w:tcPr>
            <w:tcW w:w="857" w:type="pct"/>
            <w:shd w:val="clear" w:color="auto" w:fill="F2F2F2" w:themeFill="background1" w:themeFillShade="F2"/>
            <w:vAlign w:val="center"/>
            <w:hideMark/>
          </w:tcPr>
          <w:p w14:paraId="0259FF90" w14:textId="77777777" w:rsidR="00C54961" w:rsidRDefault="00F57825" w:rsidP="00F57825">
            <w:pPr>
              <w:pStyle w:val="TableBodyText"/>
              <w:spacing w:before="120" w:after="120" w:line="276" w:lineRule="auto"/>
              <w:ind w:right="28"/>
            </w:pPr>
            <w:r>
              <w:rPr>
                <w:rFonts w:ascii="Verdana" w:hAnsi="Verdana"/>
                <w:color w:val="000000" w:themeColor="text1"/>
              </w:rPr>
              <w:t>+</w:t>
            </w:r>
            <w:r w:rsidR="00C54961">
              <w:rPr>
                <w:rFonts w:ascii="Verdana" w:hAnsi="Verdana"/>
                <w:color w:val="000000" w:themeColor="text1"/>
              </w:rPr>
              <w:t>0.</w:t>
            </w:r>
            <w:r>
              <w:rPr>
                <w:rFonts w:ascii="Verdana" w:hAnsi="Verdana"/>
                <w:color w:val="000000" w:themeColor="text1"/>
              </w:rPr>
              <w:t>4</w:t>
            </w:r>
            <w:r w:rsidR="00C54961">
              <w:rPr>
                <w:rFonts w:ascii="Verdana" w:hAnsi="Verdana"/>
                <w:color w:val="000000" w:themeColor="text1"/>
              </w:rPr>
              <w:t>%</w:t>
            </w:r>
          </w:p>
        </w:tc>
        <w:tc>
          <w:tcPr>
            <w:tcW w:w="880" w:type="pct"/>
            <w:shd w:val="clear" w:color="auto" w:fill="F2F2F2" w:themeFill="background1" w:themeFillShade="F2"/>
            <w:vAlign w:val="center"/>
            <w:hideMark/>
          </w:tcPr>
          <w:p w14:paraId="51ADFBDF"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42" behindDoc="0" locked="0" layoutInCell="1" allowOverlap="1" wp14:anchorId="0C3FD962" wp14:editId="08834561">
                      <wp:simplePos x="0" y="0"/>
                      <wp:positionH relativeFrom="column">
                        <wp:align>center</wp:align>
                      </wp:positionH>
                      <wp:positionV relativeFrom="paragraph">
                        <wp:posOffset>36195</wp:posOffset>
                      </wp:positionV>
                      <wp:extent cx="291465" cy="273685"/>
                      <wp:effectExtent l="0" t="0" r="0" b="0"/>
                      <wp:wrapNone/>
                      <wp:docPr id="11" name="Isosceles Triangle 11" descr="decreased sinc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91465" cy="273050"/>
                              </a:xfrm>
                              <a:prstGeom prst="triangle">
                                <a:avLst>
                                  <a:gd name="adj" fmla="val 50000"/>
                                </a:avLst>
                              </a:prstGeom>
                              <a:solidFill>
                                <a:schemeClr val="accent4"/>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EA200" id="Isosceles Triangle 11" o:spid="_x0000_s1026" type="#_x0000_t5" alt="decreased since 2017" style="position:absolute;margin-left:0;margin-top:2.85pt;width:22.95pt;height:21.55pt;flip:x y;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ZyQwIAAGQEAAAOAAAAZHJzL2Uyb0RvYy54bWysVN9vEzEMfkfif4jyzq4t7QanXadp02AS&#10;PyZt8J4mvl4gFwcn7XX89Ti5YxR4Q9xDZMf2F/uzfecXh96JPVC06Bs5P5lJAV6jsX7byE8PNy9e&#10;SRGT8kY59NDIR4jyYv382fkQalhgh84ACQbxsR5CI7uUQl1VUXfQq3iCATwbW6ReJVZpWxlSA6P3&#10;rlrMZqfVgGQCoYYY+fZ6NMp1wW9b0Olj20ZIwjWSc0vlpHJu8lmtz1W9JRU6q6c01D9k0Svr+dEn&#10;qGuVlNiR/Quqt5owYptONPYVtq3VUGrgauazP6q571SAUguTE8MTTfH/weoP+zsS1nDv5lJ41XOP&#10;biNGDQ6ieCCr/NaByEYDUTNzBjSBimAEE65BcN5nmcYhxJrR7sMdZSJieIf6axQerzrGgEsiHDpQ&#10;hpOfZ//qt4CsRA4Vm+E9Gk5C7RIWRg8t9aJ1NrzNgUX6nKX8CPMnDqWZj0/NhEMSmi8Xr+fL05UU&#10;mk2Ls5ezVWl2peoMmIMDxfQGsBdZaGSaai3Aav8uptJPM5GizBd+vHc8HXvlxGrGXylD1ZMzQ/+E&#10;LASgs+bGOleUPM9w5UhwMBenNfi0nOLjsafz2d9jjswsqXq8gTLMnFWZWC5yFAuLmbixARs0j0wi&#10;4TjovJgsdEjfpRh4yBsZv+0UgRTu1nMjmKJl3oqiLFdnC1bo2LI5tiivGaqROpEUo3KVxl3aBbLb&#10;jt8a++LxktvX2pxsyXDMa1J4lEth09rlXTnWi9evn8P6BwAAAP//AwBQSwMEFAAGAAgAAAAhAPf7&#10;EC/bAAAABAEAAA8AAABkcnMvZG93bnJldi54bWxMj81qwzAQhO+FvIPYQC+lkRvy47qWQ1toyCnQ&#10;NA+gWFvZxFoZSXHct+/m1J6WYYaZb8vN6DoxYIitJwVPswwEUu1NS1bB8evjMQcRkyajO0+o4Acj&#10;bKrJXakL46/0icMhWcElFAutoEmpL6SMdYNOx5nvkdj79sHpxDJYaYK+crnr5DzLVtLplnih0T2+&#10;N1ifDxenwNq38w5pMV+7XQrDyu63x/5Bqfvp+PoCIuGY/sJww2d0qJjp5C9kougU8CNJwXINgs3F&#10;8hnEiW+eg6xK+R+++gUAAP//AwBQSwECLQAUAAYACAAAACEAtoM4kv4AAADhAQAAEwAAAAAAAAAA&#10;AAAAAAAAAAAAW0NvbnRlbnRfVHlwZXNdLnhtbFBLAQItABQABgAIAAAAIQA4/SH/1gAAAJQBAAAL&#10;AAAAAAAAAAAAAAAAAC8BAABfcmVscy8ucmVsc1BLAQItABQABgAIAAAAIQCGhSZyQwIAAGQEAAAO&#10;AAAAAAAAAAAAAAAAAC4CAABkcnMvZTJvRG9jLnhtbFBLAQItABQABgAIAAAAIQD3+xAv2wAAAAQB&#10;AAAPAAAAAAAAAAAAAAAAAJ0EAABkcnMvZG93bnJldi54bWxQSwUGAAAAAAQABADzAAAApQUAAAAA&#10;" fillcolor="#f15a25 [3207]" stroked="f"/>
                  </w:pict>
                </mc:Fallback>
              </mc:AlternateContent>
            </w:r>
          </w:p>
        </w:tc>
      </w:tr>
      <w:tr w:rsidR="00C54961" w14:paraId="78E27F78" w14:textId="77777777" w:rsidTr="00C60B9B">
        <w:trPr>
          <w:trHeight w:val="567"/>
          <w:tblHeader/>
        </w:trPr>
        <w:tc>
          <w:tcPr>
            <w:tcW w:w="0" w:type="auto"/>
            <w:vMerge/>
            <w:vAlign w:val="center"/>
            <w:hideMark/>
          </w:tcPr>
          <w:p w14:paraId="33256D8D" w14:textId="77777777" w:rsidR="00C54961" w:rsidRDefault="00C54961" w:rsidP="00DB60E1">
            <w:pPr>
              <w:rPr>
                <w:rFonts w:ascii="Arial" w:hAnsi="Arial"/>
                <w:sz w:val="18"/>
                <w:szCs w:val="20"/>
              </w:rPr>
            </w:pPr>
          </w:p>
        </w:tc>
        <w:tc>
          <w:tcPr>
            <w:tcW w:w="2060" w:type="pct"/>
            <w:shd w:val="clear" w:color="auto" w:fill="F2F2F2" w:themeFill="background1" w:themeFillShade="F2"/>
            <w:vAlign w:val="center"/>
            <w:hideMark/>
          </w:tcPr>
          <w:p w14:paraId="3DE88813" w14:textId="77777777" w:rsidR="00C54961" w:rsidRDefault="00C54961" w:rsidP="00DB60E1">
            <w:pPr>
              <w:pStyle w:val="TableBodyText"/>
              <w:spacing w:before="120" w:after="120" w:line="276" w:lineRule="auto"/>
            </w:pPr>
            <w:r>
              <w:rPr>
                <w:rFonts w:ascii="Verdana" w:hAnsi="Verdana"/>
                <w:color w:val="000000" w:themeColor="text1"/>
              </w:rPr>
              <w:t>Output</w:t>
            </w:r>
          </w:p>
        </w:tc>
        <w:tc>
          <w:tcPr>
            <w:tcW w:w="857" w:type="pct"/>
            <w:shd w:val="clear" w:color="auto" w:fill="F2F2F2" w:themeFill="background1" w:themeFillShade="F2"/>
            <w:vAlign w:val="center"/>
            <w:hideMark/>
          </w:tcPr>
          <w:p w14:paraId="1CB9102E" w14:textId="77777777" w:rsidR="00C54961" w:rsidRDefault="00C54961" w:rsidP="00F57825">
            <w:pPr>
              <w:pStyle w:val="TableBodyText"/>
              <w:spacing w:before="120" w:after="120" w:line="276" w:lineRule="auto"/>
              <w:ind w:right="28"/>
            </w:pPr>
            <w:r>
              <w:rPr>
                <w:rFonts w:ascii="Verdana" w:hAnsi="Verdana"/>
                <w:color w:val="000000" w:themeColor="text1"/>
              </w:rPr>
              <w:t>+2.</w:t>
            </w:r>
            <w:r w:rsidR="00F57825">
              <w:rPr>
                <w:rFonts w:ascii="Verdana" w:hAnsi="Verdana"/>
                <w:color w:val="000000" w:themeColor="text1"/>
              </w:rPr>
              <w:t>6</w:t>
            </w:r>
            <w:r>
              <w:rPr>
                <w:rFonts w:ascii="Verdana" w:hAnsi="Verdana"/>
                <w:color w:val="000000" w:themeColor="text1"/>
              </w:rPr>
              <w:t>%</w:t>
            </w:r>
          </w:p>
        </w:tc>
        <w:tc>
          <w:tcPr>
            <w:tcW w:w="880" w:type="pct"/>
            <w:shd w:val="clear" w:color="auto" w:fill="F2F2F2" w:themeFill="background1" w:themeFillShade="F2"/>
            <w:vAlign w:val="center"/>
            <w:hideMark/>
          </w:tcPr>
          <w:p w14:paraId="02AE6EEF"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43" behindDoc="0" locked="0" layoutInCell="1" allowOverlap="1" wp14:anchorId="2F0961FC" wp14:editId="1600C42C">
                      <wp:simplePos x="0" y="0"/>
                      <wp:positionH relativeFrom="column">
                        <wp:align>center</wp:align>
                      </wp:positionH>
                      <wp:positionV relativeFrom="paragraph">
                        <wp:posOffset>36195</wp:posOffset>
                      </wp:positionV>
                      <wp:extent cx="291465" cy="273685"/>
                      <wp:effectExtent l="0" t="0" r="0" b="0"/>
                      <wp:wrapNone/>
                      <wp:docPr id="10" name="Isosceles Triangle 10" descr="increased sinc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73050"/>
                              </a:xfrm>
                              <a:prstGeom prst="triangle">
                                <a:avLst>
                                  <a:gd name="adj" fmla="val 50000"/>
                                </a:avLst>
                              </a:prstGeom>
                              <a:solidFill>
                                <a:schemeClr val="accent1"/>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96ABD" id="Isosceles Triangle 10" o:spid="_x0000_s1026" type="#_x0000_t5" alt="increased since 2017" style="position:absolute;margin-left:0;margin-top:2.85pt;width:22.95pt;height:21.5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HDOAIAAFAEAAAOAAAAZHJzL2Uyb0RvYy54bWysVFFvEzEMfkfiP0R5Z9eWdYNTr9PUaWjS&#10;gEkbPyBNfL1ALg5O2uv49Ti5rhR4Q9xDFMf2l8+fnVtc7XsndkDRom/k9GwiBXiNxvpNI7883b55&#10;J0VMyhvl0EMjnyHKq+XrV4sh1DDDDp0BEgziYz2ERnYphbqqou6gV/EMA3h2tki9SmzSpjKkBkbv&#10;XTWbTC6qAckEQg0x8unN6JTLgt+2oNPnto2QhGskc0tlpbKu81otF6rekAqd1Qca6h9Y9Mp6vvQI&#10;daOSEluyf0H1VhNGbNOZxr7CtrUaSg1czXTyRzWPnQpQamFxYjjKFP8frP60eyBhDfeO5fGq5x7d&#10;RYwaHETxRFb5jQORnQaiZuWs1wQqghEsuAbBvC+zjEOINaM9hgfKQsRwj/pbFB5XHWPANREOHSjD&#10;5Kc5vvotIRuRU8V6+IiGSahtwqLovqU+A7JWYl8a93xsHOyT0Hw4ez89v5hLodk1u3w7mZfGVqp+&#10;SQ4U0wfAXuRNI9OhrnKB2t3HVHpnDgIo81WKtnc8CTvlxHzCX6Gs6kMwQ79AlmLRWXNrnStGnl1Y&#10;ORKczIVoDT6NJbMsp5HO53iPOTMrourxBMrgMqsynVzkuC2KZZFGsddonlkwwnGo+RHypkP6IcXA&#10;A93I+H2rCKRwd55FZ4nO8wsoxvn8csYGnXrWpx7lNUM1UieSYjRWaXw320B20/Fd0yKfx2tuVWsz&#10;2cJw5HUweGxLYYcnlt/FqV2ifv0Ilj8BAAD//wMAUEsDBBQABgAIAAAAIQBCTY/23AAAAAQBAAAP&#10;AAAAZHJzL2Rvd25yZXYueG1sTI9Ba8JAEIXvhf6HZQq91Y1Sa4zZiApSKEVaK3jdZMckmJ0N2U1M&#10;/32np/Y0PN7jvW/S9WgbMWDna0cKppMIBFLhTE2lgtPX/ikG4YMmoxtHqOAbPayz+7tUJ8bd6BOH&#10;YygFl5BPtIIqhDaR0hcVWu0nrkVi7+I6qwPLrpSm0zcut42cRdGLtLomXqh0i7sKi+uxtwrij822&#10;l5f32Xk47Gk7Nbl7e10o9fgwblYgAo7hLwy/+IwOGTPlrifjRaOAHwkK5gsQbD7PlyByvnEMMkvl&#10;f/jsBwAA//8DAFBLAQItABQABgAIAAAAIQC2gziS/gAAAOEBAAATAAAAAAAAAAAAAAAAAAAAAABb&#10;Q29udGVudF9UeXBlc10ueG1sUEsBAi0AFAAGAAgAAAAhADj9If/WAAAAlAEAAAsAAAAAAAAAAAAA&#10;AAAALwEAAF9yZWxzLy5yZWxzUEsBAi0AFAAGAAgAAAAhALaoYcM4AgAAUAQAAA4AAAAAAAAAAAAA&#10;AAAALgIAAGRycy9lMm9Eb2MueG1sUEsBAi0AFAAGAAgAAAAhAEJNj/bcAAAABAEAAA8AAAAAAAAA&#10;AAAAAAAAkgQAAGRycy9kb3ducmV2LnhtbFBLBQYAAAAABAAEAPMAAACbBQAAAAA=&#10;" fillcolor="#78a22f [3204]" stroked="f"/>
                  </w:pict>
                </mc:Fallback>
              </mc:AlternateContent>
            </w:r>
          </w:p>
        </w:tc>
      </w:tr>
      <w:tr w:rsidR="00C54961" w14:paraId="3E41F129" w14:textId="77777777" w:rsidTr="00C60B9B">
        <w:trPr>
          <w:trHeight w:val="567"/>
          <w:tblHeader/>
        </w:trPr>
        <w:tc>
          <w:tcPr>
            <w:tcW w:w="0" w:type="auto"/>
            <w:vMerge/>
            <w:vAlign w:val="center"/>
            <w:hideMark/>
          </w:tcPr>
          <w:p w14:paraId="244104BA" w14:textId="77777777" w:rsidR="00C54961" w:rsidRDefault="00C54961" w:rsidP="00DB60E1">
            <w:pPr>
              <w:rPr>
                <w:rFonts w:ascii="Arial" w:hAnsi="Arial"/>
                <w:sz w:val="18"/>
                <w:szCs w:val="20"/>
              </w:rPr>
            </w:pPr>
          </w:p>
        </w:tc>
        <w:tc>
          <w:tcPr>
            <w:tcW w:w="2060" w:type="pct"/>
            <w:shd w:val="clear" w:color="auto" w:fill="F2F2F2" w:themeFill="background1" w:themeFillShade="F2"/>
            <w:vAlign w:val="center"/>
            <w:hideMark/>
          </w:tcPr>
          <w:p w14:paraId="6D5F0DCA" w14:textId="77777777" w:rsidR="00C54961" w:rsidRDefault="00C54961" w:rsidP="00DB60E1">
            <w:pPr>
              <w:pStyle w:val="TableBodyText"/>
              <w:spacing w:before="120" w:after="120" w:line="276" w:lineRule="auto"/>
            </w:pPr>
            <w:r>
              <w:rPr>
                <w:rFonts w:ascii="Verdana" w:hAnsi="Verdana"/>
                <w:color w:val="000000" w:themeColor="text1"/>
              </w:rPr>
              <w:t>Labour input</w:t>
            </w:r>
          </w:p>
        </w:tc>
        <w:tc>
          <w:tcPr>
            <w:tcW w:w="857" w:type="pct"/>
            <w:shd w:val="clear" w:color="auto" w:fill="F2F2F2" w:themeFill="background1" w:themeFillShade="F2"/>
            <w:vAlign w:val="center"/>
            <w:hideMark/>
          </w:tcPr>
          <w:p w14:paraId="72A0DD64" w14:textId="77777777" w:rsidR="00C54961" w:rsidRDefault="00C54961" w:rsidP="00F57825">
            <w:pPr>
              <w:pStyle w:val="TableBodyText"/>
              <w:spacing w:before="120" w:after="120" w:line="276" w:lineRule="auto"/>
              <w:ind w:right="28"/>
            </w:pPr>
            <w:r>
              <w:rPr>
                <w:rFonts w:ascii="Verdana" w:hAnsi="Verdana"/>
                <w:color w:val="000000" w:themeColor="text1"/>
              </w:rPr>
              <w:t>+</w:t>
            </w:r>
            <w:r w:rsidR="00F57825">
              <w:rPr>
                <w:rFonts w:ascii="Verdana" w:hAnsi="Verdana"/>
                <w:color w:val="000000" w:themeColor="text1"/>
              </w:rPr>
              <w:t>2.</w:t>
            </w:r>
            <w:r>
              <w:rPr>
                <w:rFonts w:ascii="Verdana" w:hAnsi="Verdana"/>
                <w:color w:val="000000" w:themeColor="text1"/>
              </w:rPr>
              <w:t>3%</w:t>
            </w:r>
          </w:p>
        </w:tc>
        <w:tc>
          <w:tcPr>
            <w:tcW w:w="880" w:type="pct"/>
            <w:shd w:val="clear" w:color="auto" w:fill="F2F2F2" w:themeFill="background1" w:themeFillShade="F2"/>
            <w:vAlign w:val="center"/>
            <w:hideMark/>
          </w:tcPr>
          <w:p w14:paraId="205A2B75"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44" behindDoc="0" locked="0" layoutInCell="1" allowOverlap="1" wp14:anchorId="36728FFC" wp14:editId="640A7705">
                      <wp:simplePos x="0" y="0"/>
                      <wp:positionH relativeFrom="column">
                        <wp:align>center</wp:align>
                      </wp:positionH>
                      <wp:positionV relativeFrom="paragraph">
                        <wp:posOffset>36830</wp:posOffset>
                      </wp:positionV>
                      <wp:extent cx="291465" cy="273685"/>
                      <wp:effectExtent l="0" t="0" r="0" b="0"/>
                      <wp:wrapNone/>
                      <wp:docPr id="16" name="Isosceles Triangle 16" descr="v"/>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465" cy="273050"/>
                              </a:xfrm>
                              <a:prstGeom prst="triangle">
                                <a:avLst>
                                  <a:gd name="adj" fmla="val 50000"/>
                                </a:avLst>
                              </a:prstGeom>
                              <a:solidFill>
                                <a:schemeClr val="accent1"/>
                              </a:solidFill>
                              <a:ln>
                                <a:noFill/>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B6A09" id="Isosceles Triangle 16" o:spid="_x0000_s1026" type="#_x0000_t5" alt="v" style="position:absolute;margin-left:0;margin-top:2.9pt;width:22.95pt;height:21.55pt;flip:x;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IAMgIAAEcEAAAOAAAAZHJzL2Uyb0RvYy54bWysU1FvEzEMfkfiP0R5Z9eWdYNTr9PUaTBp&#10;wKSNH5Amvl4gFwcn7XX8epxcKQXeEPcQnWP7i7/P9uJq3zuxA4oWfSOnZxMpwGs01m8a+fnp9tUb&#10;KWJS3iiHHhr5DFFeLV++WAyhhhl26AyQYBAf6yE0sksp1FUVdQe9imcYwLOzRepVYpM2lSE1MHrv&#10;qtlkclENSCYQaoiRb29Gp1wW/LYFnT61bYQkXCO5tlROKuc6n9VyoeoNqdBZfShD/UMVvbKeHz1C&#10;3aikxJbsX1C91YQR23Smsa+wba2GwoHZTCd/sHnsVIDChcWJ4ShT/H+w+uPugYQ13LsLKbzquUd3&#10;EaMGB1E8kVV+40Bkp4GoWbld1mwIsebUx/BAmXUM96i/RuFx1XECXBPh0IEyXOk0x1e/JWQjcqpY&#10;Dx/Q8Itqm7DIt2+pF62z4X1OzNAskdiXfj0f+wX7JDRfzt5Ozy/mUmh2zS5fT+aln5WqM0xODhTT&#10;O8Be5J9GpgOdAqx29zGVlpkDb2W+SNH2jgdgp5yYT/grxav6EMzQPyELbXTW3FrnipFHFlaOBCcz&#10;Ja3Bp5E8C3Qa6XyO95gzszaqHm+gzCtXVYaSSY6/Rbss1yj7Gs0zS0c4zjLvHv90SN+lGHiOGxm/&#10;bRWBFO7Os/ws0Xke/GKczy9nbNCpZ33qUV4zVCN1IilGY5XGddkGspuO3xr74vGam9baXGypcKzr&#10;YPC0FmKHzcrrcGqXqF/7v/wBAAD//wMAUEsDBBQABgAIAAAAIQB27di22wAAAAQBAAAPAAAAZHJz&#10;L2Rvd25yZXYueG1sTI/BasMwEETvhfyD2EBvjZwQl8S1HEKhLpRemhZ6la2NbWKtFEtO3L/v9tSc&#10;hmWWmTf5brK9uOAQOkcKlosEBFLtTEeNgq/Pl4cNiBA1Gd07QgU/GGBXzO5ynRl3pQ+8HGIjOIRC&#10;phW0MfpMylC3aHVYOI/E3tENVkc+h0aaQV853PZylSSP0uqOuKHVHp9brE+H0XLJN56P72/pWNXr&#10;sixfjV+NlVfqfj7tn0BEnOL/M/zhMzoUzFS5kUwQvQIeEhWkjM/mOt2CqFg3W5BFLm/hi18AAAD/&#10;/wMAUEsBAi0AFAAGAAgAAAAhALaDOJL+AAAA4QEAABMAAAAAAAAAAAAAAAAAAAAAAFtDb250ZW50&#10;X1R5cGVzXS54bWxQSwECLQAUAAYACAAAACEAOP0h/9YAAACUAQAACwAAAAAAAAAAAAAAAAAvAQAA&#10;X3JlbHMvLnJlbHNQSwECLQAUAAYACAAAACEAhWqSADICAABHBAAADgAAAAAAAAAAAAAAAAAuAgAA&#10;ZHJzL2Uyb0RvYy54bWxQSwECLQAUAAYACAAAACEAdu3YttsAAAAEAQAADwAAAAAAAAAAAAAAAACM&#10;BAAAZHJzL2Rvd25yZXYueG1sUEsFBgAAAAAEAAQA8wAAAJQFAAAAAA==&#10;" fillcolor="#78a22f [3204]" stroked="f"/>
                  </w:pict>
                </mc:Fallback>
              </mc:AlternateContent>
            </w:r>
          </w:p>
        </w:tc>
      </w:tr>
      <w:tr w:rsidR="00C54961" w14:paraId="286DD7FB" w14:textId="77777777" w:rsidTr="00C60B9B">
        <w:trPr>
          <w:trHeight w:val="567"/>
          <w:tblHeader/>
        </w:trPr>
        <w:tc>
          <w:tcPr>
            <w:tcW w:w="0" w:type="auto"/>
            <w:vMerge/>
            <w:vAlign w:val="center"/>
            <w:hideMark/>
          </w:tcPr>
          <w:p w14:paraId="02CD7A94" w14:textId="77777777" w:rsidR="00C54961" w:rsidRDefault="00C54961" w:rsidP="00DB60E1">
            <w:pPr>
              <w:rPr>
                <w:rFonts w:ascii="Arial" w:hAnsi="Arial"/>
                <w:sz w:val="18"/>
                <w:szCs w:val="20"/>
              </w:rPr>
            </w:pPr>
          </w:p>
        </w:tc>
        <w:tc>
          <w:tcPr>
            <w:tcW w:w="2060" w:type="pct"/>
            <w:shd w:val="clear" w:color="auto" w:fill="F2F2F2" w:themeFill="background1" w:themeFillShade="F2"/>
            <w:vAlign w:val="center"/>
            <w:hideMark/>
          </w:tcPr>
          <w:p w14:paraId="1FE43A96" w14:textId="77777777" w:rsidR="00C54961" w:rsidRDefault="00C54961" w:rsidP="00DB60E1">
            <w:pPr>
              <w:pStyle w:val="TableBodyText"/>
              <w:spacing w:before="120" w:after="120" w:line="276" w:lineRule="auto"/>
            </w:pPr>
            <w:r>
              <w:rPr>
                <w:rFonts w:ascii="Verdana" w:hAnsi="Verdana"/>
                <w:color w:val="000000" w:themeColor="text1"/>
              </w:rPr>
              <w:t>Capital input</w:t>
            </w:r>
          </w:p>
        </w:tc>
        <w:tc>
          <w:tcPr>
            <w:tcW w:w="857" w:type="pct"/>
            <w:shd w:val="clear" w:color="auto" w:fill="F2F2F2" w:themeFill="background1" w:themeFillShade="F2"/>
            <w:vAlign w:val="center"/>
            <w:hideMark/>
          </w:tcPr>
          <w:p w14:paraId="11A85687" w14:textId="77777777" w:rsidR="00C54961" w:rsidRPr="00C04805" w:rsidRDefault="00C54961" w:rsidP="00F57825">
            <w:pPr>
              <w:pStyle w:val="TableBodyText"/>
              <w:spacing w:before="120" w:after="120" w:line="276" w:lineRule="auto"/>
              <w:ind w:right="28"/>
              <w:rPr>
                <w:rFonts w:ascii="Verdana" w:hAnsi="Verdana"/>
                <w:color w:val="000000" w:themeColor="text1"/>
              </w:rPr>
            </w:pPr>
            <w:r>
              <w:rPr>
                <w:rFonts w:ascii="Verdana" w:hAnsi="Verdana"/>
                <w:color w:val="000000" w:themeColor="text1"/>
              </w:rPr>
              <w:t>+</w:t>
            </w:r>
            <w:r w:rsidR="00F57825">
              <w:rPr>
                <w:rFonts w:ascii="Verdana" w:hAnsi="Verdana"/>
                <w:color w:val="000000" w:themeColor="text1"/>
              </w:rPr>
              <w:t>2.0</w:t>
            </w:r>
            <w:r>
              <w:rPr>
                <w:rFonts w:ascii="Verdana" w:hAnsi="Verdana"/>
                <w:color w:val="000000" w:themeColor="text1"/>
              </w:rPr>
              <w:t>%</w:t>
            </w:r>
          </w:p>
        </w:tc>
        <w:tc>
          <w:tcPr>
            <w:tcW w:w="880" w:type="pct"/>
            <w:shd w:val="clear" w:color="auto" w:fill="F2F2F2" w:themeFill="background1" w:themeFillShade="F2"/>
            <w:vAlign w:val="center"/>
            <w:hideMark/>
          </w:tcPr>
          <w:p w14:paraId="020C2ED8"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45" behindDoc="0" locked="0" layoutInCell="1" allowOverlap="1" wp14:anchorId="0084F375" wp14:editId="077C6D8E">
                      <wp:simplePos x="0" y="0"/>
                      <wp:positionH relativeFrom="column">
                        <wp:posOffset>314960</wp:posOffset>
                      </wp:positionH>
                      <wp:positionV relativeFrom="paragraph">
                        <wp:posOffset>117475</wp:posOffset>
                      </wp:positionV>
                      <wp:extent cx="266065" cy="46355"/>
                      <wp:effectExtent l="0" t="0" r="635" b="0"/>
                      <wp:wrapNone/>
                      <wp:docPr id="28" name="Rectangle 28"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04EE" id="Rectangle 28" o:spid="_x0000_s1026" alt="unchanged" style="position:absolute;margin-left:24.8pt;margin-top:9.25pt;width:20.95pt;height: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I3pgIAAK0FAAAOAAAAZHJzL2Uyb0RvYy54bWysVM1u2zAMvg/YOwi6r3bSJN2COkXQosOA&#10;oi3aDj0rshQbkERNUuJkTz9KspOsK3YY5oNMiuTHH5G8vNppRbbC+RZMRUdnJSXCcKhbs67o95fb&#10;T58p8YGZmikwoqJ74enV4uOHy87OxRgaULVwBEGMn3e2ok0Idl4UnjdCM38GVhgUSnCaBWTduqgd&#10;6xBdq2JclrOiA1dbB1x4j7c3WUgXCV9KwcODlF4EoiqKsYV0unSu4lksLtl87ZhtWt6Hwf4hCs1a&#10;g04PUDcsMLJx7R9QuuUOPMhwxkEXIGXLRcoBsxmVb7J5bpgVKRcsjreHMvn/B8vvt4+OtHVFx/hS&#10;hml8oyesGjNrJUi8q4XnWLCN4Q1eijqWrLN+jpbP9tH1nEcy5r+TTsc/ZkZ2qcz7Q5nFLhCOl+PZ&#10;rJxNKeEomszOp9MIWRxtrfPhqwBNIlFRh+Gk2rLtnQ9ZdVCJrjyotr5tlUpMbBxxrRzZMnzy1Xrc&#10;g/+mpQzpKno+upgmYAPRPCMrE2FEap3eXcw255eosFci6ijzJCSWLmaUYFLTHn0zzoUJoyxqWC1y&#10;SNMSvyGoIdqUfwKMyBKjOWD3AINmBhmwc8y9/jHwg3H5t8CycU4VLZJnMOFgrFsD7j0AhVn1nrM+&#10;hn9SmkiuoN5jYznIE+ctv23xNe+YD4/M4YjhMOLaCA94SAX4GtBTlDTgfr53H/Wx81FKSYcjW1H/&#10;Y8OcoER9MzgTX0aTSZzxxEymF2Nk3KlkdSoxG30N2CIjXFCWJzLqBzWQ0oF+xe2yjF5RxHACACeB&#10;Bzcw1yGvEtxPXCyXSQ3n2rJwZ54tj+CxqrFbX3avzNm+pQOOwj0M483mbzo760ZLA8tNANmmtj/W&#10;ta837oTUOP3+ikvnlE9axy27+AUAAP//AwBQSwMEFAAGAAgAAAAhAI59H7rcAAAABwEAAA8AAABk&#10;cnMvZG93bnJldi54bWxMjsFOwzAQRO9I/IO1SNyok5aWNMSpEFK5AIcWPmAbL0lEvI5iNwl8PcsJ&#10;TqOdGc2+Yje7To00hNazgXSRgCKuvG25NvD+tr/JQIWIbLHzTAa+KMCuvLwoMLd+4gONx1grGeGQ&#10;o4Emxj7XOlQNOQwL3xNL9uEHh1HOodZ2wEnGXaeXSbLRDluWDw329NhQ9Xk8OwPf/FzfudWYVdPL&#10;02HvQlyl46sx11fzwz2oSHP8K8MvvqBDKUwnf2YbVGfgdruRpvjZGpTk21T0ZGC5zkCXhf7PX/4A&#10;AAD//wMAUEsBAi0AFAAGAAgAAAAhALaDOJL+AAAA4QEAABMAAAAAAAAAAAAAAAAAAAAAAFtDb250&#10;ZW50X1R5cGVzXS54bWxQSwECLQAUAAYACAAAACEAOP0h/9YAAACUAQAACwAAAAAAAAAAAAAAAAAv&#10;AQAAX3JlbHMvLnJlbHNQSwECLQAUAAYACAAAACEA01OiN6YCAACtBQAADgAAAAAAAAAAAAAAAAAu&#10;AgAAZHJzL2Uyb0RvYy54bWxQSwECLQAUAAYACAAAACEAjn0futwAAAAHAQAADwAAAAAAAAAAAAAA&#10;AAAABQAAZHJzL2Rvd25yZXYueG1sUEsFBgAAAAAEAAQA8wAAAAkGAAAAAA==&#10;" fillcolor="#265a9a [3214]" stroked="f" strokeweight=".25pt"/>
                  </w:pict>
                </mc:Fallback>
              </mc:AlternateContent>
            </w:r>
          </w:p>
        </w:tc>
      </w:tr>
    </w:tbl>
    <w:p w14:paraId="190384EA" w14:textId="5A3C515F" w:rsidR="00C54961" w:rsidRDefault="00C54961" w:rsidP="000D658D">
      <w:pPr>
        <w:spacing w:before="360" w:after="120" w:line="240" w:lineRule="exact"/>
        <w:rPr>
          <w:rFonts w:ascii="Verdana" w:eastAsia="Verdana" w:hAnsi="Verdana" w:cs="Verdana"/>
          <w:b/>
          <w:color w:val="3B5117" w:themeColor="accent1" w:themeShade="80"/>
        </w:rPr>
      </w:pPr>
      <w:r w:rsidRPr="00191FAC">
        <w:rPr>
          <w:rFonts w:ascii="Verdana" w:eastAsia="Verdana" w:hAnsi="Verdana" w:cs="Verdana"/>
          <w:b/>
          <w:color w:val="3B5117" w:themeColor="accent1" w:themeShade="80"/>
        </w:rPr>
        <w:t>Long</w:t>
      </w:r>
      <w:r w:rsidRPr="00191FAC">
        <w:rPr>
          <w:rFonts w:ascii="Verdana" w:eastAsia="Verdana" w:hAnsi="Verdana" w:cs="Verdana"/>
          <w:b/>
          <w:color w:val="3B5117" w:themeColor="accent1" w:themeShade="80"/>
        </w:rPr>
        <w:noBreakHyphen/>
        <w:t>term</w:t>
      </w:r>
      <w:r w:rsidR="00F57825" w:rsidRPr="00191FAC">
        <w:rPr>
          <w:rFonts w:ascii="Verdana" w:eastAsia="Verdana" w:hAnsi="Verdana" w:cs="Verdana"/>
          <w:b/>
          <w:color w:val="3B5117" w:themeColor="accent1" w:themeShade="80"/>
        </w:rPr>
        <w:t xml:space="preserve"> </w:t>
      </w:r>
      <w:r w:rsidRPr="00191FAC">
        <w:rPr>
          <w:rFonts w:ascii="Verdana" w:eastAsia="Verdana" w:hAnsi="Verdana" w:cs="Verdana"/>
          <w:b/>
          <w:color w:val="3B5117" w:themeColor="accent1" w:themeShade="80"/>
        </w:rPr>
        <w:t>growth rate</w:t>
      </w:r>
      <w:r w:rsidR="00F57825" w:rsidRPr="00191FAC">
        <w:rPr>
          <w:rFonts w:ascii="Verdana" w:eastAsia="Verdana" w:hAnsi="Verdana" w:cs="Verdana"/>
          <w:b/>
          <w:color w:val="3B5117" w:themeColor="accent1" w:themeShade="80"/>
        </w:rPr>
        <w:t>,</w:t>
      </w:r>
      <w:r w:rsidRPr="00191FAC">
        <w:rPr>
          <w:rFonts w:ascii="Verdana" w:eastAsia="Verdana" w:hAnsi="Verdana" w:cs="Verdana"/>
          <w:b/>
          <w:color w:val="3B5117" w:themeColor="accent1" w:themeShade="80"/>
        </w:rPr>
        <w:t xml:space="preserve"> 1974</w:t>
      </w:r>
      <w:r w:rsidRPr="00191FAC">
        <w:rPr>
          <w:rFonts w:ascii="Verdana" w:eastAsia="Verdana" w:hAnsi="Verdana" w:cs="Verdana"/>
          <w:b/>
          <w:color w:val="3B5117" w:themeColor="accent1" w:themeShade="80"/>
        </w:rPr>
        <w:noBreakHyphen/>
        <w:t>75 to 2017</w:t>
      </w:r>
      <w:r w:rsidRPr="00191FAC">
        <w:rPr>
          <w:rFonts w:ascii="Verdana" w:eastAsia="Verdana" w:hAnsi="Verdana" w:cs="Verdana"/>
          <w:b/>
          <w:color w:val="3B5117" w:themeColor="accent1" w:themeShade="80"/>
        </w:rPr>
        <w:noBreakHyphen/>
        <w:t>18</w:t>
      </w:r>
      <w:r w:rsidR="00F57825" w:rsidRPr="00191FAC">
        <w:rPr>
          <w:rFonts w:ascii="Verdana" w:eastAsia="Verdana" w:hAnsi="Verdana" w:cs="Verdana"/>
          <w:b/>
          <w:color w:val="3B5117" w:themeColor="accent1" w:themeShade="80"/>
        </w:rPr>
        <w:t xml:space="preserve"> (</w:t>
      </w:r>
      <w:r w:rsidR="001355C4" w:rsidRPr="00191FAC">
        <w:rPr>
          <w:rFonts w:ascii="Verdana" w:eastAsia="Verdana" w:hAnsi="Verdana" w:cs="Verdana"/>
          <w:b/>
          <w:color w:val="3B5117" w:themeColor="accent1" w:themeShade="80"/>
        </w:rPr>
        <w:t>per</w:t>
      </w:r>
      <w:r w:rsidR="001355C4">
        <w:rPr>
          <w:rFonts w:ascii="Verdana" w:eastAsia="Verdana" w:hAnsi="Verdana" w:cs="Verdana"/>
          <w:b/>
          <w:color w:val="3B5117" w:themeColor="accent1" w:themeShade="80"/>
        </w:rPr>
        <w:t> </w:t>
      </w:r>
      <w:r w:rsidR="00F57825" w:rsidRPr="00191FAC">
        <w:rPr>
          <w:rFonts w:ascii="Verdana" w:eastAsia="Verdana" w:hAnsi="Verdana" w:cs="Verdana"/>
          <w:b/>
          <w:color w:val="3B5117" w:themeColor="accent1" w:themeShade="80"/>
        </w:rPr>
        <w:t xml:space="preserve">cent </w:t>
      </w:r>
      <w:r w:rsidR="001355C4" w:rsidRPr="00191FAC">
        <w:rPr>
          <w:rFonts w:ascii="Verdana" w:eastAsia="Verdana" w:hAnsi="Verdana" w:cs="Verdana"/>
          <w:b/>
          <w:color w:val="3B5117" w:themeColor="accent1" w:themeShade="80"/>
        </w:rPr>
        <w:t>per</w:t>
      </w:r>
      <w:r w:rsidR="001355C4">
        <w:rPr>
          <w:rFonts w:ascii="Verdana" w:eastAsia="Verdana" w:hAnsi="Verdana" w:cs="Verdana"/>
          <w:b/>
          <w:color w:val="3B5117" w:themeColor="accent1" w:themeShade="80"/>
        </w:rPr>
        <w:t> </w:t>
      </w:r>
      <w:r w:rsidR="00F57825" w:rsidRPr="00191FAC">
        <w:rPr>
          <w:rFonts w:ascii="Verdana" w:eastAsia="Verdana" w:hAnsi="Verdana" w:cs="Verdana"/>
          <w:b/>
          <w:color w:val="3B5117" w:themeColor="accent1" w:themeShade="80"/>
        </w:rPr>
        <w:t>year)</w:t>
      </w:r>
    </w:p>
    <w:p w14:paraId="370ECF7D" w14:textId="77777777" w:rsidR="00364471" w:rsidRPr="000C3D3B" w:rsidRDefault="00364471" w:rsidP="00364471">
      <w:pPr>
        <w:spacing w:before="200" w:after="120" w:line="240" w:lineRule="atLeast"/>
        <w:rPr>
          <w:rFonts w:ascii="Verdana" w:eastAsia="Verdana" w:hAnsi="Verdana" w:cs="Verdana"/>
          <w:b/>
          <w:color w:val="78A22F"/>
        </w:rPr>
      </w:pPr>
      <w:r w:rsidRPr="000C3D3B">
        <w:rPr>
          <w:rFonts w:ascii="Verdana" w:eastAsia="Verdana" w:hAnsi="Verdana" w:cs="Verdana"/>
          <w:b/>
          <w:color w:val="78A22F"/>
        </w:rPr>
        <w:t>Market sector (16 industries)</w:t>
      </w:r>
    </w:p>
    <w:tbl>
      <w:tblPr>
        <w:tblW w:w="4698" w:type="pct"/>
        <w:tblCellMar>
          <w:left w:w="0" w:type="dxa"/>
          <w:right w:w="0" w:type="dxa"/>
        </w:tblCellMar>
        <w:tblLook w:val="04A0" w:firstRow="1" w:lastRow="0" w:firstColumn="1" w:lastColumn="0" w:noHBand="0" w:noVBand="1"/>
      </w:tblPr>
      <w:tblGrid>
        <w:gridCol w:w="1986"/>
        <w:gridCol w:w="3402"/>
        <w:gridCol w:w="1417"/>
        <w:gridCol w:w="1453"/>
      </w:tblGrid>
      <w:tr w:rsidR="00C54961" w14:paraId="58620C14" w14:textId="77777777" w:rsidTr="00C60B9B">
        <w:trPr>
          <w:trHeight w:val="720"/>
          <w:tblHeader/>
        </w:trPr>
        <w:tc>
          <w:tcPr>
            <w:tcW w:w="1202" w:type="pct"/>
            <w:vMerge w:val="restart"/>
          </w:tcPr>
          <w:p w14:paraId="4E3AB704" w14:textId="77777777" w:rsidR="00C54961" w:rsidRDefault="00C54961" w:rsidP="00DB60E1">
            <w:pPr>
              <w:pStyle w:val="TableBodyText"/>
              <w:spacing w:line="480" w:lineRule="auto"/>
            </w:pPr>
          </w:p>
        </w:tc>
        <w:tc>
          <w:tcPr>
            <w:tcW w:w="2059" w:type="pct"/>
            <w:shd w:val="clear" w:color="auto" w:fill="F2F2F2" w:themeFill="background1" w:themeFillShade="F2"/>
            <w:vAlign w:val="bottom"/>
            <w:hideMark/>
          </w:tcPr>
          <w:p w14:paraId="3D8BEEAB" w14:textId="77777777" w:rsidR="00C54961" w:rsidRDefault="00C54961" w:rsidP="00DB60E1">
            <w:pPr>
              <w:pStyle w:val="TableBodyText"/>
              <w:spacing w:before="240" w:after="0" w:line="480" w:lineRule="auto"/>
              <w:rPr>
                <w:b/>
                <w:sz w:val="24"/>
                <w:szCs w:val="24"/>
              </w:rPr>
            </w:pPr>
            <w:r>
              <w:rPr>
                <w:rFonts w:ascii="Verdana" w:hAnsi="Verdana"/>
                <w:b/>
                <w:color w:val="000000" w:themeColor="text1"/>
                <w:sz w:val="24"/>
                <w:szCs w:val="24"/>
              </w:rPr>
              <w:t>Multifactor productivity</w:t>
            </w:r>
          </w:p>
        </w:tc>
        <w:tc>
          <w:tcPr>
            <w:tcW w:w="858" w:type="pct"/>
            <w:shd w:val="clear" w:color="auto" w:fill="F2F2F2" w:themeFill="background1" w:themeFillShade="F2"/>
            <w:vAlign w:val="bottom"/>
            <w:hideMark/>
          </w:tcPr>
          <w:p w14:paraId="3C4FE446" w14:textId="77777777" w:rsidR="00C54961" w:rsidRDefault="00C54961" w:rsidP="00DB60E1">
            <w:pPr>
              <w:pStyle w:val="TableBodyText"/>
              <w:spacing w:before="240" w:after="0" w:line="480" w:lineRule="auto"/>
              <w:ind w:right="28"/>
              <w:rPr>
                <w:b/>
                <w:sz w:val="24"/>
                <w:szCs w:val="24"/>
              </w:rPr>
            </w:pPr>
            <w:r>
              <w:rPr>
                <w:rFonts w:ascii="Verdana" w:hAnsi="Verdana"/>
                <w:b/>
                <w:color w:val="000000" w:themeColor="text1"/>
                <w:sz w:val="24"/>
                <w:szCs w:val="24"/>
              </w:rPr>
              <w:t>+0.9%</w:t>
            </w:r>
          </w:p>
        </w:tc>
        <w:tc>
          <w:tcPr>
            <w:tcW w:w="880" w:type="pct"/>
            <w:shd w:val="clear" w:color="auto" w:fill="F2F2F2" w:themeFill="background1" w:themeFillShade="F2"/>
            <w:vAlign w:val="center"/>
            <w:hideMark/>
          </w:tcPr>
          <w:p w14:paraId="5FF51636" w14:textId="77777777" w:rsidR="00C54961" w:rsidRDefault="00C54961" w:rsidP="00DB60E1">
            <w:pPr>
              <w:pStyle w:val="TableBodyText"/>
              <w:spacing w:line="480" w:lineRule="auto"/>
              <w:ind w:right="28"/>
            </w:pPr>
            <w:r>
              <w:rPr>
                <w:noProof/>
              </w:rPr>
              <mc:AlternateContent>
                <mc:Choice Requires="wps">
                  <w:drawing>
                    <wp:anchor distT="0" distB="0" distL="114300" distR="114300" simplePos="0" relativeHeight="251658246" behindDoc="0" locked="0" layoutInCell="1" allowOverlap="1" wp14:anchorId="4B838DD8" wp14:editId="10E571B9">
                      <wp:simplePos x="0" y="0"/>
                      <wp:positionH relativeFrom="column">
                        <wp:align>center</wp:align>
                      </wp:positionH>
                      <wp:positionV relativeFrom="paragraph">
                        <wp:posOffset>116840</wp:posOffset>
                      </wp:positionV>
                      <wp:extent cx="266700" cy="46990"/>
                      <wp:effectExtent l="0" t="0" r="0" b="0"/>
                      <wp:wrapNone/>
                      <wp:docPr id="17" name="Rectangle 17"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EF987" id="Rectangle 17" o:spid="_x0000_s1026" alt="unchanged" style="position:absolute;margin-left:0;margin-top:9.2pt;width:21pt;height:3.7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CZpgIAAK0FAAAOAAAAZHJzL2Uyb0RvYy54bWysVM1u2zAMvg/YOwi6r3bSJN2COkXQosOA&#10;oi3aDj0rshQLkEVNUuJkTz9KspOsK3YY5oNMiuTHH5G8vNq1mmyF8wpMRUdnJSXCcKiVWVf0+8vt&#10;p8+U+MBMzTQYUdG98PRq8fHDZWfnYgwN6Fo4giDGzztb0SYEOy8KzxvRMn8GVhgUSnAtC8i6dVE7&#10;1iF6q4txWc6KDlxtHXDhPd7eZCFdJHwpBQ8PUnoRiK4oxhbS6dK5imexuGTztWO2UbwPg/1DFC1T&#10;Bp0eoG5YYGTj1B9QreIOPMhwxqEtQErFRcoBsxmVb7J5bpgVKRcsjreHMvn/B8vvt4+OqBrf7oIS&#10;w1p8oyesGjNrLUi8q4XnWLCN4Q1eijqWrLN+jpbP9tH1nEcy5r+Tro1/zIzsUpn3hzKLXSAcL8ez&#10;WTmbUsJRNJmdT6cRsjjaWufDVwEtiURFHYaTasu2dz5k1UEluvKgVX2rtE5MbBxxrR3ZMnzy1Xrc&#10;g/+mpQ3pKno+upgmYAPRPCNrE2FEap3eXcw255eosNci6mjzJCSWLmaUYFLTHn0zzoUJoyxqWC1y&#10;SNMSvyGoIdqUfwKMyBKjOWD3AINmBhmwc8y9/jHwg3H5t8CycU4VLZJnMOFg3CoD7j0AjVn1nrM+&#10;hn9SmkiuoN5jYznIE+ctv1X4mnfMh0fmcMRwGHFthAc8pAZ8DegpShpwP9+7j/rY+SilpMORraj/&#10;sWFOUKK/GZyJL6PJJM54YibTizEy7lSyOpWYTXsN2CIjXFCWJzLqBz2Q0kH7ittlGb2iiOEEAE4C&#10;D25grkNeJbifuFgukxrOtWXhzjxbHsFjVWO3vuxembN9SwcchXsYxpvN33R21o2WBpabAFKltj/W&#10;ta837oTUOP3+ikvnlE9axy27+AUAAP//AwBQSwMEFAAGAAgAAAAhAGu7YJzaAAAABQEAAA8AAABk&#10;cnMvZG93bnJldi54bWxMj8FOwzAQRO9I/IO1SNyo07RAlGZTIaRyAQ4tfIAbb5OIeB3FbhL4epYT&#10;Pc7OauZNsZ1dp0YaQusZYblIQBFX3rZcI3x+7O4yUCEatqbzTAjfFGBbXl8VJrd+4j2Nh1grCeGQ&#10;G4Qmxj7XOlQNORMWvicW7+QHZ6LIodZ2MJOEu06nSfKgnWlZGhrT03ND1dfh7BB++LV+dKsxq6a3&#10;l/3Ohbhaju+Itzfz0wZUpDn+P8MfvqBDKUxHf2YbVIcgQ6JcszUocdep6CNCep+BLgt9SV/+AgAA&#10;//8DAFBLAQItABQABgAIAAAAIQC2gziS/gAAAOEBAAATAAAAAAAAAAAAAAAAAAAAAABbQ29udGVu&#10;dF9UeXBlc10ueG1sUEsBAi0AFAAGAAgAAAAhADj9If/WAAAAlAEAAAsAAAAAAAAAAAAAAAAALwEA&#10;AF9yZWxzLy5yZWxzUEsBAi0AFAAGAAgAAAAhACRvsJmmAgAArQUAAA4AAAAAAAAAAAAAAAAALgIA&#10;AGRycy9lMm9Eb2MueG1sUEsBAi0AFAAGAAgAAAAhAGu7YJzaAAAABQEAAA8AAAAAAAAAAAAAAAAA&#10;AAUAAGRycy9kb3ducmV2LnhtbFBLBQYAAAAABAAEAPMAAAAHBgAAAAA=&#10;" fillcolor="#265a9a [3214]" stroked="f" strokeweight=".25pt"/>
                  </w:pict>
                </mc:Fallback>
              </mc:AlternateContent>
            </w:r>
          </w:p>
        </w:tc>
      </w:tr>
      <w:tr w:rsidR="00C54961" w14:paraId="1AFE6696" w14:textId="77777777" w:rsidTr="00C60B9B">
        <w:trPr>
          <w:trHeight w:val="567"/>
          <w:tblHeader/>
        </w:trPr>
        <w:tc>
          <w:tcPr>
            <w:tcW w:w="0" w:type="auto"/>
            <w:vMerge/>
            <w:vAlign w:val="center"/>
            <w:hideMark/>
          </w:tcPr>
          <w:p w14:paraId="44763BC6" w14:textId="77777777" w:rsidR="00C54961" w:rsidRDefault="00C54961" w:rsidP="00DB60E1">
            <w:pPr>
              <w:rPr>
                <w:rFonts w:ascii="Arial" w:hAnsi="Arial"/>
                <w:sz w:val="18"/>
                <w:szCs w:val="20"/>
              </w:rPr>
            </w:pPr>
          </w:p>
        </w:tc>
        <w:tc>
          <w:tcPr>
            <w:tcW w:w="2059" w:type="pct"/>
            <w:shd w:val="clear" w:color="auto" w:fill="F2F2F2" w:themeFill="background1" w:themeFillShade="F2"/>
            <w:vAlign w:val="center"/>
            <w:hideMark/>
          </w:tcPr>
          <w:p w14:paraId="06DFF2F9" w14:textId="77777777" w:rsidR="00C54961" w:rsidRDefault="00C54961" w:rsidP="00DB60E1">
            <w:pPr>
              <w:pStyle w:val="TableBodyText"/>
              <w:spacing w:before="120" w:after="120" w:line="276" w:lineRule="auto"/>
            </w:pPr>
            <w:r>
              <w:rPr>
                <w:rFonts w:ascii="Verdana" w:hAnsi="Verdana"/>
                <w:color w:val="000000" w:themeColor="text1"/>
              </w:rPr>
              <w:t>Labour productivity</w:t>
            </w:r>
          </w:p>
        </w:tc>
        <w:tc>
          <w:tcPr>
            <w:tcW w:w="858" w:type="pct"/>
            <w:shd w:val="clear" w:color="auto" w:fill="F2F2F2" w:themeFill="background1" w:themeFillShade="F2"/>
            <w:vAlign w:val="center"/>
            <w:hideMark/>
          </w:tcPr>
          <w:p w14:paraId="5878FE57" w14:textId="77777777" w:rsidR="00C54961" w:rsidRDefault="00C54961" w:rsidP="00F57825">
            <w:pPr>
              <w:pStyle w:val="TableBodyText"/>
              <w:spacing w:before="120" w:after="120" w:line="276" w:lineRule="auto"/>
              <w:ind w:right="28"/>
            </w:pPr>
            <w:r>
              <w:rPr>
                <w:rFonts w:ascii="Verdana" w:hAnsi="Verdana"/>
                <w:color w:val="000000" w:themeColor="text1"/>
              </w:rPr>
              <w:t>+2.</w:t>
            </w:r>
            <w:r w:rsidR="00F57825">
              <w:rPr>
                <w:rFonts w:ascii="Verdana" w:hAnsi="Verdana"/>
                <w:color w:val="000000" w:themeColor="text1"/>
              </w:rPr>
              <w:t>2</w:t>
            </w:r>
            <w:r>
              <w:rPr>
                <w:rFonts w:ascii="Verdana" w:hAnsi="Verdana"/>
                <w:color w:val="000000" w:themeColor="text1"/>
              </w:rPr>
              <w:t>%</w:t>
            </w:r>
          </w:p>
        </w:tc>
        <w:tc>
          <w:tcPr>
            <w:tcW w:w="880" w:type="pct"/>
            <w:shd w:val="clear" w:color="auto" w:fill="F2F2F2" w:themeFill="background1" w:themeFillShade="F2"/>
            <w:vAlign w:val="center"/>
            <w:hideMark/>
          </w:tcPr>
          <w:p w14:paraId="34C23F2D" w14:textId="77777777" w:rsidR="00C54961" w:rsidRDefault="00C54961" w:rsidP="00DB60E1">
            <w:pPr>
              <w:pStyle w:val="TableBodyText"/>
              <w:spacing w:after="0" w:line="240" w:lineRule="auto"/>
              <w:ind w:right="28"/>
              <w:jc w:val="center"/>
            </w:pPr>
            <w:r>
              <w:rPr>
                <w:noProof/>
              </w:rPr>
              <mc:AlternateContent>
                <mc:Choice Requires="wps">
                  <w:drawing>
                    <wp:anchor distT="0" distB="0" distL="114300" distR="114300" simplePos="0" relativeHeight="251658247" behindDoc="0" locked="0" layoutInCell="1" allowOverlap="1" wp14:anchorId="4D4884B2" wp14:editId="72178D3C">
                      <wp:simplePos x="0" y="0"/>
                      <wp:positionH relativeFrom="column">
                        <wp:align>center</wp:align>
                      </wp:positionH>
                      <wp:positionV relativeFrom="paragraph">
                        <wp:posOffset>38735</wp:posOffset>
                      </wp:positionV>
                      <wp:extent cx="266700" cy="46990"/>
                      <wp:effectExtent l="0" t="0" r="0" b="0"/>
                      <wp:wrapNone/>
                      <wp:docPr id="24" name="Rectangle 24"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D0F2E" id="Rectangle 24" o:spid="_x0000_s1026" alt="unchanged" style="position:absolute;margin-left:0;margin-top:3.05pt;width:21pt;height:3.7pt;z-index:25165824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qapgIAAK0FAAAOAAAAZHJzL2Uyb0RvYy54bWysVM1u2zAMvg/YOwi6r3bSJN2COkXQosOA&#10;oi3aDj0rshQLkEVNUuJkTz9KspOsK3YY5oNMiuTHH5G8vNq1mmyF8wpMRUdnJSXCcKiVWVf0+8vt&#10;p8+U+MBMzTQYUdG98PRq8fHDZWfnYgwN6Fo4giDGzztb0SYEOy8KzxvRMn8GVhgUSnAtC8i6dVE7&#10;1iF6q4txWc6KDlxtHXDhPd7eZCFdJHwpBQ8PUnoRiK4oxhbS6dK5imexuGTztWO2UbwPg/1DFC1T&#10;Bp0eoG5YYGTj1B9QreIOPMhwxqEtQErFRcoBsxmVb7J5bpgVKRcsjreHMvn/B8vvt4+OqLqi4wkl&#10;hrX4Rk9YNWbWWpB4VwvPsWAbwxu8FHUsWWf9HC2f7aPrOY9kzH8nXRv/mBnZpTLvD2UWu0A4Xo5n&#10;s3I2pYSjaDI7n04jZHG0tc6HrwJaEomKOgwn1ZZt73zIqoNKdOVBq/pWaZ2Y2DjiWjuyZfjkq/W4&#10;B/9NSxvSVfR8dDFNwAaieUbWJsKI1Dq9u5htzi9RYa9F1NHmSUgsXcwowaSmPfpmnAsTRlnUsFrk&#10;kKYlfkNQQ7Qp/wQYkSVGc8DuAQbNDDJg55h7/WPgB+Pyb4Fl45wqWiTPYMLBuFUG3HsAGrPqPWd9&#10;DP+kNJFcQb3HxnKQJ85bfqvwNe+YD4/M4YjhMOLaCA94SA34GtBTlDTgfr53H/Wx81FKSYcjW1H/&#10;Y8OcoER/MzgTX0aTSZzxxEymF2Nk3KlkdSoxm/YasEVGuKAsT2TUD3ogpYP2FbfLMnpFEcMJAJwE&#10;HtzAXIe8SnA/cbFcJjWca8vCnXm2PILHqsZufdm9Mmf7lg44CvcwjDebv+nsrBstDSw3AaRKbX+s&#10;a19v3Ampcfr9FZfOKZ+0jlt28QsAAP//AwBQSwMEFAAGAAgAAAAhAEi9YezZAAAABAEAAA8AAABk&#10;cnMvZG93bnJldi54bWxMj8FOwzAQRO9I/IO1SNyokwZKFeJUCKlcgEMLH+DGSxIRr6N4m6T9epYT&#10;PY5mNPOm2My+UyMOsQ1kIF0koJCq4FqqDXx9bu/WoCJbcrYLhAZOGGFTXl8VNndhoh2Oe66VlFDM&#10;rYGGuc+1jlWD3sZF6JHE+w6DtyxyqLUb7CTlvtPLJFlpb1uShcb2+NJg9bM/egNneqsffTauq+n9&#10;dbf1kbN0/DDm9mZ+fgLFOPN/GP7wBR1KYTqEI7moOgNyhA2sUlBi3i9FHiSUPYAuC30JX/4CAAD/&#10;/wMAUEsBAi0AFAAGAAgAAAAhALaDOJL+AAAA4QEAABMAAAAAAAAAAAAAAAAAAAAAAFtDb250ZW50&#10;X1R5cGVzXS54bWxQSwECLQAUAAYACAAAACEAOP0h/9YAAACUAQAACwAAAAAAAAAAAAAAAAAvAQAA&#10;X3JlbHMvLnJlbHNQSwECLQAUAAYACAAAACEAsREamqYCAACtBQAADgAAAAAAAAAAAAAAAAAuAgAA&#10;ZHJzL2Uyb0RvYy54bWxQSwECLQAUAAYACAAAACEASL1h7NkAAAAEAQAADwAAAAAAAAAAAAAAAAAA&#10;BQAAZHJzL2Rvd25yZXYueG1sUEsFBgAAAAAEAAQA8wAAAAYGAAAAAA==&#10;" fillcolor="#265a9a [3214]" stroked="f" strokeweight=".25pt"/>
                  </w:pict>
                </mc:Fallback>
              </mc:AlternateContent>
            </w:r>
          </w:p>
        </w:tc>
      </w:tr>
      <w:tr w:rsidR="00C54961" w14:paraId="6231612B" w14:textId="77777777" w:rsidTr="00C60B9B">
        <w:trPr>
          <w:trHeight w:val="567"/>
          <w:tblHeader/>
        </w:trPr>
        <w:tc>
          <w:tcPr>
            <w:tcW w:w="0" w:type="auto"/>
            <w:vMerge/>
            <w:vAlign w:val="center"/>
            <w:hideMark/>
          </w:tcPr>
          <w:p w14:paraId="2CB235AD" w14:textId="77777777" w:rsidR="00C54961" w:rsidRDefault="00C54961" w:rsidP="00DB60E1">
            <w:pPr>
              <w:rPr>
                <w:rFonts w:ascii="Arial" w:hAnsi="Arial"/>
                <w:sz w:val="18"/>
                <w:szCs w:val="20"/>
              </w:rPr>
            </w:pPr>
          </w:p>
        </w:tc>
        <w:tc>
          <w:tcPr>
            <w:tcW w:w="2059" w:type="pct"/>
            <w:shd w:val="clear" w:color="auto" w:fill="F2F2F2" w:themeFill="background1" w:themeFillShade="F2"/>
            <w:vAlign w:val="center"/>
            <w:hideMark/>
          </w:tcPr>
          <w:p w14:paraId="4BC1F5A1" w14:textId="77777777" w:rsidR="00C54961" w:rsidRDefault="00C54961" w:rsidP="00DB60E1">
            <w:pPr>
              <w:pStyle w:val="TableBodyText"/>
              <w:spacing w:before="120" w:after="120" w:line="276" w:lineRule="auto"/>
            </w:pPr>
            <w:r>
              <w:rPr>
                <w:rFonts w:ascii="Verdana" w:hAnsi="Verdana"/>
                <w:color w:val="000000" w:themeColor="text1"/>
              </w:rPr>
              <w:t>Output</w:t>
            </w:r>
          </w:p>
        </w:tc>
        <w:tc>
          <w:tcPr>
            <w:tcW w:w="858" w:type="pct"/>
            <w:shd w:val="clear" w:color="auto" w:fill="F2F2F2" w:themeFill="background1" w:themeFillShade="F2"/>
            <w:vAlign w:val="center"/>
            <w:hideMark/>
          </w:tcPr>
          <w:p w14:paraId="6AF8FBC6" w14:textId="77777777" w:rsidR="00C54961" w:rsidRDefault="00C54961" w:rsidP="00DB60E1">
            <w:pPr>
              <w:pStyle w:val="TableBodyText"/>
              <w:spacing w:before="120" w:after="120" w:line="276" w:lineRule="auto"/>
              <w:ind w:right="28"/>
            </w:pPr>
            <w:r>
              <w:rPr>
                <w:rFonts w:ascii="Verdana" w:hAnsi="Verdana"/>
                <w:color w:val="000000" w:themeColor="text1"/>
              </w:rPr>
              <w:t>+3.</w:t>
            </w:r>
            <w:r w:rsidR="00F57825">
              <w:rPr>
                <w:rFonts w:ascii="Verdana" w:hAnsi="Verdana"/>
                <w:color w:val="000000" w:themeColor="text1"/>
              </w:rPr>
              <w:t>3</w:t>
            </w:r>
            <w:r>
              <w:rPr>
                <w:rFonts w:ascii="Verdana" w:hAnsi="Verdana"/>
                <w:color w:val="000000" w:themeColor="text1"/>
              </w:rPr>
              <w:t>%</w:t>
            </w:r>
          </w:p>
        </w:tc>
        <w:tc>
          <w:tcPr>
            <w:tcW w:w="880" w:type="pct"/>
            <w:shd w:val="clear" w:color="auto" w:fill="F2F2F2" w:themeFill="background1" w:themeFillShade="F2"/>
            <w:vAlign w:val="center"/>
            <w:hideMark/>
          </w:tcPr>
          <w:p w14:paraId="6CDFD669" w14:textId="77777777" w:rsidR="00C54961" w:rsidRDefault="00C54961" w:rsidP="00DB60E1">
            <w:pPr>
              <w:pStyle w:val="TableBodyText"/>
              <w:spacing w:after="0" w:line="240" w:lineRule="auto"/>
              <w:ind w:right="28"/>
              <w:jc w:val="center"/>
            </w:pPr>
            <w:r>
              <w:rPr>
                <w:noProof/>
              </w:rPr>
              <mc:AlternateContent>
                <mc:Choice Requires="wps">
                  <w:drawing>
                    <wp:anchor distT="0" distB="0" distL="114300" distR="114300" simplePos="0" relativeHeight="251658248" behindDoc="0" locked="0" layoutInCell="1" allowOverlap="1" wp14:anchorId="0C921835" wp14:editId="5BB761D3">
                      <wp:simplePos x="0" y="0"/>
                      <wp:positionH relativeFrom="column">
                        <wp:align>center</wp:align>
                      </wp:positionH>
                      <wp:positionV relativeFrom="paragraph">
                        <wp:posOffset>34290</wp:posOffset>
                      </wp:positionV>
                      <wp:extent cx="266700" cy="46990"/>
                      <wp:effectExtent l="0" t="0" r="0" b="0"/>
                      <wp:wrapNone/>
                      <wp:docPr id="25" name="Rectangle 25"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4C0A" id="Rectangle 25" o:spid="_x0000_s1026" alt="unchanged" style="position:absolute;margin-left:0;margin-top:2.7pt;width:21pt;height:3.7pt;z-index:251658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dupgIAAK0FAAAOAAAAZHJzL2Uyb0RvYy54bWysVM1u2zAMvg/YOwi6r3bSJN2COkXQosOA&#10;oi3aDj0rshQbkERNUuJkTz9KspOsK3YY5oNMiuTHH5G8vNppRbbC+RZMRUdnJSXCcKhbs67o95fb&#10;T58p8YGZmikwoqJ74enV4uOHy87OxRgaULVwBEGMn3e2ok0Idl4UnjdCM38GVhgUSnCaBWTduqgd&#10;6xBdq2JclrOiA1dbB1x4j7c3WUgXCV9KwcODlF4EoiqKsYV0unSu4lksLtl87ZhtWt6Hwf4hCs1a&#10;g04PUDcsMLJx7R9QuuUOPMhwxkEXIGXLRcoBsxmVb7J5bpgVKRcsjreHMvn/B8vvt4+OtHVFx1NK&#10;DNP4Rk9YNWbWSpB4VwvPsWAbwxu8FHUsWWf9HC2f7aPrOY9kzH8nnY5/zIzsUpn3hzKLXSAcL8ez&#10;WTlDZI6iyex8Oo2QxdHWOh++CtAkEhV1GE6qLdve+ZBVB5XoyoNq69tWqcTExhHXypEtwydfrcc9&#10;+G9aypCuoueji2kCNhDNM7IyEUak1undxWxzfokKeyWijjJPQmLpYkYJJjXt0TfjXJgwyqKG1SKH&#10;NC3xG4Iaok35J8CILDGaA3YPMGhmkAE7x9zrHwM/GJd/Cywb51TRInkGEw7GujXg3gNQmFXvOetj&#10;+CelieQK6j02loM8cd7y2xZf84758MgcjhgOI66N8ICHVICvAT1FSQPu53v3UR87H6WUdDiyFfU/&#10;NswJStQ3gzPxZTSZxBlPzGR6MUbGnUpWpxKz0deALTLCBWV5IqN+UAMpHehX3C7L6BVFDCcAcBJ4&#10;cANzHfIqwf3ExXKZ1HCuLQt35tnyCB6rGrv1ZffKnO1bOuAo3MMw3mz+prOzbrQ0sNwEkG1q+2Nd&#10;+3rjTkiN0++vuHRO+aR13LKLXwAAAP//AwBQSwMEFAAGAAgAAAAhAKUpyZ3ZAAAABAEAAA8AAABk&#10;cnMvZG93bnJldi54bWxMj8FOwzAQRO9I/IO1SNyo07RAlMapEFK5AIcWPsCNt0lEvI7ibRL4epYT&#10;PY5mNPOm2M6+UyMOsQ1kYLlIQCFVwbVUG/j82N1loCJbcrYLhAa+McK2vL4qbO7CRHscD1wrKaGY&#10;WwMNc59rHasGvY2L0COJdwqDtyxyqLUb7CTlvtNpkjxob1uShcb2+Nxg9XU4ewM/9Fo/+tWYVdPb&#10;y37nI6+W47sxtzfz0wYU48z/YfjDF3QohekYzuSi6gzIETZwvwYl5joVeZRQmoEuC30JX/4CAAD/&#10;/wMAUEsBAi0AFAAGAAgAAAAhALaDOJL+AAAA4QEAABMAAAAAAAAAAAAAAAAAAAAAAFtDb250ZW50&#10;X1R5cGVzXS54bWxQSwECLQAUAAYACAAAACEAOP0h/9YAAACUAQAACwAAAAAAAAAAAAAAAAAvAQAA&#10;X3JlbHMvLnJlbHNQSwECLQAUAAYACAAAACEA5mKHbqYCAACtBQAADgAAAAAAAAAAAAAAAAAuAgAA&#10;ZHJzL2Uyb0RvYy54bWxQSwECLQAUAAYACAAAACEApSnJndkAAAAEAQAADwAAAAAAAAAAAAAAAAAA&#10;BQAAZHJzL2Rvd25yZXYueG1sUEsFBgAAAAAEAAQA8wAAAAYGAAAAAA==&#10;" fillcolor="#265a9a [3214]" stroked="f" strokeweight=".25pt"/>
                  </w:pict>
                </mc:Fallback>
              </mc:AlternateContent>
            </w:r>
          </w:p>
        </w:tc>
      </w:tr>
      <w:tr w:rsidR="00C54961" w14:paraId="5CEA9C34" w14:textId="77777777" w:rsidTr="00C60B9B">
        <w:trPr>
          <w:trHeight w:val="567"/>
          <w:tblHeader/>
        </w:trPr>
        <w:tc>
          <w:tcPr>
            <w:tcW w:w="0" w:type="auto"/>
            <w:vMerge/>
            <w:vAlign w:val="center"/>
            <w:hideMark/>
          </w:tcPr>
          <w:p w14:paraId="1B69A589" w14:textId="77777777" w:rsidR="00C54961" w:rsidRDefault="00C54961" w:rsidP="00DB60E1">
            <w:pPr>
              <w:rPr>
                <w:rFonts w:ascii="Arial" w:hAnsi="Arial"/>
                <w:sz w:val="18"/>
                <w:szCs w:val="20"/>
              </w:rPr>
            </w:pPr>
          </w:p>
        </w:tc>
        <w:tc>
          <w:tcPr>
            <w:tcW w:w="2059" w:type="pct"/>
            <w:shd w:val="clear" w:color="auto" w:fill="F2F2F2" w:themeFill="background1" w:themeFillShade="F2"/>
            <w:vAlign w:val="center"/>
            <w:hideMark/>
          </w:tcPr>
          <w:p w14:paraId="3F00365C" w14:textId="77777777" w:rsidR="00C54961" w:rsidRDefault="00C54961" w:rsidP="00DB60E1">
            <w:pPr>
              <w:pStyle w:val="TableBodyText"/>
              <w:spacing w:before="120" w:after="120" w:line="276" w:lineRule="auto"/>
            </w:pPr>
            <w:r>
              <w:rPr>
                <w:rFonts w:ascii="Verdana" w:hAnsi="Verdana"/>
                <w:color w:val="000000" w:themeColor="text1"/>
              </w:rPr>
              <w:t>Labour input</w:t>
            </w:r>
          </w:p>
        </w:tc>
        <w:tc>
          <w:tcPr>
            <w:tcW w:w="858" w:type="pct"/>
            <w:shd w:val="clear" w:color="auto" w:fill="F2F2F2" w:themeFill="background1" w:themeFillShade="F2"/>
            <w:vAlign w:val="center"/>
            <w:hideMark/>
          </w:tcPr>
          <w:p w14:paraId="06324D1A" w14:textId="77777777" w:rsidR="00C54961" w:rsidRDefault="00C54961" w:rsidP="00DB60E1">
            <w:pPr>
              <w:pStyle w:val="TableBodyText"/>
              <w:spacing w:before="120" w:after="120" w:line="276" w:lineRule="auto"/>
              <w:ind w:right="28"/>
            </w:pPr>
            <w:r>
              <w:rPr>
                <w:rFonts w:ascii="Verdana" w:hAnsi="Verdana"/>
                <w:color w:val="000000" w:themeColor="text1"/>
              </w:rPr>
              <w:t>+</w:t>
            </w:r>
            <w:r w:rsidR="00F57825">
              <w:rPr>
                <w:rFonts w:ascii="Verdana" w:hAnsi="Verdana"/>
                <w:color w:val="000000" w:themeColor="text1"/>
              </w:rPr>
              <w:t>1.1</w:t>
            </w:r>
            <w:r>
              <w:rPr>
                <w:rFonts w:ascii="Verdana" w:hAnsi="Verdana"/>
                <w:color w:val="000000" w:themeColor="text1"/>
              </w:rPr>
              <w:t>%</w:t>
            </w:r>
          </w:p>
        </w:tc>
        <w:tc>
          <w:tcPr>
            <w:tcW w:w="880" w:type="pct"/>
            <w:shd w:val="clear" w:color="auto" w:fill="F2F2F2" w:themeFill="background1" w:themeFillShade="F2"/>
            <w:vAlign w:val="center"/>
            <w:hideMark/>
          </w:tcPr>
          <w:p w14:paraId="52C4A494"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49" behindDoc="0" locked="0" layoutInCell="1" allowOverlap="1" wp14:anchorId="2530BAD0" wp14:editId="597B8B43">
                      <wp:simplePos x="0" y="0"/>
                      <wp:positionH relativeFrom="column">
                        <wp:align>center</wp:align>
                      </wp:positionH>
                      <wp:positionV relativeFrom="paragraph">
                        <wp:posOffset>36195</wp:posOffset>
                      </wp:positionV>
                      <wp:extent cx="266700" cy="46990"/>
                      <wp:effectExtent l="0" t="0" r="0" b="0"/>
                      <wp:wrapNone/>
                      <wp:docPr id="26" name="Rectangle 26"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DB13E" id="Rectangle 26" o:spid="_x0000_s1026" alt="unchanged" style="position:absolute;margin-left:0;margin-top:2.85pt;width:21pt;height:3.7pt;z-index:25165824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GopgIAAK0FAAAOAAAAZHJzL2Uyb0RvYy54bWysVM1u2zAMvg/YOwi6r3bSJN2COkXQosOA&#10;oi3aDj0rshQbkERNUuJkTz9KspOsK3YY5oNMiuTHH5G8vNppRbbC+RZMRUdnJSXCcKhbs67o95fb&#10;T58p8YGZmikwoqJ74enV4uOHy87OxRgaULVwBEGMn3e2ok0Idl4UnjdCM38GVhgUSnCaBWTduqgd&#10;6xBdq2JclrOiA1dbB1x4j7c3WUgXCV9KwcODlF4EoiqKsYV0unSu4lksLtl87ZhtWt6Hwf4hCs1a&#10;g04PUDcsMLJx7R9QuuUOPMhwxkEXIGXLRcoBsxmVb7J5bpgVKRcsjreHMvn/B8vvt4+OtHVFxzNK&#10;DNP4Rk9YNWbWSpB4VwvPsWAbwxu8FHUsWWf9HC2f7aPrOY9kzH8nnY5/zIzsUpn3hzKLXSAcL8ez&#10;WTmbUsJRNJmdT6cRsjjaWufDVwGaRKKiDsNJtWXbOx+y6qASXXlQbX3bKpWY2DjiWjmyZfjkq/W4&#10;B/9NSxnSVfR8dDFNwAaieUZWJsKI1Dq9u5htzi9RYa9E1FHmSUgsXcwowaSmPfpmnAsTRlnUsFrk&#10;kKYlfkNQQ7Qp/wQYkSVGc8DuAQbNDDJg55h7/WPgB+Pyb4Fl45wqWiTPYMLBWLcG3HsACrPqPWd9&#10;DP+kNJFcQb3HxnKQJ85bftvia94xHx6ZwxHDYcS1ER7wkArwNaCnKGnA/XzvPupj56OUkg5HtqL+&#10;x4Y5QYn6ZnAmvowmkzjjiZlML8bIuFPJ6lRiNvoasEVGuKAsT2TUD2ogpQP9ittlGb2iiOEEAE4C&#10;D25grkNeJbifuFgukxrOtWXhzjxbHsFjVWO3vuxembN9SwcchXsYxpvN33R21o2WBpabALJNbX+s&#10;a19v3Ampcfr9FZfOKZ+0jlt28QsAAP//AwBQSwMEFAAGAAgAAAAhACexPq3ZAAAABAEAAA8AAABk&#10;cnMvZG93bnJldi54bWxMj8FOwzAQRO9I/IO1SNyokwZolcapEFK5AIcWPsCNlyRqvI7ibRL4epYT&#10;PY5mNPOm2M6+UyMOsQ1kIF0koJCq4FqqDXx+7O7WoCJbcrYLhAa+McK2vL4qbO7CRHscD1wrKaGY&#10;WwMNc59rHasGvY2L0COJ9xUGb1nkUGs32EnKfaeXSfKovW1JFhrb43OD1elw9gZ+6LVe+WxcV9Pb&#10;y37nI2fp+G7M7c38tAHFOPN/GP7wBR1KYTqGM7moOgNyhA08rECJeb8UeZRQloIuC30JX/4CAAD/&#10;/wMAUEsBAi0AFAAGAAgAAAAhALaDOJL+AAAA4QEAABMAAAAAAAAAAAAAAAAAAAAAAFtDb250ZW50&#10;X1R5cGVzXS54bWxQSwECLQAUAAYACAAAACEAOP0h/9YAAACUAQAACwAAAAAAAAAAAAAAAAAvAQAA&#10;X3JlbHMvLnJlbHNQSwECLQAUAAYACAAAACEAXvFRqKYCAACtBQAADgAAAAAAAAAAAAAAAAAuAgAA&#10;ZHJzL2Uyb0RvYy54bWxQSwECLQAUAAYACAAAACEAJ7E+rdkAAAAEAQAADwAAAAAAAAAAAAAAAAAA&#10;BQAAZHJzL2Rvd25yZXYueG1sUEsFBgAAAAAEAAQA8wAAAAYGAAAAAA==&#10;" fillcolor="#265a9a [3214]" stroked="f" strokeweight=".25pt"/>
                  </w:pict>
                </mc:Fallback>
              </mc:AlternateContent>
            </w:r>
          </w:p>
        </w:tc>
      </w:tr>
      <w:tr w:rsidR="00C54961" w14:paraId="0E5FEEC1" w14:textId="77777777" w:rsidTr="00C60B9B">
        <w:trPr>
          <w:trHeight w:val="567"/>
          <w:tblHeader/>
        </w:trPr>
        <w:tc>
          <w:tcPr>
            <w:tcW w:w="0" w:type="auto"/>
            <w:vMerge/>
            <w:vAlign w:val="center"/>
            <w:hideMark/>
          </w:tcPr>
          <w:p w14:paraId="2F7759F2" w14:textId="77777777" w:rsidR="00C54961" w:rsidRDefault="00C54961" w:rsidP="00DB60E1">
            <w:pPr>
              <w:rPr>
                <w:rFonts w:ascii="Arial" w:hAnsi="Arial"/>
                <w:sz w:val="18"/>
                <w:szCs w:val="20"/>
              </w:rPr>
            </w:pPr>
          </w:p>
        </w:tc>
        <w:tc>
          <w:tcPr>
            <w:tcW w:w="2059" w:type="pct"/>
            <w:shd w:val="clear" w:color="auto" w:fill="F2F2F2" w:themeFill="background1" w:themeFillShade="F2"/>
            <w:vAlign w:val="center"/>
            <w:hideMark/>
          </w:tcPr>
          <w:p w14:paraId="10C277B4" w14:textId="77777777" w:rsidR="00C54961" w:rsidRDefault="00C54961" w:rsidP="00DB60E1">
            <w:pPr>
              <w:pStyle w:val="TableBodyText"/>
              <w:spacing w:before="120" w:after="120" w:line="276" w:lineRule="auto"/>
            </w:pPr>
            <w:r>
              <w:rPr>
                <w:rFonts w:ascii="Verdana" w:hAnsi="Verdana"/>
                <w:color w:val="000000" w:themeColor="text1"/>
              </w:rPr>
              <w:t>Capital input</w:t>
            </w:r>
          </w:p>
        </w:tc>
        <w:tc>
          <w:tcPr>
            <w:tcW w:w="858" w:type="pct"/>
            <w:shd w:val="clear" w:color="auto" w:fill="F2F2F2" w:themeFill="background1" w:themeFillShade="F2"/>
            <w:vAlign w:val="center"/>
            <w:hideMark/>
          </w:tcPr>
          <w:p w14:paraId="0F76DF41" w14:textId="77777777" w:rsidR="00C54961" w:rsidRDefault="00C54961" w:rsidP="00DB60E1">
            <w:pPr>
              <w:pStyle w:val="TableBodyText"/>
              <w:spacing w:before="120" w:after="120" w:line="276" w:lineRule="auto"/>
              <w:ind w:right="28"/>
            </w:pPr>
            <w:r>
              <w:rPr>
                <w:rFonts w:ascii="Verdana" w:hAnsi="Verdana"/>
                <w:color w:val="000000" w:themeColor="text1"/>
              </w:rPr>
              <w:t>+4.</w:t>
            </w:r>
            <w:r w:rsidR="00F57825">
              <w:rPr>
                <w:rFonts w:ascii="Verdana" w:hAnsi="Verdana"/>
                <w:color w:val="000000" w:themeColor="text1"/>
              </w:rPr>
              <w:t>4</w:t>
            </w:r>
            <w:r>
              <w:rPr>
                <w:rFonts w:ascii="Verdana" w:hAnsi="Verdana"/>
                <w:color w:val="000000" w:themeColor="text1"/>
              </w:rPr>
              <w:t>%</w:t>
            </w:r>
          </w:p>
        </w:tc>
        <w:tc>
          <w:tcPr>
            <w:tcW w:w="880" w:type="pct"/>
            <w:shd w:val="clear" w:color="auto" w:fill="F2F2F2" w:themeFill="background1" w:themeFillShade="F2"/>
            <w:vAlign w:val="center"/>
            <w:hideMark/>
          </w:tcPr>
          <w:p w14:paraId="5E5F7031" w14:textId="77777777" w:rsidR="00C54961" w:rsidRDefault="00C54961" w:rsidP="00DB60E1">
            <w:pPr>
              <w:pStyle w:val="TableBodyText"/>
              <w:spacing w:after="0" w:line="240" w:lineRule="auto"/>
              <w:ind w:right="28"/>
            </w:pPr>
            <w:r>
              <w:rPr>
                <w:noProof/>
              </w:rPr>
              <mc:AlternateContent>
                <mc:Choice Requires="wps">
                  <w:drawing>
                    <wp:anchor distT="0" distB="0" distL="114300" distR="114300" simplePos="0" relativeHeight="251658250" behindDoc="0" locked="0" layoutInCell="1" allowOverlap="1" wp14:anchorId="739A710A" wp14:editId="06EF7576">
                      <wp:simplePos x="0" y="0"/>
                      <wp:positionH relativeFrom="column">
                        <wp:align>center</wp:align>
                      </wp:positionH>
                      <wp:positionV relativeFrom="paragraph">
                        <wp:posOffset>38100</wp:posOffset>
                      </wp:positionV>
                      <wp:extent cx="266700" cy="46990"/>
                      <wp:effectExtent l="0" t="0" r="0" b="0"/>
                      <wp:wrapNone/>
                      <wp:docPr id="27" name="Rectangle 27" descr="unchanged"/>
                      <wp:cNvGraphicFramePr/>
                      <a:graphic xmlns:a="http://schemas.openxmlformats.org/drawingml/2006/main">
                        <a:graphicData uri="http://schemas.microsoft.com/office/word/2010/wordprocessingShape">
                          <wps:wsp>
                            <wps:cNvSpPr/>
                            <wps:spPr>
                              <a:xfrm>
                                <a:off x="0" y="0"/>
                                <a:ext cx="266065" cy="46355"/>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07A7A" id="Rectangle 27" o:spid="_x0000_s1026" alt="unchanged" style="position:absolute;margin-left:0;margin-top:3pt;width:21pt;height:3.7pt;z-index:25165825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xcpwIAAK0FAAAOAAAAZHJzL2Uyb0RvYy54bWysVM1u2zAMvg/YOwi6r3bSJN2COkXQosOA&#10;oi3aDj0rshQLkEVNUuJkTz9KspOsK3YY5oNMiuTHH5G8vNq1mmyF8wpMRUdnJSXCcKiVWVf0+8vt&#10;p8+U+MBMzTQYUdG98PRq8fHDZWfnYgwN6Fo4giDGzztb0SYEOy8KzxvRMn8GVhgUSnAtC8i6dVE7&#10;1iF6q4txWc6KDlxtHXDhPd7eZCFdJHwpBQ8PUnoRiK4oxhbS6dK5imexuGTztWO2UbwPg/1DFC1T&#10;Bp0eoG5YYGTj1B9QreIOPMhwxqEtQErFRcoBsxmVb7J5bpgVKRcsjreHMvn/B8vvt4+OqLqi4wtK&#10;DGvxjZ6wasystSDxrhaeY8E2hjd4KepYss76OVo+20fXcx7JmP9Oujb+MTOyS2XeH8osdoFwvBzP&#10;ZuVsSglH0WR2Pp1GyOJoa50PXwW0JBIVdRhOqi3b3vmQVQeV6MqDVvWt0joxsXHEtXZky/DJV+tx&#10;D/6bljakq+j56GKagA1E84ysTYQRqXV6dzHbnF+iwl6LqKPNk5BYuphRgklNe/TNOBcmjLKoYbXI&#10;IU1L/IaghmhT/gkwIkuM5oDdAwyaGWTAzjH3+sfAD8bl3wLLxjlVtEiewYSDcasMuPcANGbVe876&#10;GP5JaSK5gnqPjeUgT5y3/Fbha94xHx6ZwxHDYcS1ER7wkBrwNaCnKGnA/XzvPupj56OUkg5HtqL+&#10;x4Y5QYn+ZnAmvowmkzjjiZlML8bIuFPJ6lRiNu01YIuMcEFZnsioH/RASgftK26XZfSKIoYTADgJ&#10;PLiBuQ55leB+4mK5TGo415aFO/NseQSPVY3d+rJ7Zc72LR1wFO5hGG82f9PZWTdaGlhuAkiV2v5Y&#10;177euBNS4/T7Ky6dUz5pHbfs4hcAAAD//wMAUEsDBBQABgAIAAAAIQDYKh302QAAAAQBAAAPAAAA&#10;ZHJzL2Rvd25yZXYueG1sTI/NTsMwEITvSH0Ha5G4UadN1VYhm6pCKhfg0J8HcOMliYjXUewmgadn&#10;OcFptJrR7Df5bnKtGqgPjWeExTwBRVx623CFcDkfHregQjRsTeuZEL4owK6Y3eUms37kIw2nWCkp&#10;4ZAZhDrGLtM6lDU5E+a+Ixbvw/fORDn7StvejFLuWr1MkrV2pmH5UJuOnmsqP083h/DNr9XGpcO2&#10;HN9ejgcXYroY3hEf7qf9E6hIU/wLwy++oEMhTFd/YxtUiyBDIsJaRMzVUvQqoXQFusj1f/jiBwAA&#10;//8DAFBLAQItABQABgAIAAAAIQC2gziS/gAAAOEBAAATAAAAAAAAAAAAAAAAAAAAAABbQ29udGVu&#10;dF9UeXBlc10ueG1sUEsBAi0AFAAGAAgAAAAhADj9If/WAAAAlAEAAAsAAAAAAAAAAAAAAAAALwEA&#10;AF9yZWxzLy5yZWxzUEsBAi0AFAAGAAgAAAAhAAmCzFynAgAArQUAAA4AAAAAAAAAAAAAAAAALgIA&#10;AGRycy9lMm9Eb2MueG1sUEsBAi0AFAAGAAgAAAAhANgqHfTZAAAABAEAAA8AAAAAAAAAAAAAAAAA&#10;AQUAAGRycy9kb3ducmV2LnhtbFBLBQYAAAAABAAEAPMAAAAHBgAAAAA=&#10;" fillcolor="#265a9a [3214]" stroked="f" strokeweight=".25pt"/>
                  </w:pict>
                </mc:Fallback>
              </mc:AlternateContent>
            </w:r>
          </w:p>
        </w:tc>
      </w:tr>
    </w:tbl>
    <w:p w14:paraId="11572B9F" w14:textId="3D41271A" w:rsidR="00F80E05" w:rsidRPr="00662B60" w:rsidRDefault="00F80E05" w:rsidP="00662B60">
      <w:pPr>
        <w:spacing w:before="480"/>
        <w:ind w:right="567"/>
        <w:jc w:val="right"/>
        <w:rPr>
          <w:sz w:val="18"/>
          <w:szCs w:val="18"/>
        </w:rPr>
      </w:pPr>
      <w:r w:rsidRPr="00662B60">
        <w:rPr>
          <w:noProof/>
          <w:sz w:val="18"/>
          <w:szCs w:val="18"/>
        </w:rPr>
        <mc:AlternateContent>
          <mc:Choice Requires="wps">
            <w:drawing>
              <wp:inline distT="0" distB="0" distL="0" distR="0" wp14:anchorId="2B79E7D7" wp14:editId="7EBFF0E1">
                <wp:extent cx="216000" cy="216000"/>
                <wp:effectExtent l="0" t="0" r="0" b="0"/>
                <wp:docPr id="41" name="Isosceles Triangle 41" descr="Upwards facing 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6000" cy="216000"/>
                        </a:xfrm>
                        <a:prstGeom prst="triangle">
                          <a:avLst>
                            <a:gd name="adj" fmla="val 50000"/>
                          </a:avLst>
                        </a:prstGeom>
                        <a:solidFill>
                          <a:schemeClr val="accent1"/>
                        </a:solidFill>
                        <a:ln>
                          <a:noFill/>
                        </a:ln>
                        <a:effectLst/>
                        <a:extLst/>
                      </wps:spPr>
                      <wps:bodyPr rot="0" vert="horz" wrap="square" lIns="91440" tIns="45720" rIns="91440" bIns="45720" anchor="ctr" anchorCtr="0" upright="1">
                        <a:noAutofit/>
                      </wps:bodyPr>
                    </wps:wsp>
                  </a:graphicData>
                </a:graphic>
              </wp:inline>
            </w:drawing>
          </mc:Choice>
          <mc:Fallback>
            <w:pict>
              <v:shape w14:anchorId="510EA6A2" id="Isosceles Triangle 41" o:spid="_x0000_s1026" type="#_x0000_t5" alt="Upwards facing triangle" style="width:17pt;height:17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bOQIAAF0EAAAOAAAAZHJzL2Uyb0RvYy54bWysVNtuEzEQfUfiHyy/k02itMAqm6pKVahU&#10;oFLbD3B8yRq8HjN2sglfz9i7hFDeEC+rGc/M8Zkz411eHTrH9hqjBd/w2WTKmfYSlPXbhj8/3b55&#10;x1lMwivhwOuGH3XkV6vXr5Z9qPUcWnBKIyMQH+s+NLxNKdRVFWWrOxEnELSnoAHsRCIXt5VC0RN6&#10;56r5dHpZ9YAqIEgdI53eDEG+KvjGaJm+GBN1Yq7hxC2VL5bvJn+r1VLUWxShtXKkIf6BRSesp0tP&#10;UDciCbZD+xdUZyVCBJMmEroKjLFSlx6om9n0RTePrQi69ELixHCSKf4/WPl5/4DMqoYvZpx50dGM&#10;7iJEqZ2O7Amt8FunWQ4qHSUp9xx6gSoyIyQJztKYkpXsQ6wJ8DE8YNYihnuQ3yLzsG4JRl8jQt9q&#10;oYj/LOdXfxRkJ1Ip2/SfQBEPsUtQRD0Y7JhxNnzMhRmahGOHMsXjaYr6kJikw/nscjqlWUsKjXa+&#10;S9QZJhcHjOmDho5lo+GnDnJM7O9jysZWjWoI9ZUz0zlai71w7IKwy9oQ4JhM1i/IXBnBWXVrnStO&#10;XmS9dsiomFqSUvs0NP8i0/mc7yFXDnyHE122mFjRoaipycEs2mW5Btk3oI4kHcKw4fQiyWgBf3DW&#10;03Y3PH7fCdScuTtP8r+fLRb5ORRncfF2Tg6eRzbnEeElQTVcJuRscNZpeES7gHbb0l3DXDxc09CM&#10;zWQLw4HX6NAOl0GM7y0/knO/ZP3+K6x+AgAA//8DAFBLAwQUAAYACAAAACEAVXVyuNYAAAADAQAA&#10;DwAAAGRycy9kb3ducmV2LnhtbEyPQUvDQBCF74L/YRnBm91Yq0iaTRHBCOLFKnidZKdJaHZ2zW7a&#10;+O8d9aCXGR5veO+bYjO7QR1ojL1nA5eLDBRx423PrYG314eLW1AxIVscPJOBT4qwKU9PCsytP/IL&#10;HbapVRLCMUcDXUoh1zo2HTmMCx+Ixdv50WESObbajniUcDfoZZbdaIc9S0OHge47avbbyUnJO33s&#10;np+up7pZVVX1aMNyqoMx52fz3RpUojn9HcM3vqBDKUy1n9hGNRiQR9LPFO9qJar+3bos9H/28gsA&#10;AP//AwBQSwECLQAUAAYACAAAACEAtoM4kv4AAADhAQAAEwAAAAAAAAAAAAAAAAAAAAAAW0NvbnRl&#10;bnRfVHlwZXNdLnhtbFBLAQItABQABgAIAAAAIQA4/SH/1gAAAJQBAAALAAAAAAAAAAAAAAAAAC8B&#10;AABfcmVscy8ucmVsc1BLAQItABQABgAIAAAAIQA4Ut/bOQIAAF0EAAAOAAAAAAAAAAAAAAAAAC4C&#10;AABkcnMvZTJvRG9jLnhtbFBLAQItABQABgAIAAAAIQBVdXK41gAAAAMBAAAPAAAAAAAAAAAAAAAA&#10;AJMEAABkcnMvZG93bnJldi54bWxQSwUGAAAAAAQABADzAAAAlgUAAAAA&#10;" fillcolor="#78a22f [3204]" stroked="f">
                <w10:anchorlock/>
              </v:shape>
            </w:pict>
          </mc:Fallback>
        </mc:AlternateContent>
      </w:r>
      <w:r w:rsidR="003A141B" w:rsidRPr="00662B60">
        <w:rPr>
          <w:rFonts w:ascii="Verdana" w:hAnsi="Verdana"/>
          <w:sz w:val="18"/>
          <w:szCs w:val="18"/>
        </w:rPr>
        <w:t xml:space="preserve"> </w:t>
      </w:r>
      <w:r w:rsidRPr="00662B60">
        <w:rPr>
          <w:rFonts w:ascii="Verdana" w:hAnsi="Verdana"/>
          <w:sz w:val="18"/>
          <w:szCs w:val="18"/>
        </w:rPr>
        <w:t>increased since 2017</w:t>
      </w:r>
      <w:r w:rsidRPr="00662B60">
        <w:rPr>
          <w:sz w:val="18"/>
          <w:szCs w:val="18"/>
        </w:rPr>
        <w:t xml:space="preserve"> </w:t>
      </w:r>
      <w:r w:rsidR="00E73B57">
        <w:rPr>
          <w:sz w:val="18"/>
          <w:szCs w:val="18"/>
        </w:rPr>
        <w:t xml:space="preserve"> </w:t>
      </w:r>
      <w:r w:rsidR="00662B60">
        <w:rPr>
          <w:sz w:val="18"/>
          <w:szCs w:val="18"/>
        </w:rPr>
        <w:t xml:space="preserve"> </w:t>
      </w:r>
      <w:r w:rsidRPr="00662B60">
        <w:rPr>
          <w:noProof/>
          <w:sz w:val="18"/>
          <w:szCs w:val="18"/>
        </w:rPr>
        <mc:AlternateContent>
          <mc:Choice Requires="wps">
            <w:drawing>
              <wp:inline distT="0" distB="0" distL="0" distR="0" wp14:anchorId="2488D669" wp14:editId="30963890">
                <wp:extent cx="216000" cy="216000"/>
                <wp:effectExtent l="0" t="0" r="0" b="0"/>
                <wp:docPr id="42" name="Isosceles Triangle 42" descr="Downward facing 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6000" cy="216000"/>
                        </a:xfrm>
                        <a:prstGeom prst="triangle">
                          <a:avLst>
                            <a:gd name="adj" fmla="val 50000"/>
                          </a:avLst>
                        </a:prstGeom>
                        <a:solidFill>
                          <a:schemeClr val="accent4"/>
                        </a:solidFill>
                        <a:ln>
                          <a:noFill/>
                        </a:ln>
                        <a:effectLst/>
                        <a:extLst/>
                      </wps:spPr>
                      <wps:bodyPr rot="0" vert="horz" wrap="square" lIns="91440" tIns="45720" rIns="91440" bIns="45720" anchor="ctr" anchorCtr="0" upright="1">
                        <a:noAutofit/>
                      </wps:bodyPr>
                    </wps:wsp>
                  </a:graphicData>
                </a:graphic>
              </wp:inline>
            </w:drawing>
          </mc:Choice>
          <mc:Fallback>
            <w:pict>
              <v:shape w14:anchorId="727EA238" id="Isosceles Triangle 42" o:spid="_x0000_s1026" type="#_x0000_t5" alt="Downward facing triangle" style="width:17pt;height:17pt;flip:x 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NrPgIAAGgEAAAOAAAAZHJzL2Uyb0RvYy54bWysVFFvEzEMfkfiP0R5Z9dW3YDTrtO0aTBp&#10;wKQN3tPE1wvk4uCkvY5fj5M7ShlviJeTHduf7c/2nV/seyd2QNGib+T8ZCYFeI3G+k0jPz/evHoj&#10;RUzKG+XQQyOfIMqL1csX50OoYYEdOgMkGMTHegiN7FIKdVVF3UGv4gkG8GxskXqVWKVNZUgNjN67&#10;ajGbnVUDkgmEGmLk1+vRKFcFv21Bp09tGyEJ10iuLZUvle86f6vVuao3pEJn9VSG+ocqemU9Jz1A&#10;XaukxJbsX1C91YQR23Sisa+wba2G0gN3M5896+ahUwFKL0xODAea4v+D1R939ySsaeRyIYVXPc/o&#10;NmLU4CCKR7LKbxyIbDQQNTN3jYMfFBnRKs2MizT5ZCqHEGtGfAj3lMmI4Q71tyg8XnWMA5dEOHSg&#10;DDcwz/7VHwFZiRwq1sMHNFyI2iYsrO5b6kXrbHifA4v0JUs5CXMo9mWgT4eBwj4JzY+L+dlsxmPX&#10;bJrknFXVGTAHB4rpHWAvstDIQy/ZpnZ3MWVhYyZilPnKyXvHG7JTTpwydtkgBpycWfoFmSMjOmtu&#10;rHNFyTsNV44EB3NzWoNPy0LDM0/ns7/HHDnWO75AWWiuih9VzU2OYmExEzcOYI3miUkkHJedj5OF&#10;DumHFAMveiPj960ikMLdeh7E2/lymS+jKMvT1wtW6NiyPrYorxmqkTqRFKNylcZ72gaym45zjXPx&#10;eMnja20utlQ41jUpvM5lENPp5Xs51ovX7x/E6icAAAD//wMAUEsDBBQABgAIAAAAIQDEwIuW1wAA&#10;AAMBAAAPAAAAZHJzL2Rvd25yZXYueG1sTI9BT8MwDIXvSPyHyEhcEEsZ00Cl6QRIoJ2QGPsBXmPS&#10;ao1TJVlX/j0GDuxi6+lZz9+rVpPv1UgxdYEN3MwKUMRNsB07A9uPl+t7UCkjW+wDk4EvSrCqz88q&#10;LG048juNm+yUhHAq0UCb81BqnZqWPKZZGIjF+wzRYxYZnbYRjxLuez0viqX22LF8aHGg55aa/ebg&#10;DTj3tF8TL+Z3fp3juHRvr9vhypjLi+nxAVSmKf8fww++oEMtTLtwYJtUb0CK5N8p3u1C1O5v67rS&#10;p+z1NwAAAP//AwBQSwECLQAUAAYACAAAACEAtoM4kv4AAADhAQAAEwAAAAAAAAAAAAAAAAAAAAAA&#10;W0NvbnRlbnRfVHlwZXNdLnhtbFBLAQItABQABgAIAAAAIQA4/SH/1gAAAJQBAAALAAAAAAAAAAAA&#10;AAAAAC8BAABfcmVscy8ucmVsc1BLAQItABQABgAIAAAAIQBQ2QNrPgIAAGgEAAAOAAAAAAAAAAAA&#10;AAAAAC4CAABkcnMvZTJvRG9jLnhtbFBLAQItABQABgAIAAAAIQDEwIuW1wAAAAMBAAAPAAAAAAAA&#10;AAAAAAAAAJgEAABkcnMvZG93bnJldi54bWxQSwUGAAAAAAQABADzAAAAnAUAAAAA&#10;" fillcolor="#f15a25 [3207]" stroked="f">
                <w10:anchorlock/>
              </v:shape>
            </w:pict>
          </mc:Fallback>
        </mc:AlternateContent>
      </w:r>
      <w:r w:rsidRPr="00662B60">
        <w:rPr>
          <w:rFonts w:ascii="Verdana" w:hAnsi="Verdana"/>
          <w:sz w:val="18"/>
          <w:szCs w:val="18"/>
        </w:rPr>
        <w:t>decreased since 2017</w:t>
      </w:r>
      <w:r w:rsidRPr="00662B60">
        <w:rPr>
          <w:sz w:val="18"/>
          <w:szCs w:val="18"/>
        </w:rPr>
        <w:t xml:space="preserve"> </w:t>
      </w:r>
      <w:r w:rsidR="00E73B57">
        <w:rPr>
          <w:sz w:val="18"/>
          <w:szCs w:val="18"/>
        </w:rPr>
        <w:t xml:space="preserve">  </w:t>
      </w:r>
      <w:r w:rsidRPr="00662B60">
        <w:rPr>
          <w:noProof/>
          <w:sz w:val="18"/>
          <w:szCs w:val="18"/>
        </w:rPr>
        <mc:AlternateContent>
          <mc:Choice Requires="wps">
            <w:drawing>
              <wp:inline distT="0" distB="0" distL="0" distR="0" wp14:anchorId="0E04AB8E" wp14:editId="643625C0">
                <wp:extent cx="216000" cy="36000"/>
                <wp:effectExtent l="0" t="0" r="0" b="2540"/>
                <wp:docPr id="44" name="Rectangle 44" descr="dash"/>
                <wp:cNvGraphicFramePr/>
                <a:graphic xmlns:a="http://schemas.openxmlformats.org/drawingml/2006/main">
                  <a:graphicData uri="http://schemas.microsoft.com/office/word/2010/wordprocessingShape">
                    <wps:wsp>
                      <wps:cNvSpPr/>
                      <wps:spPr>
                        <a:xfrm>
                          <a:off x="0" y="0"/>
                          <a:ext cx="216000" cy="36000"/>
                        </a:xfrm>
                        <a:prstGeom prst="rect">
                          <a:avLst/>
                        </a:prstGeom>
                        <a:solidFill>
                          <a:schemeClr val="bg2"/>
                        </a:solidFill>
                        <a:ln w="317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AB98AC" id="Rectangle 44" o:spid="_x0000_s1026" alt="dash" style="width:17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EQowIAAKgFAAAOAAAAZHJzL2Uyb0RvYy54bWysVE1v2zAMvQ/YfxB0X21n6ceCOkXQosOA&#10;oi3aDj0rshQLkEVNUuJkv36UZCdZV+ww7GJTIvn4SJG8vNp2mmyE8wpMTauTkhJhODTKrGr6/eX2&#10;0wUlPjDTMA1G1HQnPL2af/xw2duZmEALuhGOIIjxs97WtA3BzorC81Z0zJ+AFQaVElzHAh7dqmgc&#10;6xG908WkLM+KHlxjHXDhPd7eZCWdJ3wpBQ8PUnoRiK4pcgvp69J3Gb/F/JLNVo7ZVvGBBvsHFh1T&#10;BoPuoW5YYGTt1B9QneIOPMhwwqErQErFRcoBs6nKN9k8t8yKlAsWx9t9mfz/g+X3m0dHVFPT6ZQS&#10;wzp8oyesGjMrLUi8a4TnWLCG+TZWq7d+hk7P9tENJ49iTH0rXRf/mBTZpgrv9hUW20A4Xk6qs7LE&#10;d+Co+pxEBCkOvtb58FVAR6JQU4dMUlnZ5s6HbDqaxFAetGpuldbpEHtGXGtHNgxfe7maRL4I/puV&#10;NqTH2NX5aQI2EN2znTYRRqSuGcLFbHN+SQo7LaKNNk9CYtViRgkm9eshNuNcmFBlVcsakSmdYu6p&#10;5SKpkW2imAAjskQ2e+wBYLTMICN25jzYH4jvncu/EcvOOVX0SJHBhL1zpwy49wA0ZjVEzvZI/6g0&#10;UVxCs8OecpCHzVt+q/A175gPj8zhdOH748YID/iRGvA1YJAoacH9fO8+2mPTo5aSHqe1pv7HmjlB&#10;if5mcBy+VNNpHO90mJ6eT/DgjjXLY41Zd9eALVLhbrI8idE+6FGUDrpXXCyLGBVVzHCMXVMe3Hi4&#10;DnmL4GriYrFIZjjSloU782x5BI9Vjd36sn1lzg4tHXAU7mGcbDZ709nZNnoaWKwDSJXa/lDXod64&#10;DlLjDKsr7pvjc7I6LNj5LwAAAP//AwBQSwMEFAAGAAgAAAAhAEdcIdnYAAAAAgEAAA8AAABkcnMv&#10;ZG93bnJldi54bWxMj8FOwzAQRO9I/QdrK3GjThugVYhTVUjlAhxa+AA3XpKIeB3F2yTw9Sxc6GWk&#10;0axm3ubbybdqwD42gQwsFwkopDK4hioD72/7mw2oyJacbQOhgS+MsC1mV7nNXBjpgMORKyUlFDNr&#10;oGbuMq1jWaO3cRE6JMk+Qu8ti+0r7Xo7Srlv9SpJ7rW3DclCbTt8rLH8PJ69gW96rtY+HTbl+PJ0&#10;2PvI6XJ4NeZ6Pu0eQDFO/H8Mv/iCDoUwncKZXFStAXmE/1Sy9FbcycDdGnSR60v04gcAAP//AwBQ&#10;SwECLQAUAAYACAAAACEAtoM4kv4AAADhAQAAEwAAAAAAAAAAAAAAAAAAAAAAW0NvbnRlbnRfVHlw&#10;ZXNdLnhtbFBLAQItABQABgAIAAAAIQA4/SH/1gAAAJQBAAALAAAAAAAAAAAAAAAAAC8BAABfcmVs&#10;cy8ucmVsc1BLAQItABQABgAIAAAAIQAiMhEQowIAAKgFAAAOAAAAAAAAAAAAAAAAAC4CAABkcnMv&#10;ZTJvRG9jLnhtbFBLAQItABQABgAIAAAAIQBHXCHZ2AAAAAIBAAAPAAAAAAAAAAAAAAAAAP0EAABk&#10;cnMvZG93bnJldi54bWxQSwUGAAAAAAQABADzAAAAAgYAAAAA&#10;" fillcolor="#265a9a [3214]" stroked="f" strokeweight=".25pt">
                <w10:anchorlock/>
              </v:rect>
            </w:pict>
          </mc:Fallback>
        </mc:AlternateContent>
      </w:r>
      <w:r w:rsidRPr="00662B60">
        <w:rPr>
          <w:sz w:val="18"/>
          <w:szCs w:val="18"/>
        </w:rPr>
        <w:t xml:space="preserve"> </w:t>
      </w:r>
      <w:r w:rsidRPr="00662B60">
        <w:rPr>
          <w:rFonts w:ascii="Verdana" w:hAnsi="Verdana"/>
          <w:sz w:val="18"/>
          <w:szCs w:val="18"/>
        </w:rPr>
        <w:t>unchanged</w:t>
      </w:r>
    </w:p>
    <w:p w14:paraId="58312D81" w14:textId="77777777" w:rsidR="00C54961" w:rsidRDefault="00C54961" w:rsidP="00C54961">
      <w:r>
        <w:br w:type="page"/>
      </w:r>
    </w:p>
    <w:p w14:paraId="71AB9749" w14:textId="77777777" w:rsidR="00C54961" w:rsidRPr="00E73B57" w:rsidRDefault="00C54961" w:rsidP="00E73B57">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4A0" w:firstRow="1" w:lastRow="0" w:firstColumn="1" w:lastColumn="0" w:noHBand="0" w:noVBand="1"/>
      </w:tblPr>
      <w:tblGrid>
        <w:gridCol w:w="8789"/>
      </w:tblGrid>
      <w:tr w:rsidR="00C54961" w14:paraId="07EE6C09" w14:textId="77777777" w:rsidTr="001312B7">
        <w:tc>
          <w:tcPr>
            <w:tcW w:w="8789" w:type="dxa"/>
            <w:tcBorders>
              <w:top w:val="single" w:sz="6" w:space="0" w:color="78A22F"/>
              <w:left w:val="nil"/>
              <w:bottom w:val="nil"/>
              <w:right w:val="nil"/>
            </w:tcBorders>
            <w:hideMark/>
          </w:tcPr>
          <w:p w14:paraId="5ED7BB29" w14:textId="77777777" w:rsidR="00C54961" w:rsidRDefault="00C54961" w:rsidP="00DB60E1">
            <w:pPr>
              <w:pStyle w:val="TableTitle"/>
            </w:pPr>
            <w:r>
              <w:rPr>
                <w:b w:val="0"/>
              </w:rPr>
              <w:t>Table</w:t>
            </w:r>
            <w:r w:rsidR="00BF6F18" w:rsidRPr="00BF6F18">
              <w:rPr>
                <w:b w:val="0"/>
              </w:rPr>
              <w:t> 1</w:t>
            </w:r>
            <w:r>
              <w:tab/>
              <w:t>Aggregate productivity statistics</w:t>
            </w:r>
            <w:r w:rsidRPr="003A141B">
              <w:rPr>
                <w:rStyle w:val="NoteLabel"/>
                <w:b/>
                <w:position w:val="10"/>
              </w:rPr>
              <w:t>a</w:t>
            </w:r>
          </w:p>
          <w:p w14:paraId="1534069D" w14:textId="570A8BAB" w:rsidR="00C54961" w:rsidRDefault="00C54961" w:rsidP="00DB60E1">
            <w:pPr>
              <w:pStyle w:val="Subtitle"/>
            </w:pPr>
            <w:r>
              <w:t>Per</w:t>
            </w:r>
            <w:r w:rsidR="008541EB">
              <w:t> </w:t>
            </w:r>
            <w:r>
              <w:t>cent</w:t>
            </w:r>
          </w:p>
        </w:tc>
      </w:tr>
      <w:tr w:rsidR="00C54961" w14:paraId="6F651544" w14:textId="77777777" w:rsidTr="001312B7">
        <w:tc>
          <w:tcPr>
            <w:tcW w:w="8789" w:type="dxa"/>
            <w:tcBorders>
              <w:top w:val="nil"/>
              <w:left w:val="nil"/>
              <w:bottom w:val="nil"/>
              <w:right w:val="nil"/>
            </w:tcBorders>
            <w:hideMark/>
          </w:tcPr>
          <w:tbl>
            <w:tblPr>
              <w:tblW w:w="5000" w:type="pct"/>
              <w:tblLook w:val="04A0" w:firstRow="1" w:lastRow="0" w:firstColumn="1" w:lastColumn="0" w:noHBand="0" w:noVBand="1"/>
            </w:tblPr>
            <w:tblGrid>
              <w:gridCol w:w="1973"/>
              <w:gridCol w:w="1219"/>
              <w:gridCol w:w="1248"/>
              <w:gridCol w:w="1234"/>
              <w:gridCol w:w="933"/>
              <w:gridCol w:w="934"/>
              <w:gridCol w:w="934"/>
            </w:tblGrid>
            <w:tr w:rsidR="003A141B" w14:paraId="0059A5FF" w14:textId="77777777" w:rsidTr="001312B7">
              <w:trPr>
                <w:trHeight w:val="822"/>
              </w:trPr>
              <w:tc>
                <w:tcPr>
                  <w:tcW w:w="1166" w:type="pct"/>
                  <w:tcBorders>
                    <w:top w:val="single" w:sz="12" w:space="0" w:color="FFFFFF"/>
                    <w:left w:val="single" w:sz="12" w:space="0" w:color="FFFFFF"/>
                    <w:right w:val="single" w:sz="12" w:space="0" w:color="FFFFFF"/>
                  </w:tcBorders>
                  <w:shd w:val="clear" w:color="auto" w:fill="C1E4F0" w:themeFill="text2" w:themeFillTint="66"/>
                  <w:vAlign w:val="center"/>
                  <w:hideMark/>
                </w:tcPr>
                <w:p w14:paraId="60B3552F" w14:textId="77777777" w:rsidR="003A141B" w:rsidRDefault="003A141B" w:rsidP="00DB60E1">
                  <w:pPr>
                    <w:jc w:val="right"/>
                    <w:rPr>
                      <w:rFonts w:ascii="Arial" w:hAnsi="Arial" w:cs="Arial"/>
                      <w:b/>
                      <w:bCs/>
                      <w:sz w:val="16"/>
                      <w:szCs w:val="16"/>
                    </w:rPr>
                  </w:pPr>
                  <w:r>
                    <w:rPr>
                      <w:rFonts w:ascii="Arial" w:hAnsi="Arial" w:cs="Arial"/>
                      <w:b/>
                      <w:bCs/>
                      <w:sz w:val="16"/>
                      <w:szCs w:val="16"/>
                    </w:rPr>
                    <w:t> </w:t>
                  </w:r>
                </w:p>
              </w:tc>
              <w:tc>
                <w:tcPr>
                  <w:tcW w:w="710" w:type="pct"/>
                  <w:tcBorders>
                    <w:top w:val="single" w:sz="12" w:space="0" w:color="FFFFFF"/>
                    <w:left w:val="nil"/>
                    <w:bottom w:val="nil"/>
                    <w:right w:val="single" w:sz="12" w:space="0" w:color="FFFFFF"/>
                  </w:tcBorders>
                  <w:shd w:val="clear" w:color="auto" w:fill="C1E4F0" w:themeFill="text2" w:themeFillTint="66"/>
                  <w:vAlign w:val="center"/>
                  <w:hideMark/>
                </w:tcPr>
                <w:p w14:paraId="5AD7C397"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Long</w:t>
                  </w:r>
                  <w:r w:rsidRPr="00DA02B0">
                    <w:rPr>
                      <w:rFonts w:ascii="Arial" w:hAnsi="Arial" w:cs="Arial"/>
                      <w:b/>
                      <w:bCs/>
                      <w:sz w:val="18"/>
                      <w:szCs w:val="18"/>
                    </w:rPr>
                    <w:noBreakHyphen/>
                    <w:t>term</w:t>
                  </w:r>
                </w:p>
                <w:p w14:paraId="227757B1"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growth</w:t>
                  </w:r>
                </w:p>
                <w:p w14:paraId="576BE0FD"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rate</w:t>
                  </w:r>
                </w:p>
              </w:tc>
              <w:tc>
                <w:tcPr>
                  <w:tcW w:w="737" w:type="pct"/>
                  <w:tcBorders>
                    <w:top w:val="single" w:sz="12" w:space="0" w:color="FFFFFF"/>
                    <w:left w:val="nil"/>
                    <w:bottom w:val="nil"/>
                    <w:right w:val="single" w:sz="12" w:space="0" w:color="FFFFFF"/>
                  </w:tcBorders>
                  <w:shd w:val="clear" w:color="auto" w:fill="C1E4F0" w:themeFill="text2" w:themeFillTint="66"/>
                  <w:vAlign w:val="center"/>
                  <w:hideMark/>
                </w:tcPr>
                <w:p w14:paraId="60A332E2"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Last</w:t>
                  </w:r>
                </w:p>
                <w:p w14:paraId="6FE3F44C"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complete</w:t>
                  </w:r>
                </w:p>
                <w:p w14:paraId="171FEC8A" w14:textId="4A9CF703" w:rsidR="003A141B" w:rsidRPr="00DA02B0" w:rsidRDefault="003A141B" w:rsidP="0034286C">
                  <w:pPr>
                    <w:jc w:val="right"/>
                    <w:rPr>
                      <w:rFonts w:ascii="Arial" w:hAnsi="Arial" w:cs="Arial"/>
                      <w:b/>
                      <w:bCs/>
                      <w:sz w:val="18"/>
                      <w:szCs w:val="18"/>
                    </w:rPr>
                  </w:pPr>
                  <w:r w:rsidRPr="00DA02B0">
                    <w:rPr>
                      <w:rFonts w:ascii="Arial" w:hAnsi="Arial" w:cs="Arial"/>
                      <w:b/>
                      <w:bCs/>
                      <w:sz w:val="18"/>
                      <w:szCs w:val="18"/>
                    </w:rPr>
                    <w:t>cycle</w:t>
                  </w:r>
                </w:p>
              </w:tc>
              <w:tc>
                <w:tcPr>
                  <w:tcW w:w="730" w:type="pct"/>
                  <w:tcBorders>
                    <w:top w:val="single" w:sz="12" w:space="0" w:color="FFFFFF"/>
                    <w:left w:val="nil"/>
                    <w:bottom w:val="nil"/>
                    <w:right w:val="single" w:sz="48" w:space="0" w:color="FFFFFF" w:themeColor="background1"/>
                  </w:tcBorders>
                  <w:shd w:val="clear" w:color="auto" w:fill="C1E4F0" w:themeFill="text2" w:themeFillTint="66"/>
                  <w:vAlign w:val="center"/>
                  <w:hideMark/>
                </w:tcPr>
                <w:p w14:paraId="3EC23762"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Period</w:t>
                  </w:r>
                </w:p>
                <w:p w14:paraId="3BD38EDB"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since the</w:t>
                  </w:r>
                </w:p>
                <w:p w14:paraId="3E1C42BF"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last cycle</w:t>
                  </w:r>
                </w:p>
              </w:tc>
              <w:tc>
                <w:tcPr>
                  <w:tcW w:w="1656" w:type="pct"/>
                  <w:gridSpan w:val="3"/>
                  <w:tcBorders>
                    <w:top w:val="single" w:sz="12" w:space="0" w:color="FFFFFF"/>
                    <w:left w:val="single" w:sz="48" w:space="0" w:color="FFFFFF" w:themeColor="background1"/>
                    <w:right w:val="single" w:sz="12" w:space="0" w:color="FFFFFF"/>
                  </w:tcBorders>
                  <w:shd w:val="clear" w:color="auto" w:fill="C1E4F0" w:themeFill="text2" w:themeFillTint="66"/>
                  <w:vAlign w:val="center"/>
                </w:tcPr>
                <w:p w14:paraId="5D397566" w14:textId="77777777" w:rsidR="003A141B" w:rsidRPr="00DA02B0" w:rsidRDefault="003A141B" w:rsidP="00DB60E1">
                  <w:pPr>
                    <w:jc w:val="center"/>
                    <w:rPr>
                      <w:rFonts w:ascii="Arial" w:hAnsi="Arial" w:cs="Arial"/>
                      <w:sz w:val="18"/>
                      <w:szCs w:val="18"/>
                    </w:rPr>
                  </w:pPr>
                  <w:r w:rsidRPr="00DA02B0">
                    <w:rPr>
                      <w:rFonts w:ascii="Arial" w:hAnsi="Arial" w:cs="Arial"/>
                      <w:b/>
                      <w:bCs/>
                      <w:sz w:val="18"/>
                      <w:szCs w:val="18"/>
                    </w:rPr>
                    <w:t>Latest years</w:t>
                  </w:r>
                </w:p>
              </w:tc>
            </w:tr>
            <w:tr w:rsidR="003A141B" w14:paraId="5279F182" w14:textId="77777777" w:rsidTr="001312B7">
              <w:trPr>
                <w:trHeight w:val="548"/>
              </w:trPr>
              <w:tc>
                <w:tcPr>
                  <w:tcW w:w="1166" w:type="pct"/>
                  <w:tcBorders>
                    <w:top w:val="nil"/>
                    <w:left w:val="single" w:sz="12" w:space="0" w:color="FFFFFF"/>
                    <w:bottom w:val="single" w:sz="12" w:space="0" w:color="FFFFFF" w:themeColor="background1"/>
                    <w:right w:val="single" w:sz="12" w:space="0" w:color="FFFFFF"/>
                  </w:tcBorders>
                  <w:shd w:val="clear" w:color="auto" w:fill="C1E4F0" w:themeFill="text2" w:themeFillTint="66"/>
                  <w:vAlign w:val="center"/>
                  <w:hideMark/>
                </w:tcPr>
                <w:p w14:paraId="0A41D63F" w14:textId="77777777" w:rsidR="003A141B" w:rsidRDefault="003A141B" w:rsidP="00DB60E1">
                  <w:pPr>
                    <w:jc w:val="right"/>
                    <w:rPr>
                      <w:rFonts w:ascii="Arial" w:hAnsi="Arial" w:cs="Arial"/>
                      <w:b/>
                      <w:bCs/>
                      <w:sz w:val="16"/>
                      <w:szCs w:val="16"/>
                    </w:rPr>
                  </w:pPr>
                  <w:r>
                    <w:rPr>
                      <w:rFonts w:ascii="Arial" w:hAnsi="Arial" w:cs="Arial"/>
                      <w:b/>
                      <w:bCs/>
                      <w:sz w:val="16"/>
                      <w:szCs w:val="16"/>
                    </w:rPr>
                    <w:t> </w:t>
                  </w:r>
                </w:p>
              </w:tc>
              <w:tc>
                <w:tcPr>
                  <w:tcW w:w="710" w:type="pct"/>
                  <w:tcBorders>
                    <w:top w:val="nil"/>
                    <w:left w:val="nil"/>
                    <w:bottom w:val="single" w:sz="12" w:space="0" w:color="FFFFFF" w:themeColor="background1"/>
                    <w:right w:val="single" w:sz="12" w:space="0" w:color="FFFFFF"/>
                  </w:tcBorders>
                  <w:shd w:val="clear" w:color="auto" w:fill="C1E4F0" w:themeFill="text2" w:themeFillTint="66"/>
                  <w:vAlign w:val="center"/>
                  <w:hideMark/>
                </w:tcPr>
                <w:p w14:paraId="1AC4E19E" w14:textId="77777777" w:rsidR="003A141B" w:rsidRPr="00DA02B0" w:rsidRDefault="003A141B" w:rsidP="00DB60E1">
                  <w:pPr>
                    <w:jc w:val="right"/>
                    <w:rPr>
                      <w:rFonts w:ascii="Arial" w:hAnsi="Arial" w:cs="Arial"/>
                      <w:b/>
                      <w:bCs/>
                      <w:sz w:val="18"/>
                      <w:szCs w:val="18"/>
                    </w:rPr>
                  </w:pPr>
                  <w:r w:rsidRPr="00DA02B0">
                    <w:rPr>
                      <w:rFonts w:ascii="Arial" w:hAnsi="Arial" w:cs="Arial"/>
                      <w:b/>
                      <w:bCs/>
                      <w:sz w:val="18"/>
                      <w:szCs w:val="18"/>
                    </w:rPr>
                    <w:t>1974</w:t>
                  </w:r>
                  <w:r w:rsidRPr="00DA02B0">
                    <w:rPr>
                      <w:rFonts w:ascii="Arial" w:hAnsi="Arial" w:cs="Arial"/>
                      <w:b/>
                      <w:bCs/>
                      <w:sz w:val="18"/>
                      <w:szCs w:val="18"/>
                    </w:rPr>
                    <w:noBreakHyphen/>
                    <w:t>75 to</w:t>
                  </w:r>
                </w:p>
                <w:p w14:paraId="0E102B21"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2017</w:t>
                  </w:r>
                  <w:r w:rsidRPr="00DA02B0">
                    <w:rPr>
                      <w:rFonts w:ascii="Arial" w:hAnsi="Arial" w:cs="Arial"/>
                      <w:b/>
                      <w:bCs/>
                      <w:sz w:val="18"/>
                      <w:szCs w:val="18"/>
                    </w:rPr>
                    <w:noBreakHyphen/>
                    <w:t>18</w:t>
                  </w:r>
                </w:p>
              </w:tc>
              <w:tc>
                <w:tcPr>
                  <w:tcW w:w="737" w:type="pct"/>
                  <w:tcBorders>
                    <w:top w:val="nil"/>
                    <w:left w:val="nil"/>
                    <w:bottom w:val="single" w:sz="12" w:space="0" w:color="FFFFFF" w:themeColor="background1"/>
                    <w:right w:val="single" w:sz="12" w:space="0" w:color="FFFFFF"/>
                  </w:tcBorders>
                  <w:shd w:val="clear" w:color="auto" w:fill="C1E4F0" w:themeFill="text2" w:themeFillTint="66"/>
                  <w:vAlign w:val="center"/>
                  <w:hideMark/>
                </w:tcPr>
                <w:p w14:paraId="1D53592F"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2003</w:t>
                  </w:r>
                  <w:r w:rsidRPr="00DA02B0">
                    <w:rPr>
                      <w:rFonts w:ascii="Arial" w:hAnsi="Arial" w:cs="Arial"/>
                      <w:b/>
                      <w:bCs/>
                      <w:sz w:val="18"/>
                      <w:szCs w:val="18"/>
                    </w:rPr>
                    <w:noBreakHyphen/>
                    <w:t>04 to</w:t>
                  </w:r>
                </w:p>
                <w:p w14:paraId="21912725"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2011</w:t>
                  </w:r>
                  <w:r w:rsidRPr="00DA02B0">
                    <w:rPr>
                      <w:rFonts w:ascii="Arial" w:hAnsi="Arial" w:cs="Arial"/>
                      <w:b/>
                      <w:bCs/>
                      <w:sz w:val="18"/>
                      <w:szCs w:val="18"/>
                    </w:rPr>
                    <w:noBreakHyphen/>
                    <w:t>12</w:t>
                  </w:r>
                </w:p>
              </w:tc>
              <w:tc>
                <w:tcPr>
                  <w:tcW w:w="730" w:type="pct"/>
                  <w:tcBorders>
                    <w:top w:val="nil"/>
                    <w:left w:val="nil"/>
                    <w:bottom w:val="single" w:sz="12" w:space="0" w:color="FFFFFF" w:themeColor="background1"/>
                    <w:right w:val="single" w:sz="48" w:space="0" w:color="FFFFFF" w:themeColor="background1"/>
                  </w:tcBorders>
                  <w:shd w:val="clear" w:color="auto" w:fill="C1E4F0" w:themeFill="text2" w:themeFillTint="66"/>
                  <w:vAlign w:val="center"/>
                  <w:hideMark/>
                </w:tcPr>
                <w:p w14:paraId="58978813"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2011</w:t>
                  </w:r>
                  <w:r w:rsidRPr="00DA02B0">
                    <w:rPr>
                      <w:rFonts w:ascii="Arial" w:hAnsi="Arial" w:cs="Arial"/>
                      <w:b/>
                      <w:bCs/>
                      <w:sz w:val="18"/>
                      <w:szCs w:val="18"/>
                    </w:rPr>
                    <w:noBreakHyphen/>
                    <w:t>12 to</w:t>
                  </w:r>
                </w:p>
                <w:p w14:paraId="484C29FD"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bCs/>
                      <w:sz w:val="18"/>
                      <w:szCs w:val="18"/>
                    </w:rPr>
                    <w:t>2017</w:t>
                  </w:r>
                  <w:r w:rsidRPr="00DA02B0">
                    <w:rPr>
                      <w:rFonts w:ascii="Arial" w:hAnsi="Arial" w:cs="Arial"/>
                      <w:b/>
                      <w:bCs/>
                      <w:sz w:val="18"/>
                      <w:szCs w:val="18"/>
                    </w:rPr>
                    <w:noBreakHyphen/>
                    <w:t>18</w:t>
                  </w:r>
                </w:p>
              </w:tc>
              <w:tc>
                <w:tcPr>
                  <w:tcW w:w="552" w:type="pct"/>
                  <w:tcBorders>
                    <w:top w:val="single" w:sz="12" w:space="0" w:color="FFFFFF"/>
                    <w:left w:val="single" w:sz="48" w:space="0" w:color="FFFFFF" w:themeColor="background1"/>
                    <w:bottom w:val="single" w:sz="12" w:space="0" w:color="FFFFFF" w:themeColor="background1"/>
                    <w:right w:val="single" w:sz="12" w:space="0" w:color="FFFFFF"/>
                  </w:tcBorders>
                  <w:shd w:val="clear" w:color="auto" w:fill="C1E4F0" w:themeFill="text2" w:themeFillTint="66"/>
                  <w:vAlign w:val="center"/>
                  <w:hideMark/>
                </w:tcPr>
                <w:p w14:paraId="2CF3B26B" w14:textId="77777777" w:rsidR="003A141B" w:rsidRPr="00DA02B0" w:rsidRDefault="003A141B" w:rsidP="00DB60E1">
                  <w:pPr>
                    <w:jc w:val="right"/>
                    <w:rPr>
                      <w:rFonts w:ascii="Arial" w:hAnsi="Arial" w:cs="Arial"/>
                      <w:b/>
                      <w:bCs/>
                      <w:sz w:val="18"/>
                      <w:szCs w:val="18"/>
                    </w:rPr>
                  </w:pPr>
                  <w:r w:rsidRPr="00DA02B0">
                    <w:rPr>
                      <w:rFonts w:ascii="Arial" w:hAnsi="Arial" w:cs="Arial"/>
                      <w:b/>
                      <w:bCs/>
                      <w:sz w:val="18"/>
                      <w:szCs w:val="18"/>
                    </w:rPr>
                    <w:t>2015</w:t>
                  </w:r>
                  <w:r w:rsidRPr="00DA02B0">
                    <w:rPr>
                      <w:rFonts w:ascii="Arial" w:hAnsi="Arial" w:cs="Arial"/>
                      <w:b/>
                      <w:bCs/>
                      <w:sz w:val="18"/>
                      <w:szCs w:val="18"/>
                    </w:rPr>
                    <w:noBreakHyphen/>
                    <w:t>16</w:t>
                  </w:r>
                </w:p>
              </w:tc>
              <w:tc>
                <w:tcPr>
                  <w:tcW w:w="552" w:type="pct"/>
                  <w:tcBorders>
                    <w:top w:val="single" w:sz="12" w:space="0" w:color="FFFFFF"/>
                    <w:left w:val="single" w:sz="12" w:space="0" w:color="FFFFFF"/>
                    <w:bottom w:val="single" w:sz="12" w:space="0" w:color="FFFFFF" w:themeColor="background1"/>
                    <w:right w:val="single" w:sz="12" w:space="0" w:color="FFFFFF"/>
                  </w:tcBorders>
                  <w:shd w:val="clear" w:color="auto" w:fill="C1E4F0" w:themeFill="text2" w:themeFillTint="66"/>
                  <w:vAlign w:val="center"/>
                  <w:hideMark/>
                </w:tcPr>
                <w:p w14:paraId="1C106EBE" w14:textId="77777777" w:rsidR="003A141B" w:rsidRPr="00DA02B0" w:rsidRDefault="003A141B" w:rsidP="00DB60E1">
                  <w:pPr>
                    <w:jc w:val="right"/>
                    <w:rPr>
                      <w:rFonts w:ascii="Arial" w:hAnsi="Arial" w:cs="Arial"/>
                      <w:b/>
                      <w:bCs/>
                      <w:sz w:val="18"/>
                      <w:szCs w:val="18"/>
                    </w:rPr>
                  </w:pPr>
                  <w:r w:rsidRPr="00DA02B0">
                    <w:rPr>
                      <w:rFonts w:ascii="Arial" w:hAnsi="Arial" w:cs="Arial"/>
                      <w:b/>
                      <w:bCs/>
                      <w:sz w:val="18"/>
                      <w:szCs w:val="18"/>
                    </w:rPr>
                    <w:t>2016</w:t>
                  </w:r>
                  <w:r w:rsidRPr="00DA02B0">
                    <w:rPr>
                      <w:rFonts w:ascii="Arial" w:hAnsi="Arial" w:cs="Arial"/>
                      <w:b/>
                      <w:bCs/>
                      <w:sz w:val="18"/>
                      <w:szCs w:val="18"/>
                    </w:rPr>
                    <w:noBreakHyphen/>
                    <w:t>17</w:t>
                  </w:r>
                </w:p>
              </w:tc>
              <w:tc>
                <w:tcPr>
                  <w:tcW w:w="552" w:type="pct"/>
                  <w:tcBorders>
                    <w:top w:val="single" w:sz="12" w:space="0" w:color="FFFFFF"/>
                    <w:left w:val="single" w:sz="12" w:space="0" w:color="FFFFFF"/>
                    <w:bottom w:val="single" w:sz="12" w:space="0" w:color="FFFFFF" w:themeColor="background1"/>
                    <w:right w:val="single" w:sz="12" w:space="0" w:color="FFFFFF"/>
                  </w:tcBorders>
                  <w:shd w:val="clear" w:color="auto" w:fill="C1E4F0" w:themeFill="text2" w:themeFillTint="66"/>
                  <w:vAlign w:val="center"/>
                  <w:hideMark/>
                </w:tcPr>
                <w:p w14:paraId="3D752785" w14:textId="77777777" w:rsidR="003A141B" w:rsidRPr="00DA02B0" w:rsidRDefault="003A141B" w:rsidP="00DB60E1">
                  <w:pPr>
                    <w:jc w:val="right"/>
                    <w:rPr>
                      <w:rFonts w:ascii="Arial" w:hAnsi="Arial" w:cs="Arial"/>
                      <w:b/>
                      <w:bCs/>
                      <w:sz w:val="18"/>
                      <w:szCs w:val="18"/>
                    </w:rPr>
                  </w:pPr>
                  <w:r w:rsidRPr="00DA02B0">
                    <w:rPr>
                      <w:rFonts w:ascii="Arial" w:hAnsi="Arial" w:cs="Arial"/>
                      <w:b/>
                      <w:bCs/>
                      <w:sz w:val="18"/>
                      <w:szCs w:val="18"/>
                    </w:rPr>
                    <w:t>2017</w:t>
                  </w:r>
                  <w:r w:rsidRPr="00DA02B0">
                    <w:rPr>
                      <w:rFonts w:ascii="Arial" w:hAnsi="Arial" w:cs="Arial"/>
                      <w:b/>
                      <w:bCs/>
                      <w:sz w:val="18"/>
                      <w:szCs w:val="18"/>
                    </w:rPr>
                    <w:noBreakHyphen/>
                    <w:t>18</w:t>
                  </w:r>
                </w:p>
              </w:tc>
            </w:tr>
            <w:tr w:rsidR="003A141B" w:rsidRPr="00DA02B0" w14:paraId="7B39B117" w14:textId="77777777" w:rsidTr="00986FD2">
              <w:trPr>
                <w:trHeight w:val="274"/>
              </w:trPr>
              <w:tc>
                <w:tcPr>
                  <w:tcW w:w="3344" w:type="pct"/>
                  <w:gridSpan w:val="4"/>
                  <w:tcBorders>
                    <w:top w:val="single" w:sz="12" w:space="0" w:color="FFFFFF" w:themeColor="background1"/>
                    <w:left w:val="single" w:sz="12" w:space="0" w:color="FFFFFF"/>
                    <w:bottom w:val="single" w:sz="12" w:space="0" w:color="FFFFFF" w:themeColor="background1"/>
                  </w:tcBorders>
                  <w:shd w:val="clear" w:color="auto" w:fill="2D9AC2" w:themeFill="text2" w:themeFillShade="BF"/>
                  <w:vAlign w:val="center"/>
                </w:tcPr>
                <w:p w14:paraId="2B32DA0D" w14:textId="77777777" w:rsidR="003A141B" w:rsidRPr="00DA02B0" w:rsidRDefault="003A141B" w:rsidP="001312B7">
                  <w:pPr>
                    <w:spacing w:before="20" w:after="20"/>
                    <w:rPr>
                      <w:rFonts w:ascii="Arial" w:hAnsi="Arial" w:cs="Arial"/>
                      <w:sz w:val="18"/>
                      <w:szCs w:val="18"/>
                    </w:rPr>
                  </w:pPr>
                  <w:r w:rsidRPr="00DA02B0">
                    <w:rPr>
                      <w:rFonts w:ascii="Arial" w:hAnsi="Arial" w:cs="Arial"/>
                      <w:b/>
                      <w:color w:val="FFFFFF" w:themeColor="background1"/>
                      <w:sz w:val="18"/>
                      <w:szCs w:val="18"/>
                    </w:rPr>
                    <w:t>Economy</w:t>
                  </w: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58E3E5AF" w14:textId="77777777" w:rsidR="003A141B" w:rsidRPr="00DA02B0" w:rsidRDefault="003A141B" w:rsidP="001312B7">
                  <w:pPr>
                    <w:spacing w:before="20" w:after="20"/>
                    <w:jc w:val="right"/>
                    <w:rPr>
                      <w:rFonts w:ascii="Arial" w:hAnsi="Arial" w:cs="Arial"/>
                      <w:sz w:val="18"/>
                      <w:szCs w:val="18"/>
                    </w:rPr>
                  </w:pP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39EF56EC" w14:textId="77777777" w:rsidR="003A141B" w:rsidRPr="00DA02B0" w:rsidRDefault="003A141B" w:rsidP="001312B7">
                  <w:pPr>
                    <w:spacing w:before="20" w:after="20"/>
                    <w:jc w:val="right"/>
                    <w:rPr>
                      <w:rFonts w:ascii="Arial" w:hAnsi="Arial" w:cs="Arial"/>
                      <w:sz w:val="18"/>
                      <w:szCs w:val="18"/>
                    </w:rPr>
                  </w:pPr>
                </w:p>
              </w:tc>
              <w:tc>
                <w:tcPr>
                  <w:tcW w:w="552" w:type="pct"/>
                  <w:tcBorders>
                    <w:top w:val="single" w:sz="12" w:space="0" w:color="FFFFFF" w:themeColor="background1"/>
                    <w:bottom w:val="single" w:sz="12" w:space="0" w:color="FFFFFF" w:themeColor="background1"/>
                    <w:right w:val="single" w:sz="12" w:space="0" w:color="FFFFFF"/>
                  </w:tcBorders>
                  <w:shd w:val="clear" w:color="auto" w:fill="2D9AC2" w:themeFill="text2" w:themeFillShade="BF"/>
                  <w:vAlign w:val="center"/>
                </w:tcPr>
                <w:p w14:paraId="2DE6683D" w14:textId="77777777" w:rsidR="003A141B" w:rsidRPr="00DA02B0" w:rsidRDefault="003A141B" w:rsidP="001312B7">
                  <w:pPr>
                    <w:spacing w:before="20" w:after="20"/>
                    <w:jc w:val="right"/>
                    <w:rPr>
                      <w:rFonts w:ascii="Arial" w:hAnsi="Arial" w:cs="Arial"/>
                      <w:sz w:val="18"/>
                      <w:szCs w:val="18"/>
                    </w:rPr>
                  </w:pPr>
                </w:p>
              </w:tc>
            </w:tr>
            <w:tr w:rsidR="003A141B" w14:paraId="2D8EC60F" w14:textId="77777777" w:rsidTr="001312B7">
              <w:trPr>
                <w:trHeight w:val="274"/>
              </w:trPr>
              <w:tc>
                <w:tcPr>
                  <w:tcW w:w="1166" w:type="pct"/>
                  <w:tcBorders>
                    <w:top w:val="single" w:sz="12" w:space="0" w:color="FFFFFF" w:themeColor="background1"/>
                    <w:left w:val="single" w:sz="12" w:space="0" w:color="FFFFFF"/>
                    <w:bottom w:val="single" w:sz="12" w:space="0" w:color="FFFFFF"/>
                    <w:right w:val="single" w:sz="12" w:space="0" w:color="FFFFFF"/>
                  </w:tcBorders>
                  <w:shd w:val="clear" w:color="auto" w:fill="E0F1F7" w:themeFill="text2" w:themeFillTint="33"/>
                  <w:vAlign w:val="bottom"/>
                </w:tcPr>
                <w:p w14:paraId="6F4BC3C0"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Output (GDP)</w:t>
                  </w:r>
                </w:p>
              </w:tc>
              <w:tc>
                <w:tcPr>
                  <w:tcW w:w="710"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48A19B7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7"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7AD590F8"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2.9</w:t>
                  </w:r>
                </w:p>
              </w:tc>
              <w:tc>
                <w:tcPr>
                  <w:tcW w:w="730" w:type="pct"/>
                  <w:tcBorders>
                    <w:top w:val="single" w:sz="12" w:space="0" w:color="FFFFFF" w:themeColor="background1"/>
                    <w:left w:val="nil"/>
                    <w:bottom w:val="single" w:sz="12" w:space="0" w:color="FFFFFF"/>
                    <w:right w:val="single" w:sz="48" w:space="0" w:color="FFFFFF" w:themeColor="background1"/>
                  </w:tcBorders>
                  <w:shd w:val="clear" w:color="auto" w:fill="E0F1F7" w:themeFill="text2" w:themeFillTint="33"/>
                  <w:vAlign w:val="center"/>
                </w:tcPr>
                <w:p w14:paraId="6E27868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c>
                <w:tcPr>
                  <w:tcW w:w="552" w:type="pct"/>
                  <w:tcBorders>
                    <w:top w:val="single" w:sz="12" w:space="0" w:color="FFFFFF" w:themeColor="background1"/>
                    <w:left w:val="single" w:sz="48" w:space="0" w:color="FFFFFF" w:themeColor="background1"/>
                    <w:bottom w:val="single" w:sz="12" w:space="0" w:color="FFFFFF"/>
                    <w:right w:val="single" w:sz="12" w:space="0" w:color="FFFFFF"/>
                  </w:tcBorders>
                  <w:shd w:val="clear" w:color="auto" w:fill="E0F1F7" w:themeFill="text2" w:themeFillTint="33"/>
                  <w:vAlign w:val="center"/>
                </w:tcPr>
                <w:p w14:paraId="7D60125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2.8</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69ACDA8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 xml:space="preserve">2.3 </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2748C3D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 xml:space="preserve">2.8 </w:t>
                  </w:r>
                </w:p>
              </w:tc>
            </w:tr>
            <w:tr w:rsidR="003A141B" w14:paraId="786E0A6A"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5950FFF2" w14:textId="77777777" w:rsidR="003A141B" w:rsidRPr="00DA02B0" w:rsidRDefault="003A141B" w:rsidP="00C6139F">
                  <w:pPr>
                    <w:ind w:leftChars="-1" w:hangingChars="1" w:hanging="2"/>
                    <w:rPr>
                      <w:rFonts w:ascii="Arial" w:hAnsi="Arial" w:cs="Arial"/>
                      <w:sz w:val="18"/>
                      <w:szCs w:val="18"/>
                    </w:rPr>
                  </w:pPr>
                  <w:r w:rsidRPr="00DA02B0">
                    <w:rPr>
                      <w:rFonts w:ascii="Arial" w:hAnsi="Arial" w:cs="Arial"/>
                      <w:sz w:val="18"/>
                      <w:szCs w:val="18"/>
                    </w:rPr>
                    <w:t>Output (</w:t>
                  </w:r>
                  <w:proofErr w:type="spellStart"/>
                  <w:r w:rsidRPr="00DA02B0">
                    <w:rPr>
                      <w:rFonts w:ascii="Arial" w:hAnsi="Arial" w:cs="Arial"/>
                      <w:sz w:val="18"/>
                      <w:szCs w:val="18"/>
                    </w:rPr>
                    <w:t>GVA</w:t>
                  </w:r>
                  <w:proofErr w:type="spellEnd"/>
                  <w:r w:rsidRPr="00DA02B0">
                    <w:rPr>
                      <w:rFonts w:ascii="Arial" w:hAnsi="Arial" w:cs="Arial"/>
                      <w:sz w:val="18"/>
                      <w:szCs w:val="18"/>
                    </w:rPr>
                    <w:t>)</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1377C03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74165EB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193B7C2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1A17961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15E62F6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2.3</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3AB6231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2.7</w:t>
                  </w:r>
                </w:p>
              </w:tc>
            </w:tr>
            <w:tr w:rsidR="003A141B" w14:paraId="2AD1D589"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30928084"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7F59131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2.4</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173ED3C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604EE1D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4D3AD49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1.8</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64F981E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1.6</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52F8B8A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2.3</w:t>
                  </w:r>
                </w:p>
              </w:tc>
            </w:tr>
            <w:tr w:rsidR="003A141B" w14:paraId="5E953C20"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4EF9B8F1" w14:textId="77777777" w:rsidR="003A141B" w:rsidRPr="00DA02B0" w:rsidRDefault="003A141B" w:rsidP="00DB60E1">
                  <w:pPr>
                    <w:ind w:leftChars="-1" w:left="-2" w:firstLineChars="88" w:firstLine="158"/>
                    <w:rPr>
                      <w:rFonts w:ascii="Arial" w:hAnsi="Arial" w:cs="Arial"/>
                      <w:sz w:val="18"/>
                      <w:szCs w:val="18"/>
                    </w:rPr>
                  </w:pPr>
                  <w:r w:rsidRPr="00DA02B0">
                    <w:rPr>
                      <w:rFonts w:ascii="Arial" w:hAnsi="Arial" w:cs="Arial"/>
                      <w:sz w:val="18"/>
                      <w:szCs w:val="18"/>
                    </w:rPr>
                    <w:t>Labour 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5D38DD0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6984297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0E377E7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1.3</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01FC6D7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1.7</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4BFFF87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35ECF58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r>
            <w:tr w:rsidR="003A141B" w14:paraId="7C84B185"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1E3074EA" w14:textId="77777777" w:rsidR="003A141B" w:rsidRPr="00DA02B0" w:rsidRDefault="003A141B" w:rsidP="00C6139F">
                  <w:pPr>
                    <w:ind w:leftChars="-1" w:left="-2" w:firstLineChars="88" w:firstLine="158"/>
                    <w:rPr>
                      <w:rFonts w:ascii="Arial" w:hAnsi="Arial" w:cs="Arial"/>
                      <w:sz w:val="18"/>
                      <w:szCs w:val="18"/>
                    </w:rPr>
                  </w:pPr>
                  <w:r w:rsidRPr="00DA02B0">
                    <w:rPr>
                      <w:rFonts w:ascii="Arial" w:hAnsi="Arial" w:cs="Arial"/>
                      <w:sz w:val="18"/>
                      <w:szCs w:val="18"/>
                    </w:rPr>
                    <w:t>Capital 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4401EDF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4.0</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19128548"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4.6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768FD44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06CE84D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3BCA69F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2.0</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5F4F33D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r>
            <w:tr w:rsidR="003A141B" w14:paraId="491962D2"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099B232C" w14:textId="77777777" w:rsidR="003A141B" w:rsidRPr="00DA02B0" w:rsidRDefault="003A141B" w:rsidP="00C6139F">
                  <w:pPr>
                    <w:ind w:leftChars="-1" w:hangingChars="1" w:hanging="2"/>
                    <w:rPr>
                      <w:rFonts w:ascii="Arial" w:hAnsi="Arial" w:cs="Arial"/>
                      <w:b/>
                      <w:bCs/>
                      <w:sz w:val="18"/>
                      <w:szCs w:val="18"/>
                    </w:rPr>
                  </w:pPr>
                  <w:r w:rsidRPr="00DA02B0">
                    <w:rPr>
                      <w:rFonts w:ascii="Arial" w:hAnsi="Arial" w:cs="Arial"/>
                      <w:b/>
                      <w:bCs/>
                      <w:sz w:val="18"/>
                      <w:szCs w:val="18"/>
                    </w:rPr>
                    <w:t>Labour productivity</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1FA0F92C"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1.7</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7D83CA92"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1.1</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43FF4F15"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1.2</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34899ED6"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0.9</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1E9F5927"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0.9</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622BE5BD"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0.2</w:t>
                  </w:r>
                </w:p>
              </w:tc>
            </w:tr>
            <w:tr w:rsidR="003A141B" w14:paraId="11264D93"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6DF0DFFD" w14:textId="77777777" w:rsidR="003A141B" w:rsidRPr="00DA02B0" w:rsidRDefault="003A141B" w:rsidP="00C6139F">
                  <w:pPr>
                    <w:ind w:leftChars="-1" w:hangingChars="1" w:hanging="2"/>
                    <w:rPr>
                      <w:rFonts w:ascii="Arial" w:hAnsi="Arial" w:cs="Arial"/>
                      <w:b/>
                      <w:bCs/>
                      <w:sz w:val="18"/>
                      <w:szCs w:val="18"/>
                    </w:rPr>
                  </w:pPr>
                  <w:r w:rsidRPr="00DA02B0">
                    <w:rPr>
                      <w:rFonts w:ascii="Arial" w:hAnsi="Arial" w:cs="Arial"/>
                      <w:sz w:val="18"/>
                      <w:szCs w:val="18"/>
                    </w:rPr>
                    <w:t>Capital</w:t>
                  </w:r>
                  <w:r w:rsidRPr="00DA02B0">
                    <w:rPr>
                      <w:rFonts w:ascii="Arial" w:hAnsi="Arial" w:cs="Arial"/>
                      <w:sz w:val="18"/>
                      <w:szCs w:val="18"/>
                    </w:rPr>
                    <w:noBreakHyphen/>
                    <w:t>labour ratio</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4CCDD49C"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t>2.6</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0F624D80"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t>2.6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4943DF65"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t>1.3</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4BDE12DD"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t>0.2</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218674B7"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t>0.5</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3E384E72" w14:textId="77777777" w:rsidR="003A141B" w:rsidRPr="00DA02B0" w:rsidRDefault="003A141B" w:rsidP="00DB60E1">
                  <w:pPr>
                    <w:ind w:right="113"/>
                    <w:jc w:val="right"/>
                    <w:rPr>
                      <w:rFonts w:ascii="Arial" w:hAnsi="Arial" w:cs="Arial"/>
                      <w:bCs/>
                      <w:sz w:val="18"/>
                      <w:szCs w:val="18"/>
                    </w:rPr>
                  </w:pPr>
                  <w:r w:rsidRPr="00DA02B0">
                    <w:rPr>
                      <w:rFonts w:ascii="Arial" w:hAnsi="Arial" w:cs="Arial"/>
                      <w:sz w:val="18"/>
                      <w:szCs w:val="18"/>
                    </w:rPr>
                    <w:noBreakHyphen/>
                    <w:t>0.6</w:t>
                  </w:r>
                </w:p>
              </w:tc>
            </w:tr>
            <w:tr w:rsidR="003A141B" w14:paraId="046BCDDE"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bottom"/>
                </w:tcPr>
                <w:p w14:paraId="057AB1EF" w14:textId="77777777" w:rsidR="003A141B" w:rsidRPr="00DA02B0" w:rsidRDefault="003A141B" w:rsidP="00C6139F">
                  <w:pPr>
                    <w:ind w:leftChars="-1" w:hangingChars="1" w:hanging="2"/>
                    <w:rPr>
                      <w:rFonts w:ascii="Arial" w:hAnsi="Arial" w:cs="Arial"/>
                      <w:sz w:val="18"/>
                      <w:szCs w:val="18"/>
                    </w:rPr>
                  </w:pPr>
                  <w:r w:rsidRPr="00DA02B0">
                    <w:rPr>
                      <w:rFonts w:ascii="Arial" w:hAnsi="Arial" w:cs="Arial"/>
                      <w:sz w:val="18"/>
                      <w:szCs w:val="18"/>
                    </w:rPr>
                    <w:t>Capital deepening</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4F08D3C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1.0</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20B12461"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1.1</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46CD61B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0.5</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502AD0C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0.1</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1598ECB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0.2</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26BEE53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noBreakHyphen/>
                    <w:t>0.3</w:t>
                  </w:r>
                </w:p>
              </w:tc>
            </w:tr>
            <w:tr w:rsidR="003A141B" w14:paraId="271AB642" w14:textId="77777777" w:rsidTr="001312B7">
              <w:trPr>
                <w:trHeight w:val="274"/>
              </w:trPr>
              <w:tc>
                <w:tcPr>
                  <w:tcW w:w="1166" w:type="pct"/>
                  <w:tcBorders>
                    <w:top w:val="single" w:sz="12" w:space="0" w:color="FFFFFF"/>
                    <w:left w:val="single" w:sz="12" w:space="0" w:color="FFFFFF"/>
                    <w:bottom w:val="single" w:sz="12" w:space="0" w:color="FFFFFF" w:themeColor="background1"/>
                    <w:right w:val="single" w:sz="12" w:space="0" w:color="FFFFFF"/>
                  </w:tcBorders>
                  <w:shd w:val="clear" w:color="auto" w:fill="E0F1F7" w:themeFill="text2" w:themeFillTint="33"/>
                  <w:vAlign w:val="bottom"/>
                </w:tcPr>
                <w:p w14:paraId="36C5662F" w14:textId="02BD0A68" w:rsidR="003A141B" w:rsidRPr="00DA02B0" w:rsidRDefault="003A141B" w:rsidP="0034286C">
                  <w:pPr>
                    <w:spacing w:after="40"/>
                    <w:ind w:leftChars="-1" w:hangingChars="1" w:hanging="2"/>
                    <w:rPr>
                      <w:rFonts w:ascii="Arial" w:hAnsi="Arial" w:cs="Arial"/>
                      <w:b/>
                      <w:bCs/>
                      <w:spacing w:val="-2"/>
                      <w:sz w:val="18"/>
                      <w:szCs w:val="18"/>
                    </w:rPr>
                  </w:pPr>
                  <w:r w:rsidRPr="00DA02B0">
                    <w:rPr>
                      <w:rFonts w:ascii="Arial" w:hAnsi="Arial" w:cs="Arial"/>
                      <w:b/>
                      <w:bCs/>
                      <w:spacing w:val="-2"/>
                      <w:sz w:val="18"/>
                      <w:szCs w:val="18"/>
                    </w:rPr>
                    <w:t>MFP</w:t>
                  </w:r>
                </w:p>
              </w:tc>
              <w:tc>
                <w:tcPr>
                  <w:tcW w:w="710"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4DEDFD2E"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0.7</w:t>
                  </w:r>
                </w:p>
              </w:tc>
              <w:tc>
                <w:tcPr>
                  <w:tcW w:w="73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3E169AF6"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0.0</w:t>
                  </w:r>
                </w:p>
              </w:tc>
              <w:tc>
                <w:tcPr>
                  <w:tcW w:w="730" w:type="pct"/>
                  <w:tcBorders>
                    <w:top w:val="nil"/>
                    <w:left w:val="nil"/>
                    <w:bottom w:val="single" w:sz="12" w:space="0" w:color="FFFFFF" w:themeColor="background1"/>
                    <w:right w:val="single" w:sz="48" w:space="0" w:color="FFFFFF" w:themeColor="background1"/>
                  </w:tcBorders>
                  <w:shd w:val="clear" w:color="auto" w:fill="E0F1F7" w:themeFill="text2" w:themeFillTint="33"/>
                  <w:vAlign w:val="center"/>
                </w:tcPr>
                <w:p w14:paraId="0443B3A0"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0.7</w:t>
                  </w:r>
                </w:p>
              </w:tc>
              <w:tc>
                <w:tcPr>
                  <w:tcW w:w="552" w:type="pct"/>
                  <w:tcBorders>
                    <w:top w:val="nil"/>
                    <w:left w:val="single" w:sz="48" w:space="0" w:color="FFFFFF" w:themeColor="background1"/>
                    <w:bottom w:val="single" w:sz="12" w:space="0" w:color="FFFFFF" w:themeColor="background1"/>
                    <w:right w:val="single" w:sz="12" w:space="0" w:color="FFFFFF"/>
                  </w:tcBorders>
                  <w:shd w:val="clear" w:color="auto" w:fill="E0F1F7" w:themeFill="text2" w:themeFillTint="33"/>
                  <w:vAlign w:val="center"/>
                </w:tcPr>
                <w:p w14:paraId="344EB5F3"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0.8</w:t>
                  </w:r>
                </w:p>
              </w:tc>
              <w:tc>
                <w:tcPr>
                  <w:tcW w:w="552"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4AA7074A"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0.7</w:t>
                  </w:r>
                </w:p>
              </w:tc>
              <w:tc>
                <w:tcPr>
                  <w:tcW w:w="552"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04CF7DD3" w14:textId="77777777" w:rsidR="003A141B" w:rsidRPr="00DA02B0" w:rsidRDefault="003A141B" w:rsidP="001312B7">
                  <w:pPr>
                    <w:spacing w:after="40"/>
                    <w:ind w:left="-1" w:right="113"/>
                    <w:jc w:val="right"/>
                    <w:rPr>
                      <w:rFonts w:ascii="Arial" w:hAnsi="Arial" w:cs="Arial"/>
                      <w:b/>
                      <w:bCs/>
                      <w:spacing w:val="-2"/>
                      <w:sz w:val="18"/>
                      <w:szCs w:val="18"/>
                    </w:rPr>
                  </w:pPr>
                  <w:r w:rsidRPr="00DA02B0">
                    <w:rPr>
                      <w:rFonts w:ascii="Arial" w:hAnsi="Arial" w:cs="Arial"/>
                      <w:b/>
                      <w:spacing w:val="-2"/>
                      <w:sz w:val="18"/>
                      <w:szCs w:val="18"/>
                    </w:rPr>
                    <w:t>0.4</w:t>
                  </w:r>
                </w:p>
              </w:tc>
            </w:tr>
            <w:tr w:rsidR="003A141B" w:rsidRPr="00DA02B0" w14:paraId="7960142B" w14:textId="77777777" w:rsidTr="00986FD2">
              <w:trPr>
                <w:trHeight w:val="274"/>
              </w:trPr>
              <w:tc>
                <w:tcPr>
                  <w:tcW w:w="2614" w:type="pct"/>
                  <w:gridSpan w:val="3"/>
                  <w:tcBorders>
                    <w:top w:val="single" w:sz="12" w:space="0" w:color="FFFFFF" w:themeColor="background1"/>
                    <w:left w:val="single" w:sz="12" w:space="0" w:color="FFFFFF"/>
                    <w:bottom w:val="single" w:sz="12" w:space="0" w:color="FFFFFF" w:themeColor="background1"/>
                  </w:tcBorders>
                  <w:shd w:val="clear" w:color="auto" w:fill="2D9AC2" w:themeFill="text2" w:themeFillShade="BF"/>
                  <w:vAlign w:val="center"/>
                </w:tcPr>
                <w:p w14:paraId="46CEDB11" w14:textId="77777777" w:rsidR="003A141B" w:rsidRPr="00DA02B0" w:rsidRDefault="003A141B" w:rsidP="001312B7">
                  <w:pPr>
                    <w:spacing w:before="20" w:after="20"/>
                    <w:rPr>
                      <w:rFonts w:ascii="Arial" w:hAnsi="Arial" w:cs="Arial"/>
                      <w:b/>
                      <w:bCs/>
                      <w:sz w:val="18"/>
                      <w:szCs w:val="18"/>
                    </w:rPr>
                  </w:pPr>
                  <w:r w:rsidRPr="00DA02B0">
                    <w:rPr>
                      <w:rFonts w:ascii="Arial" w:hAnsi="Arial" w:cs="Arial"/>
                      <w:b/>
                      <w:bCs/>
                      <w:color w:val="FFFFFF" w:themeColor="background1"/>
                      <w:sz w:val="18"/>
                      <w:szCs w:val="18"/>
                    </w:rPr>
                    <w:t>Market sector (12 industries)</w:t>
                  </w:r>
                </w:p>
              </w:tc>
              <w:tc>
                <w:tcPr>
                  <w:tcW w:w="730" w:type="pct"/>
                  <w:tcBorders>
                    <w:top w:val="single" w:sz="12" w:space="0" w:color="FFFFFF" w:themeColor="background1"/>
                    <w:bottom w:val="single" w:sz="12" w:space="0" w:color="FFFFFF" w:themeColor="background1"/>
                  </w:tcBorders>
                  <w:shd w:val="clear" w:color="auto" w:fill="2D9AC2" w:themeFill="text2" w:themeFillShade="BF"/>
                  <w:vAlign w:val="center"/>
                </w:tcPr>
                <w:p w14:paraId="08B6F3E5" w14:textId="77777777" w:rsidR="003A141B" w:rsidRPr="00DA02B0" w:rsidRDefault="003A141B" w:rsidP="001312B7">
                  <w:pPr>
                    <w:spacing w:before="20" w:after="20"/>
                    <w:jc w:val="right"/>
                    <w:rPr>
                      <w:rFonts w:ascii="Arial" w:hAnsi="Arial" w:cs="Arial"/>
                      <w:b/>
                      <w:bCs/>
                      <w:sz w:val="18"/>
                      <w:szCs w:val="18"/>
                    </w:rPr>
                  </w:pP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6DB74E10" w14:textId="77777777" w:rsidR="003A141B" w:rsidRPr="00DA02B0" w:rsidRDefault="003A141B" w:rsidP="001312B7">
                  <w:pPr>
                    <w:spacing w:before="20" w:after="20"/>
                    <w:ind w:right="113"/>
                    <w:jc w:val="right"/>
                    <w:rPr>
                      <w:rFonts w:ascii="Arial" w:hAnsi="Arial" w:cs="Arial"/>
                      <w:b/>
                      <w:bCs/>
                      <w:sz w:val="18"/>
                      <w:szCs w:val="18"/>
                    </w:rPr>
                  </w:pP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2C3AACA8" w14:textId="77777777" w:rsidR="003A141B" w:rsidRPr="00DA02B0" w:rsidRDefault="003A141B" w:rsidP="001312B7">
                  <w:pPr>
                    <w:spacing w:before="20" w:after="20"/>
                    <w:ind w:right="113"/>
                    <w:jc w:val="right"/>
                    <w:rPr>
                      <w:rFonts w:ascii="Arial" w:hAnsi="Arial" w:cs="Arial"/>
                      <w:b/>
                      <w:bCs/>
                      <w:sz w:val="18"/>
                      <w:szCs w:val="18"/>
                    </w:rPr>
                  </w:pPr>
                </w:p>
              </w:tc>
              <w:tc>
                <w:tcPr>
                  <w:tcW w:w="552" w:type="pct"/>
                  <w:tcBorders>
                    <w:top w:val="single" w:sz="12" w:space="0" w:color="FFFFFF" w:themeColor="background1"/>
                    <w:bottom w:val="single" w:sz="12" w:space="0" w:color="FFFFFF" w:themeColor="background1"/>
                    <w:right w:val="single" w:sz="12" w:space="0" w:color="FFFFFF"/>
                  </w:tcBorders>
                  <w:shd w:val="clear" w:color="auto" w:fill="2D9AC2" w:themeFill="text2" w:themeFillShade="BF"/>
                  <w:vAlign w:val="center"/>
                </w:tcPr>
                <w:p w14:paraId="61FE71C9" w14:textId="77777777" w:rsidR="003A141B" w:rsidRPr="00DA02B0" w:rsidRDefault="003A141B" w:rsidP="001312B7">
                  <w:pPr>
                    <w:spacing w:before="20" w:after="20"/>
                    <w:ind w:right="113"/>
                    <w:jc w:val="right"/>
                    <w:rPr>
                      <w:rFonts w:ascii="Arial" w:hAnsi="Arial" w:cs="Arial"/>
                      <w:b/>
                      <w:bCs/>
                      <w:sz w:val="18"/>
                      <w:szCs w:val="18"/>
                    </w:rPr>
                  </w:pPr>
                </w:p>
              </w:tc>
            </w:tr>
            <w:tr w:rsidR="003A141B" w14:paraId="6D476199" w14:textId="77777777" w:rsidTr="001312B7">
              <w:trPr>
                <w:trHeight w:val="274"/>
              </w:trPr>
              <w:tc>
                <w:tcPr>
                  <w:tcW w:w="1166" w:type="pct"/>
                  <w:tcBorders>
                    <w:top w:val="single" w:sz="12" w:space="0" w:color="FFFFFF" w:themeColor="background1"/>
                    <w:left w:val="single" w:sz="12" w:space="0" w:color="FFFFFF"/>
                    <w:bottom w:val="single" w:sz="12" w:space="0" w:color="FFFFFF"/>
                    <w:right w:val="single" w:sz="12" w:space="0" w:color="FFFFFF"/>
                  </w:tcBorders>
                  <w:shd w:val="clear" w:color="auto" w:fill="E0F1F7" w:themeFill="text2" w:themeFillTint="33"/>
                  <w:vAlign w:val="center"/>
                  <w:hideMark/>
                </w:tcPr>
                <w:p w14:paraId="75F2A1E4"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Output (</w:t>
                  </w:r>
                  <w:proofErr w:type="spellStart"/>
                  <w:r w:rsidRPr="00DA02B0">
                    <w:rPr>
                      <w:rFonts w:ascii="Arial" w:hAnsi="Arial" w:cs="Arial"/>
                      <w:sz w:val="18"/>
                      <w:szCs w:val="18"/>
                    </w:rPr>
                    <w:t>GVA</w:t>
                  </w:r>
                  <w:proofErr w:type="spellEnd"/>
                  <w:r w:rsidRPr="00DA02B0">
                    <w:rPr>
                      <w:rFonts w:ascii="Arial" w:hAnsi="Arial" w:cs="Arial"/>
                      <w:sz w:val="18"/>
                      <w:szCs w:val="18"/>
                    </w:rPr>
                    <w:t>)</w:t>
                  </w:r>
                </w:p>
              </w:tc>
              <w:tc>
                <w:tcPr>
                  <w:tcW w:w="710"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783993CC"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3.0</w:t>
                  </w:r>
                </w:p>
              </w:tc>
              <w:tc>
                <w:tcPr>
                  <w:tcW w:w="737"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53E7EF9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0" w:type="pct"/>
                  <w:tcBorders>
                    <w:top w:val="single" w:sz="12" w:space="0" w:color="FFFFFF" w:themeColor="background1"/>
                    <w:left w:val="nil"/>
                    <w:bottom w:val="single" w:sz="12" w:space="0" w:color="FFFFFF"/>
                    <w:right w:val="single" w:sz="48" w:space="0" w:color="FFFFFF" w:themeColor="background1"/>
                  </w:tcBorders>
                  <w:shd w:val="clear" w:color="auto" w:fill="E0F1F7" w:themeFill="text2" w:themeFillTint="33"/>
                  <w:vAlign w:val="center"/>
                </w:tcPr>
                <w:p w14:paraId="03DE94A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2.4</w:t>
                  </w:r>
                </w:p>
              </w:tc>
              <w:tc>
                <w:tcPr>
                  <w:tcW w:w="552" w:type="pct"/>
                  <w:tcBorders>
                    <w:top w:val="single" w:sz="12" w:space="0" w:color="FFFFFF" w:themeColor="background1"/>
                    <w:left w:val="single" w:sz="48" w:space="0" w:color="FFFFFF" w:themeColor="background1"/>
                    <w:bottom w:val="single" w:sz="12" w:space="0" w:color="FFFFFF"/>
                    <w:right w:val="single" w:sz="12" w:space="0" w:color="FFFFFF"/>
                  </w:tcBorders>
                  <w:shd w:val="clear" w:color="auto" w:fill="E0F1F7" w:themeFill="text2" w:themeFillTint="33"/>
                  <w:vAlign w:val="center"/>
                </w:tcPr>
                <w:p w14:paraId="0CF876C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2.1</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32F149B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1.7</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center"/>
                </w:tcPr>
                <w:p w14:paraId="6DA4FB3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2.5</w:t>
                  </w:r>
                </w:p>
              </w:tc>
            </w:tr>
            <w:tr w:rsidR="003A141B" w14:paraId="6FAB8472"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66780FF5"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27092111"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2.1</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244654B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392C5AD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1.8</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75A53DE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1.1</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5F4473F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1.3</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6021118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2.5</w:t>
                  </w:r>
                </w:p>
              </w:tc>
            </w:tr>
            <w:tr w:rsidR="003A141B" w14:paraId="4292E33C"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22050007" w14:textId="77777777" w:rsidR="003A141B" w:rsidRPr="00DA02B0" w:rsidRDefault="003A141B" w:rsidP="00DB60E1">
                  <w:pPr>
                    <w:ind w:leftChars="-1" w:left="-2" w:firstLineChars="88" w:firstLine="158"/>
                    <w:rPr>
                      <w:rFonts w:ascii="Arial" w:hAnsi="Arial" w:cs="Arial"/>
                      <w:sz w:val="18"/>
                      <w:szCs w:val="18"/>
                    </w:rPr>
                  </w:pPr>
                  <w:r w:rsidRPr="00DA02B0">
                    <w:rPr>
                      <w:rFonts w:ascii="Arial" w:hAnsi="Arial" w:cs="Arial"/>
                      <w:sz w:val="18"/>
                      <w:szCs w:val="18"/>
                    </w:rPr>
                    <w:t>Labour 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34DED4B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0.7</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6392ADC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0D222BA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0.8</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72F05BA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0.4</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09F947A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0.8</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3B3D87E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3.1</w:t>
                  </w:r>
                </w:p>
              </w:tc>
            </w:tr>
            <w:tr w:rsidR="003A141B" w14:paraId="1A0298EF"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1824517C" w14:textId="77777777" w:rsidR="003A141B" w:rsidRPr="00DA02B0" w:rsidRDefault="003A141B" w:rsidP="00DB60E1">
                  <w:pPr>
                    <w:ind w:leftChars="-1" w:left="-2" w:firstLineChars="88" w:firstLine="158"/>
                    <w:rPr>
                      <w:rFonts w:ascii="Arial" w:hAnsi="Arial" w:cs="Arial"/>
                      <w:sz w:val="18"/>
                      <w:szCs w:val="18"/>
                    </w:rPr>
                  </w:pPr>
                  <w:r w:rsidRPr="00DA02B0">
                    <w:rPr>
                      <w:rFonts w:ascii="Arial" w:hAnsi="Arial" w:cs="Arial"/>
                      <w:sz w:val="18"/>
                      <w:szCs w:val="18"/>
                    </w:rPr>
                    <w:t>Capital inputs</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4456CFF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4.1</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517559B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5.0</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1DFF047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2.8</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5B5C0EC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1.8</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75B0645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0B06AC0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r>
            <w:tr w:rsidR="003A141B" w14:paraId="75D3EB26"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70B1BD1F" w14:textId="77777777" w:rsidR="003A141B" w:rsidRPr="00DA02B0" w:rsidRDefault="003A141B" w:rsidP="00DB60E1">
                  <w:pPr>
                    <w:ind w:leftChars="-1" w:hangingChars="1" w:hanging="2"/>
                    <w:rPr>
                      <w:rFonts w:ascii="Arial" w:hAnsi="Arial" w:cs="Arial"/>
                      <w:b/>
                      <w:bCs/>
                      <w:sz w:val="18"/>
                      <w:szCs w:val="18"/>
                    </w:rPr>
                  </w:pPr>
                  <w:r w:rsidRPr="00DA02B0">
                    <w:rPr>
                      <w:rFonts w:ascii="Arial" w:hAnsi="Arial" w:cs="Arial"/>
                      <w:b/>
                      <w:bCs/>
                      <w:sz w:val="18"/>
                      <w:szCs w:val="18"/>
                    </w:rPr>
                    <w:t>Labour productivity</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6DB14638"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2.3</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44DFCB34"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1.8</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58836347"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1.6</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43848F62"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1.7</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4F7D6E5A"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0.9</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19FF650A"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noBreakHyphen/>
                    <w:t>0.6</w:t>
                  </w:r>
                </w:p>
              </w:tc>
            </w:tr>
            <w:tr w:rsidR="003A141B" w14:paraId="749D3B07"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5DF10BB0"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Capital</w:t>
                  </w:r>
                  <w:r w:rsidRPr="00DA02B0">
                    <w:rPr>
                      <w:rFonts w:ascii="Arial" w:hAnsi="Arial" w:cs="Arial"/>
                      <w:sz w:val="18"/>
                      <w:szCs w:val="18"/>
                    </w:rPr>
                    <w:noBreakHyphen/>
                    <w:t>labour ratio</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035A349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3.3</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36A0033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33A7E23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2.1</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4A9F442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5B059D7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1.1</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0178067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noBreakHyphen/>
                    <w:t>1.3</w:t>
                  </w:r>
                </w:p>
              </w:tc>
            </w:tr>
            <w:tr w:rsidR="003A141B" w14:paraId="0A071AE2"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hideMark/>
                </w:tcPr>
                <w:p w14:paraId="4EEE6B09"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Capital deepening</w:t>
                  </w:r>
                </w:p>
              </w:tc>
              <w:tc>
                <w:tcPr>
                  <w:tcW w:w="710" w:type="pct"/>
                  <w:tcBorders>
                    <w:top w:val="nil"/>
                    <w:left w:val="nil"/>
                    <w:bottom w:val="single" w:sz="12" w:space="0" w:color="FFFFFF"/>
                    <w:right w:val="single" w:sz="12" w:space="0" w:color="FFFFFF"/>
                  </w:tcBorders>
                  <w:shd w:val="clear" w:color="auto" w:fill="E0F1F7" w:themeFill="text2" w:themeFillTint="33"/>
                  <w:vAlign w:val="center"/>
                </w:tcPr>
                <w:p w14:paraId="2B8D287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737" w:type="pct"/>
                  <w:tcBorders>
                    <w:top w:val="nil"/>
                    <w:left w:val="nil"/>
                    <w:bottom w:val="single" w:sz="12" w:space="0" w:color="FFFFFF"/>
                    <w:right w:val="single" w:sz="12" w:space="0" w:color="FFFFFF"/>
                  </w:tcBorders>
                  <w:shd w:val="clear" w:color="auto" w:fill="E0F1F7" w:themeFill="text2" w:themeFillTint="33"/>
                  <w:vAlign w:val="center"/>
                </w:tcPr>
                <w:p w14:paraId="6155274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1.8</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center"/>
                </w:tcPr>
                <w:p w14:paraId="1AD1B44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1.0</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center"/>
                </w:tcPr>
                <w:p w14:paraId="79FDD291"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0.6</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19840F8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0.5</w:t>
                  </w:r>
                </w:p>
              </w:tc>
              <w:tc>
                <w:tcPr>
                  <w:tcW w:w="552" w:type="pct"/>
                  <w:tcBorders>
                    <w:top w:val="nil"/>
                    <w:left w:val="nil"/>
                    <w:bottom w:val="single" w:sz="12" w:space="0" w:color="FFFFFF"/>
                    <w:right w:val="single" w:sz="12" w:space="0" w:color="FFFFFF"/>
                  </w:tcBorders>
                  <w:shd w:val="clear" w:color="auto" w:fill="E0F1F7" w:themeFill="text2" w:themeFillTint="33"/>
                  <w:vAlign w:val="center"/>
                </w:tcPr>
                <w:p w14:paraId="7A542B1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noBreakHyphen/>
                    <w:t>0.6</w:t>
                  </w:r>
                </w:p>
              </w:tc>
            </w:tr>
            <w:tr w:rsidR="003A141B" w14:paraId="435A0978" w14:textId="77777777" w:rsidTr="001312B7">
              <w:trPr>
                <w:trHeight w:val="274"/>
              </w:trPr>
              <w:tc>
                <w:tcPr>
                  <w:tcW w:w="1166" w:type="pct"/>
                  <w:tcBorders>
                    <w:top w:val="single" w:sz="12" w:space="0" w:color="FFFFFF"/>
                    <w:left w:val="single" w:sz="12" w:space="0" w:color="FFFFFF"/>
                    <w:bottom w:val="single" w:sz="12" w:space="0" w:color="FFFFFF" w:themeColor="background1"/>
                    <w:right w:val="single" w:sz="12" w:space="0" w:color="FFFFFF"/>
                  </w:tcBorders>
                  <w:shd w:val="clear" w:color="auto" w:fill="E0F1F7" w:themeFill="text2" w:themeFillTint="33"/>
                  <w:vAlign w:val="center"/>
                  <w:hideMark/>
                </w:tcPr>
                <w:p w14:paraId="4D9F02AD" w14:textId="77777777" w:rsidR="003A141B" w:rsidRPr="00DA02B0" w:rsidRDefault="003A141B" w:rsidP="001312B7">
                  <w:pPr>
                    <w:spacing w:after="40"/>
                    <w:ind w:leftChars="-1" w:hangingChars="1" w:hanging="2"/>
                    <w:rPr>
                      <w:rFonts w:ascii="Arial" w:hAnsi="Arial" w:cs="Arial"/>
                      <w:b/>
                      <w:bCs/>
                      <w:sz w:val="18"/>
                      <w:szCs w:val="18"/>
                    </w:rPr>
                  </w:pPr>
                  <w:r w:rsidRPr="00DA02B0">
                    <w:rPr>
                      <w:rFonts w:ascii="Arial" w:hAnsi="Arial" w:cs="Arial"/>
                      <w:b/>
                      <w:bCs/>
                      <w:sz w:val="18"/>
                      <w:szCs w:val="18"/>
                    </w:rPr>
                    <w:t>MFP</w:t>
                  </w:r>
                </w:p>
              </w:tc>
              <w:tc>
                <w:tcPr>
                  <w:tcW w:w="710"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683697FD"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0.9</w:t>
                  </w:r>
                </w:p>
              </w:tc>
              <w:tc>
                <w:tcPr>
                  <w:tcW w:w="73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1171A964"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0.0</w:t>
                  </w:r>
                </w:p>
              </w:tc>
              <w:tc>
                <w:tcPr>
                  <w:tcW w:w="730" w:type="pct"/>
                  <w:tcBorders>
                    <w:top w:val="nil"/>
                    <w:left w:val="nil"/>
                    <w:bottom w:val="single" w:sz="12" w:space="0" w:color="FFFFFF" w:themeColor="background1"/>
                    <w:right w:val="single" w:sz="48" w:space="0" w:color="FFFFFF" w:themeColor="background1"/>
                  </w:tcBorders>
                  <w:shd w:val="clear" w:color="auto" w:fill="E0F1F7" w:themeFill="text2" w:themeFillTint="33"/>
                  <w:vAlign w:val="center"/>
                </w:tcPr>
                <w:p w14:paraId="507C2B0F"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0.6</w:t>
                  </w:r>
                </w:p>
              </w:tc>
              <w:tc>
                <w:tcPr>
                  <w:tcW w:w="552" w:type="pct"/>
                  <w:tcBorders>
                    <w:top w:val="nil"/>
                    <w:left w:val="single" w:sz="48" w:space="0" w:color="FFFFFF" w:themeColor="background1"/>
                    <w:bottom w:val="single" w:sz="12" w:space="0" w:color="FFFFFF" w:themeColor="background1"/>
                    <w:right w:val="single" w:sz="12" w:space="0" w:color="FFFFFF"/>
                  </w:tcBorders>
                  <w:shd w:val="clear" w:color="auto" w:fill="E0F1F7" w:themeFill="text2" w:themeFillTint="33"/>
                  <w:vAlign w:val="center"/>
                </w:tcPr>
                <w:p w14:paraId="468CAE19"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1.1</w:t>
                  </w:r>
                </w:p>
              </w:tc>
              <w:tc>
                <w:tcPr>
                  <w:tcW w:w="552"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1DFFD225"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0.3</w:t>
                  </w:r>
                </w:p>
              </w:tc>
              <w:tc>
                <w:tcPr>
                  <w:tcW w:w="552"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7A2D9FD8" w14:textId="77777777" w:rsidR="003A141B" w:rsidRPr="00DA02B0" w:rsidRDefault="003A141B" w:rsidP="001312B7">
                  <w:pPr>
                    <w:spacing w:after="40"/>
                    <w:ind w:left="-1" w:right="113"/>
                    <w:jc w:val="right"/>
                    <w:rPr>
                      <w:rFonts w:ascii="Arial" w:hAnsi="Arial" w:cs="Arial"/>
                      <w:b/>
                      <w:bCs/>
                      <w:sz w:val="18"/>
                      <w:szCs w:val="18"/>
                    </w:rPr>
                  </w:pPr>
                  <w:r w:rsidRPr="00DA02B0">
                    <w:rPr>
                      <w:rFonts w:ascii="Arial" w:hAnsi="Arial" w:cs="Arial"/>
                      <w:b/>
                      <w:sz w:val="18"/>
                      <w:szCs w:val="18"/>
                    </w:rPr>
                    <w:t>0.0</w:t>
                  </w:r>
                </w:p>
              </w:tc>
            </w:tr>
            <w:tr w:rsidR="003A141B" w:rsidRPr="00DA02B0" w14:paraId="7AF5DA3D" w14:textId="77777777" w:rsidTr="00986FD2">
              <w:trPr>
                <w:trHeight w:val="274"/>
              </w:trPr>
              <w:tc>
                <w:tcPr>
                  <w:tcW w:w="3344" w:type="pct"/>
                  <w:gridSpan w:val="4"/>
                  <w:tcBorders>
                    <w:top w:val="single" w:sz="12" w:space="0" w:color="FFFFFF" w:themeColor="background1"/>
                    <w:left w:val="single" w:sz="12" w:space="0" w:color="FFFFFF"/>
                    <w:bottom w:val="single" w:sz="12" w:space="0" w:color="FFFFFF" w:themeColor="background1"/>
                  </w:tcBorders>
                  <w:shd w:val="clear" w:color="auto" w:fill="2D9AC2" w:themeFill="text2" w:themeFillShade="BF"/>
                  <w:vAlign w:val="center"/>
                </w:tcPr>
                <w:p w14:paraId="702A1EED" w14:textId="77777777" w:rsidR="003A141B" w:rsidRPr="00DA02B0" w:rsidRDefault="003A141B" w:rsidP="001312B7">
                  <w:pPr>
                    <w:spacing w:before="20" w:after="20"/>
                    <w:rPr>
                      <w:rFonts w:ascii="Arial" w:hAnsi="Arial" w:cs="Arial"/>
                      <w:sz w:val="18"/>
                      <w:szCs w:val="18"/>
                    </w:rPr>
                  </w:pPr>
                  <w:r w:rsidRPr="00DA02B0">
                    <w:rPr>
                      <w:rFonts w:ascii="Arial" w:hAnsi="Arial" w:cs="Arial"/>
                      <w:b/>
                      <w:color w:val="FFFFFF" w:themeColor="background1"/>
                      <w:sz w:val="18"/>
                      <w:szCs w:val="18"/>
                    </w:rPr>
                    <w:t>Market sector (16 industries)</w:t>
                  </w: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1AF15E3D" w14:textId="77777777" w:rsidR="003A141B" w:rsidRPr="00DA02B0" w:rsidRDefault="003A141B" w:rsidP="001312B7">
                  <w:pPr>
                    <w:spacing w:before="20" w:after="20"/>
                    <w:ind w:right="113"/>
                    <w:jc w:val="right"/>
                    <w:rPr>
                      <w:rFonts w:ascii="Arial" w:hAnsi="Arial" w:cs="Arial"/>
                      <w:sz w:val="18"/>
                      <w:szCs w:val="18"/>
                    </w:rPr>
                  </w:pPr>
                </w:p>
              </w:tc>
              <w:tc>
                <w:tcPr>
                  <w:tcW w:w="552" w:type="pct"/>
                  <w:tcBorders>
                    <w:top w:val="single" w:sz="12" w:space="0" w:color="FFFFFF" w:themeColor="background1"/>
                    <w:bottom w:val="single" w:sz="12" w:space="0" w:color="FFFFFF" w:themeColor="background1"/>
                  </w:tcBorders>
                  <w:shd w:val="clear" w:color="auto" w:fill="2D9AC2" w:themeFill="text2" w:themeFillShade="BF"/>
                  <w:vAlign w:val="center"/>
                </w:tcPr>
                <w:p w14:paraId="38B9129E" w14:textId="77777777" w:rsidR="003A141B" w:rsidRPr="00DA02B0" w:rsidRDefault="003A141B" w:rsidP="001312B7">
                  <w:pPr>
                    <w:spacing w:before="20" w:after="20"/>
                    <w:ind w:right="113"/>
                    <w:jc w:val="right"/>
                    <w:rPr>
                      <w:rFonts w:ascii="Arial" w:hAnsi="Arial" w:cs="Arial"/>
                      <w:sz w:val="18"/>
                      <w:szCs w:val="18"/>
                    </w:rPr>
                  </w:pPr>
                </w:p>
              </w:tc>
              <w:tc>
                <w:tcPr>
                  <w:tcW w:w="552" w:type="pct"/>
                  <w:tcBorders>
                    <w:top w:val="single" w:sz="12" w:space="0" w:color="FFFFFF" w:themeColor="background1"/>
                    <w:bottom w:val="single" w:sz="12" w:space="0" w:color="FFFFFF" w:themeColor="background1"/>
                    <w:right w:val="single" w:sz="12" w:space="0" w:color="FFFFFF"/>
                  </w:tcBorders>
                  <w:shd w:val="clear" w:color="auto" w:fill="2D9AC2" w:themeFill="text2" w:themeFillShade="BF"/>
                  <w:vAlign w:val="center"/>
                </w:tcPr>
                <w:p w14:paraId="2F0C03AD" w14:textId="77777777" w:rsidR="003A141B" w:rsidRPr="00DA02B0" w:rsidRDefault="003A141B" w:rsidP="001312B7">
                  <w:pPr>
                    <w:spacing w:before="20" w:after="20"/>
                    <w:ind w:right="113"/>
                    <w:jc w:val="right"/>
                    <w:rPr>
                      <w:rFonts w:ascii="Arial" w:hAnsi="Arial" w:cs="Arial"/>
                      <w:sz w:val="18"/>
                      <w:szCs w:val="18"/>
                    </w:rPr>
                  </w:pPr>
                </w:p>
              </w:tc>
            </w:tr>
            <w:tr w:rsidR="003A141B" w14:paraId="44781426" w14:textId="77777777" w:rsidTr="001312B7">
              <w:trPr>
                <w:trHeight w:val="274"/>
              </w:trPr>
              <w:tc>
                <w:tcPr>
                  <w:tcW w:w="1166" w:type="pct"/>
                  <w:tcBorders>
                    <w:top w:val="single" w:sz="12" w:space="0" w:color="FFFFFF" w:themeColor="background1"/>
                    <w:left w:val="single" w:sz="12" w:space="0" w:color="FFFFFF"/>
                    <w:bottom w:val="single" w:sz="12" w:space="0" w:color="FFFFFF"/>
                    <w:right w:val="single" w:sz="12" w:space="0" w:color="FFFFFF"/>
                  </w:tcBorders>
                  <w:shd w:val="clear" w:color="auto" w:fill="E0F1F7" w:themeFill="text2" w:themeFillTint="33"/>
                  <w:vAlign w:val="center"/>
                </w:tcPr>
                <w:p w14:paraId="44C2408F"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Output (</w:t>
                  </w:r>
                  <w:proofErr w:type="spellStart"/>
                  <w:r w:rsidRPr="00DA02B0">
                    <w:rPr>
                      <w:rFonts w:ascii="Arial" w:hAnsi="Arial" w:cs="Arial"/>
                      <w:sz w:val="18"/>
                      <w:szCs w:val="18"/>
                    </w:rPr>
                    <w:t>GVA</w:t>
                  </w:r>
                  <w:proofErr w:type="spellEnd"/>
                  <w:r w:rsidRPr="00DA02B0">
                    <w:rPr>
                      <w:rFonts w:ascii="Arial" w:hAnsi="Arial" w:cs="Arial"/>
                      <w:sz w:val="18"/>
                      <w:szCs w:val="18"/>
                    </w:rPr>
                    <w:t>)</w:t>
                  </w:r>
                </w:p>
              </w:tc>
              <w:tc>
                <w:tcPr>
                  <w:tcW w:w="710"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bottom"/>
                </w:tcPr>
                <w:p w14:paraId="6B33851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3.3</w:t>
                  </w:r>
                </w:p>
              </w:tc>
              <w:tc>
                <w:tcPr>
                  <w:tcW w:w="737"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bottom"/>
                </w:tcPr>
                <w:p w14:paraId="3285A6B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3.2</w:t>
                  </w:r>
                </w:p>
              </w:tc>
              <w:tc>
                <w:tcPr>
                  <w:tcW w:w="730" w:type="pct"/>
                  <w:tcBorders>
                    <w:top w:val="single" w:sz="12" w:space="0" w:color="FFFFFF" w:themeColor="background1"/>
                    <w:left w:val="nil"/>
                    <w:bottom w:val="single" w:sz="12" w:space="0" w:color="FFFFFF"/>
                    <w:right w:val="single" w:sz="48" w:space="0" w:color="FFFFFF" w:themeColor="background1"/>
                  </w:tcBorders>
                  <w:shd w:val="clear" w:color="auto" w:fill="E0F1F7" w:themeFill="text2" w:themeFillTint="33"/>
                  <w:vAlign w:val="bottom"/>
                </w:tcPr>
                <w:p w14:paraId="4C596890"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c>
                <w:tcPr>
                  <w:tcW w:w="552" w:type="pct"/>
                  <w:tcBorders>
                    <w:top w:val="single" w:sz="12" w:space="0" w:color="FFFFFF" w:themeColor="background1"/>
                    <w:left w:val="single" w:sz="48" w:space="0" w:color="FFFFFF" w:themeColor="background1"/>
                    <w:bottom w:val="single" w:sz="12" w:space="0" w:color="FFFFFF"/>
                    <w:right w:val="single" w:sz="12" w:space="0" w:color="FFFFFF"/>
                  </w:tcBorders>
                  <w:shd w:val="clear" w:color="auto" w:fill="E0F1F7" w:themeFill="text2" w:themeFillTint="33"/>
                  <w:vAlign w:val="bottom"/>
                </w:tcPr>
                <w:p w14:paraId="1D0D2AF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2.5</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bottom"/>
                </w:tcPr>
                <w:p w14:paraId="1D36FB1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2.3</w:t>
                  </w:r>
                </w:p>
              </w:tc>
              <w:tc>
                <w:tcPr>
                  <w:tcW w:w="552" w:type="pct"/>
                  <w:tcBorders>
                    <w:top w:val="single" w:sz="12" w:space="0" w:color="FFFFFF" w:themeColor="background1"/>
                    <w:left w:val="nil"/>
                    <w:bottom w:val="single" w:sz="12" w:space="0" w:color="FFFFFF"/>
                    <w:right w:val="single" w:sz="12" w:space="0" w:color="FFFFFF"/>
                  </w:tcBorders>
                  <w:shd w:val="clear" w:color="auto" w:fill="E0F1F7" w:themeFill="text2" w:themeFillTint="33"/>
                  <w:vAlign w:val="bottom"/>
                </w:tcPr>
                <w:p w14:paraId="614C3AC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2.6</w:t>
                  </w:r>
                </w:p>
              </w:tc>
            </w:tr>
            <w:tr w:rsidR="003A141B" w14:paraId="5ABB5BA5"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4DA9DB8F"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Inputs</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0858CA0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2.4</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514C2B0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3.2</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721C020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1.8</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3787FB1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1.3</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76B7EB08"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1.4</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08C077A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2.2</w:t>
                  </w:r>
                </w:p>
              </w:tc>
            </w:tr>
            <w:tr w:rsidR="003A141B" w14:paraId="5C013B40"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60B7AD32" w14:textId="77777777" w:rsidR="003A141B" w:rsidRPr="00DA02B0" w:rsidRDefault="003A141B" w:rsidP="00DB60E1">
                  <w:pPr>
                    <w:ind w:leftChars="-1" w:left="-2" w:firstLineChars="88" w:firstLine="158"/>
                    <w:rPr>
                      <w:rFonts w:ascii="Arial" w:hAnsi="Arial" w:cs="Arial"/>
                      <w:sz w:val="18"/>
                      <w:szCs w:val="18"/>
                    </w:rPr>
                  </w:pPr>
                  <w:r w:rsidRPr="00DA02B0">
                    <w:rPr>
                      <w:rFonts w:ascii="Arial" w:hAnsi="Arial" w:cs="Arial"/>
                      <w:sz w:val="18"/>
                      <w:szCs w:val="18"/>
                    </w:rPr>
                    <w:t>Labour inputs</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017C325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1.1</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14A482B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063735B2"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0.9</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0F13A7C6"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0.8</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0018184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1.0</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3769417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2.3</w:t>
                  </w:r>
                </w:p>
              </w:tc>
            </w:tr>
            <w:tr w:rsidR="003A141B" w14:paraId="6882180F"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364ADAEB" w14:textId="77777777" w:rsidR="003A141B" w:rsidRPr="00DA02B0" w:rsidRDefault="003A141B" w:rsidP="00DB60E1">
                  <w:pPr>
                    <w:ind w:leftChars="-1" w:left="-2" w:firstLineChars="88" w:firstLine="158"/>
                    <w:rPr>
                      <w:rFonts w:ascii="Arial" w:hAnsi="Arial" w:cs="Arial"/>
                      <w:sz w:val="18"/>
                      <w:szCs w:val="18"/>
                    </w:rPr>
                  </w:pPr>
                  <w:r w:rsidRPr="00DA02B0">
                    <w:rPr>
                      <w:rFonts w:ascii="Arial" w:hAnsi="Arial" w:cs="Arial"/>
                      <w:sz w:val="18"/>
                      <w:szCs w:val="18"/>
                    </w:rPr>
                    <w:t>Capital inputs</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70BD4CF3"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4.4</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293DEF7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5.2</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4818F60F"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2.9</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00A4760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405045C1"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2.0</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6290CFD5"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2.0</w:t>
                  </w:r>
                </w:p>
              </w:tc>
            </w:tr>
            <w:tr w:rsidR="003A141B" w14:paraId="56E89FB8"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61E1F70D" w14:textId="77777777" w:rsidR="003A141B" w:rsidRPr="00DA02B0" w:rsidRDefault="003A141B" w:rsidP="00DB60E1">
                  <w:pPr>
                    <w:ind w:leftChars="-1" w:hangingChars="1" w:hanging="2"/>
                    <w:rPr>
                      <w:rFonts w:ascii="Arial" w:hAnsi="Arial" w:cs="Arial"/>
                      <w:b/>
                      <w:bCs/>
                      <w:sz w:val="18"/>
                      <w:szCs w:val="18"/>
                    </w:rPr>
                  </w:pPr>
                  <w:r w:rsidRPr="00DA02B0">
                    <w:rPr>
                      <w:rFonts w:ascii="Arial" w:hAnsi="Arial" w:cs="Arial"/>
                      <w:b/>
                      <w:bCs/>
                      <w:sz w:val="18"/>
                      <w:szCs w:val="18"/>
                    </w:rPr>
                    <w:t>Labour productivity</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34CF9460"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2.2</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1A7BFADF"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2154083E"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1.6</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2FCCF416"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1.7</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64BCC75B"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1.3</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3938E652" w14:textId="77777777" w:rsidR="003A141B" w:rsidRPr="00DA02B0" w:rsidRDefault="003A141B" w:rsidP="00DB60E1">
                  <w:pPr>
                    <w:ind w:right="113"/>
                    <w:jc w:val="right"/>
                    <w:rPr>
                      <w:rFonts w:ascii="Arial" w:hAnsi="Arial" w:cs="Arial"/>
                      <w:b/>
                      <w:bCs/>
                      <w:sz w:val="18"/>
                      <w:szCs w:val="18"/>
                    </w:rPr>
                  </w:pPr>
                  <w:r w:rsidRPr="00DA02B0">
                    <w:rPr>
                      <w:rFonts w:ascii="Arial" w:hAnsi="Arial" w:cs="Arial"/>
                      <w:b/>
                      <w:sz w:val="18"/>
                      <w:szCs w:val="18"/>
                    </w:rPr>
                    <w:t>0.4</w:t>
                  </w:r>
                </w:p>
              </w:tc>
            </w:tr>
            <w:tr w:rsidR="003A141B" w14:paraId="6D80C8FF" w14:textId="77777777" w:rsidTr="001312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35443E12"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Capital</w:t>
                  </w:r>
                  <w:r w:rsidRPr="00DA02B0">
                    <w:rPr>
                      <w:rFonts w:ascii="Arial" w:hAnsi="Arial" w:cs="Arial"/>
                      <w:sz w:val="18"/>
                      <w:szCs w:val="18"/>
                    </w:rPr>
                    <w:noBreakHyphen/>
                    <w:t>labour ratio</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160E056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3.3</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32F29B4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3.6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203C08F4"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1.9</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3A302C6B"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1.1</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6524CC0D"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1.0</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4FB4FDFE"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noBreakHyphen/>
                    <w:t>0.3</w:t>
                  </w:r>
                </w:p>
              </w:tc>
            </w:tr>
            <w:tr w:rsidR="003A141B" w14:paraId="6CC3B474" w14:textId="77777777" w:rsidTr="008C14B7">
              <w:trPr>
                <w:trHeight w:val="274"/>
              </w:trPr>
              <w:tc>
                <w:tcPr>
                  <w:tcW w:w="1166" w:type="pct"/>
                  <w:tcBorders>
                    <w:top w:val="nil"/>
                    <w:left w:val="single" w:sz="12" w:space="0" w:color="FFFFFF"/>
                    <w:bottom w:val="single" w:sz="12" w:space="0" w:color="FFFFFF"/>
                    <w:right w:val="single" w:sz="12" w:space="0" w:color="FFFFFF"/>
                  </w:tcBorders>
                  <w:shd w:val="clear" w:color="auto" w:fill="E0F1F7" w:themeFill="text2" w:themeFillTint="33"/>
                  <w:vAlign w:val="center"/>
                </w:tcPr>
                <w:p w14:paraId="00ABC2AC" w14:textId="77777777" w:rsidR="003A141B" w:rsidRPr="00DA02B0" w:rsidRDefault="003A141B" w:rsidP="00DB60E1">
                  <w:pPr>
                    <w:ind w:leftChars="-1" w:hangingChars="1" w:hanging="2"/>
                    <w:rPr>
                      <w:rFonts w:ascii="Arial" w:hAnsi="Arial" w:cs="Arial"/>
                      <w:sz w:val="18"/>
                      <w:szCs w:val="18"/>
                    </w:rPr>
                  </w:pPr>
                  <w:r w:rsidRPr="00DA02B0">
                    <w:rPr>
                      <w:rFonts w:ascii="Arial" w:hAnsi="Arial" w:cs="Arial"/>
                      <w:sz w:val="18"/>
                      <w:szCs w:val="18"/>
                    </w:rPr>
                    <w:t>Capital deepening</w:t>
                  </w:r>
                </w:p>
              </w:tc>
              <w:tc>
                <w:tcPr>
                  <w:tcW w:w="710" w:type="pct"/>
                  <w:tcBorders>
                    <w:top w:val="nil"/>
                    <w:left w:val="nil"/>
                    <w:bottom w:val="single" w:sz="12" w:space="0" w:color="FFFFFF"/>
                    <w:right w:val="single" w:sz="12" w:space="0" w:color="FFFFFF"/>
                  </w:tcBorders>
                  <w:shd w:val="clear" w:color="auto" w:fill="E0F1F7" w:themeFill="text2" w:themeFillTint="33"/>
                  <w:vAlign w:val="bottom"/>
                </w:tcPr>
                <w:p w14:paraId="5857E07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1.3</w:t>
                  </w:r>
                </w:p>
              </w:tc>
              <w:tc>
                <w:tcPr>
                  <w:tcW w:w="737" w:type="pct"/>
                  <w:tcBorders>
                    <w:top w:val="nil"/>
                    <w:left w:val="nil"/>
                    <w:bottom w:val="single" w:sz="12" w:space="0" w:color="FFFFFF"/>
                    <w:right w:val="single" w:sz="12" w:space="0" w:color="FFFFFF"/>
                  </w:tcBorders>
                  <w:shd w:val="clear" w:color="auto" w:fill="E0F1F7" w:themeFill="text2" w:themeFillTint="33"/>
                  <w:vAlign w:val="bottom"/>
                </w:tcPr>
                <w:p w14:paraId="3E4B97AA"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1.6</w:t>
                  </w:r>
                </w:p>
              </w:tc>
              <w:tc>
                <w:tcPr>
                  <w:tcW w:w="730" w:type="pct"/>
                  <w:tcBorders>
                    <w:top w:val="nil"/>
                    <w:left w:val="nil"/>
                    <w:bottom w:val="single" w:sz="12" w:space="0" w:color="FFFFFF"/>
                    <w:right w:val="single" w:sz="48" w:space="0" w:color="FFFFFF" w:themeColor="background1"/>
                  </w:tcBorders>
                  <w:shd w:val="clear" w:color="auto" w:fill="E0F1F7" w:themeFill="text2" w:themeFillTint="33"/>
                  <w:vAlign w:val="bottom"/>
                </w:tcPr>
                <w:p w14:paraId="750636E9"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0.8</w:t>
                  </w:r>
                </w:p>
              </w:tc>
              <w:tc>
                <w:tcPr>
                  <w:tcW w:w="552" w:type="pct"/>
                  <w:tcBorders>
                    <w:top w:val="nil"/>
                    <w:left w:val="single" w:sz="48" w:space="0" w:color="FFFFFF" w:themeColor="background1"/>
                    <w:bottom w:val="single" w:sz="12" w:space="0" w:color="FFFFFF"/>
                    <w:right w:val="single" w:sz="12" w:space="0" w:color="FFFFFF"/>
                  </w:tcBorders>
                  <w:shd w:val="clear" w:color="auto" w:fill="E0F1F7" w:themeFill="text2" w:themeFillTint="33"/>
                  <w:vAlign w:val="bottom"/>
                </w:tcPr>
                <w:p w14:paraId="0A7586E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0.5</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59C501F1"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t>0.4</w:t>
                  </w:r>
                </w:p>
              </w:tc>
              <w:tc>
                <w:tcPr>
                  <w:tcW w:w="552" w:type="pct"/>
                  <w:tcBorders>
                    <w:top w:val="nil"/>
                    <w:left w:val="nil"/>
                    <w:bottom w:val="single" w:sz="12" w:space="0" w:color="FFFFFF"/>
                    <w:right w:val="single" w:sz="12" w:space="0" w:color="FFFFFF"/>
                  </w:tcBorders>
                  <w:shd w:val="clear" w:color="auto" w:fill="E0F1F7" w:themeFill="text2" w:themeFillTint="33"/>
                  <w:vAlign w:val="bottom"/>
                </w:tcPr>
                <w:p w14:paraId="75E852F7" w14:textId="77777777" w:rsidR="003A141B" w:rsidRPr="00DA02B0" w:rsidRDefault="003A141B" w:rsidP="00DB60E1">
                  <w:pPr>
                    <w:ind w:right="113"/>
                    <w:jc w:val="right"/>
                    <w:rPr>
                      <w:rFonts w:ascii="Arial" w:hAnsi="Arial" w:cs="Arial"/>
                      <w:sz w:val="18"/>
                      <w:szCs w:val="18"/>
                    </w:rPr>
                  </w:pPr>
                  <w:r w:rsidRPr="00DA02B0">
                    <w:rPr>
                      <w:rFonts w:ascii="Arial" w:hAnsi="Arial" w:cs="Arial"/>
                      <w:sz w:val="18"/>
                      <w:szCs w:val="18"/>
                    </w:rPr>
                    <w:noBreakHyphen/>
                    <w:t>0.1</w:t>
                  </w:r>
                </w:p>
              </w:tc>
            </w:tr>
            <w:tr w:rsidR="003A141B" w14:paraId="705DE3A4" w14:textId="77777777" w:rsidTr="008C14B7">
              <w:trPr>
                <w:trHeight w:val="274"/>
              </w:trPr>
              <w:tc>
                <w:tcPr>
                  <w:tcW w:w="1166" w:type="pct"/>
                  <w:tcBorders>
                    <w:top w:val="single" w:sz="12" w:space="0" w:color="FFFFFF"/>
                    <w:left w:val="single" w:sz="12" w:space="0" w:color="FFFFFF"/>
                    <w:bottom w:val="single" w:sz="12" w:space="0" w:color="FFFFFF" w:themeColor="background1"/>
                    <w:right w:val="single" w:sz="12" w:space="0" w:color="FFFFFF"/>
                  </w:tcBorders>
                  <w:shd w:val="clear" w:color="auto" w:fill="E0F1F7" w:themeFill="text2" w:themeFillTint="33"/>
                  <w:vAlign w:val="center"/>
                </w:tcPr>
                <w:p w14:paraId="2AEEC78B" w14:textId="2944E2DE" w:rsidR="003A141B" w:rsidRPr="00DA02B0" w:rsidRDefault="003A141B" w:rsidP="0034286C">
                  <w:pPr>
                    <w:spacing w:after="40"/>
                    <w:ind w:leftChars="-1" w:hangingChars="1" w:hanging="2"/>
                    <w:rPr>
                      <w:rFonts w:ascii="Arial" w:hAnsi="Arial" w:cs="Arial"/>
                      <w:b/>
                      <w:bCs/>
                      <w:sz w:val="18"/>
                      <w:szCs w:val="18"/>
                    </w:rPr>
                  </w:pPr>
                  <w:r w:rsidRPr="00DA02B0">
                    <w:rPr>
                      <w:rFonts w:ascii="Arial" w:hAnsi="Arial" w:cs="Arial"/>
                      <w:b/>
                      <w:bCs/>
                      <w:sz w:val="18"/>
                      <w:szCs w:val="18"/>
                    </w:rPr>
                    <w:t>MFP</w:t>
                  </w:r>
                </w:p>
              </w:tc>
              <w:tc>
                <w:tcPr>
                  <w:tcW w:w="710" w:type="pct"/>
                  <w:tcBorders>
                    <w:top w:val="single" w:sz="12" w:space="0" w:color="FFFFFF"/>
                    <w:left w:val="nil"/>
                    <w:bottom w:val="single" w:sz="12" w:space="0" w:color="FFFFFF" w:themeColor="background1"/>
                    <w:right w:val="single" w:sz="12" w:space="0" w:color="FFFFFF"/>
                  </w:tcBorders>
                  <w:shd w:val="clear" w:color="auto" w:fill="E0F1F7" w:themeFill="text2" w:themeFillTint="33"/>
                  <w:vAlign w:val="bottom"/>
                </w:tcPr>
                <w:p w14:paraId="2569EDA6"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0.9</w:t>
                  </w:r>
                </w:p>
              </w:tc>
              <w:tc>
                <w:tcPr>
                  <w:tcW w:w="737" w:type="pct"/>
                  <w:tcBorders>
                    <w:top w:val="single" w:sz="12" w:space="0" w:color="FFFFFF"/>
                    <w:left w:val="nil"/>
                    <w:bottom w:val="single" w:sz="12" w:space="0" w:color="FFFFFF" w:themeColor="background1"/>
                    <w:right w:val="single" w:sz="12" w:space="0" w:color="FFFFFF"/>
                  </w:tcBorders>
                  <w:shd w:val="clear" w:color="auto" w:fill="E0F1F7" w:themeFill="text2" w:themeFillTint="33"/>
                  <w:vAlign w:val="bottom"/>
                </w:tcPr>
                <w:p w14:paraId="6BCEBE16"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0.0</w:t>
                  </w:r>
                </w:p>
              </w:tc>
              <w:tc>
                <w:tcPr>
                  <w:tcW w:w="730" w:type="pct"/>
                  <w:tcBorders>
                    <w:top w:val="single" w:sz="12" w:space="0" w:color="FFFFFF"/>
                    <w:left w:val="nil"/>
                    <w:bottom w:val="single" w:sz="12" w:space="0" w:color="FFFFFF" w:themeColor="background1"/>
                    <w:right w:val="single" w:sz="48" w:space="0" w:color="FFFFFF" w:themeColor="background1"/>
                  </w:tcBorders>
                  <w:shd w:val="clear" w:color="auto" w:fill="E0F1F7" w:themeFill="text2" w:themeFillTint="33"/>
                  <w:vAlign w:val="bottom"/>
                </w:tcPr>
                <w:p w14:paraId="755F4873"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0.8</w:t>
                  </w:r>
                </w:p>
              </w:tc>
              <w:tc>
                <w:tcPr>
                  <w:tcW w:w="552" w:type="pct"/>
                  <w:tcBorders>
                    <w:top w:val="single" w:sz="12" w:space="0" w:color="FFFFFF"/>
                    <w:left w:val="single" w:sz="48" w:space="0" w:color="FFFFFF" w:themeColor="background1"/>
                    <w:bottom w:val="single" w:sz="12" w:space="0" w:color="FFFFFF" w:themeColor="background1"/>
                    <w:right w:val="single" w:sz="12" w:space="0" w:color="FFFFFF"/>
                  </w:tcBorders>
                  <w:shd w:val="clear" w:color="auto" w:fill="E0F1F7" w:themeFill="text2" w:themeFillTint="33"/>
                  <w:vAlign w:val="bottom"/>
                </w:tcPr>
                <w:p w14:paraId="636B6AB9"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1.2</w:t>
                  </w:r>
                </w:p>
              </w:tc>
              <w:tc>
                <w:tcPr>
                  <w:tcW w:w="552" w:type="pct"/>
                  <w:tcBorders>
                    <w:top w:val="single" w:sz="12" w:space="0" w:color="FFFFFF"/>
                    <w:left w:val="nil"/>
                    <w:bottom w:val="single" w:sz="12" w:space="0" w:color="FFFFFF" w:themeColor="background1"/>
                    <w:right w:val="single" w:sz="12" w:space="0" w:color="FFFFFF"/>
                  </w:tcBorders>
                  <w:shd w:val="clear" w:color="auto" w:fill="E0F1F7" w:themeFill="text2" w:themeFillTint="33"/>
                  <w:vAlign w:val="bottom"/>
                </w:tcPr>
                <w:p w14:paraId="2AEA1A4B"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0.9</w:t>
                  </w:r>
                </w:p>
              </w:tc>
              <w:tc>
                <w:tcPr>
                  <w:tcW w:w="552" w:type="pct"/>
                  <w:tcBorders>
                    <w:top w:val="single" w:sz="12" w:space="0" w:color="FFFFFF"/>
                    <w:left w:val="nil"/>
                    <w:bottom w:val="single" w:sz="12" w:space="0" w:color="FFFFFF" w:themeColor="background1"/>
                    <w:right w:val="single" w:sz="12" w:space="0" w:color="FFFFFF"/>
                  </w:tcBorders>
                  <w:shd w:val="clear" w:color="auto" w:fill="E0F1F7" w:themeFill="text2" w:themeFillTint="33"/>
                  <w:vAlign w:val="bottom"/>
                </w:tcPr>
                <w:p w14:paraId="71FF75FA" w14:textId="77777777" w:rsidR="003A141B" w:rsidRPr="00DA02B0" w:rsidRDefault="003A141B" w:rsidP="001312B7">
                  <w:pPr>
                    <w:spacing w:after="40"/>
                    <w:ind w:right="113"/>
                    <w:jc w:val="right"/>
                    <w:rPr>
                      <w:rFonts w:ascii="Arial" w:hAnsi="Arial" w:cs="Arial"/>
                      <w:b/>
                      <w:bCs/>
                      <w:sz w:val="18"/>
                      <w:szCs w:val="18"/>
                    </w:rPr>
                  </w:pPr>
                  <w:r w:rsidRPr="00DA02B0">
                    <w:rPr>
                      <w:rFonts w:ascii="Arial" w:hAnsi="Arial" w:cs="Arial"/>
                      <w:b/>
                      <w:sz w:val="18"/>
                      <w:szCs w:val="18"/>
                    </w:rPr>
                    <w:t>0.5</w:t>
                  </w:r>
                </w:p>
              </w:tc>
            </w:tr>
          </w:tbl>
          <w:p w14:paraId="5CF2F31A" w14:textId="77777777" w:rsidR="00C54961" w:rsidRDefault="00C54961" w:rsidP="00DB60E1">
            <w:pPr>
              <w:pStyle w:val="Box"/>
            </w:pPr>
          </w:p>
        </w:tc>
      </w:tr>
      <w:tr w:rsidR="00C54961" w14:paraId="26441B7A" w14:textId="77777777" w:rsidTr="001312B7">
        <w:tc>
          <w:tcPr>
            <w:tcW w:w="8789" w:type="dxa"/>
            <w:tcBorders>
              <w:top w:val="nil"/>
              <w:left w:val="nil"/>
              <w:bottom w:val="nil"/>
              <w:right w:val="nil"/>
            </w:tcBorders>
            <w:hideMark/>
          </w:tcPr>
          <w:p w14:paraId="13EDD654" w14:textId="11BB537B" w:rsidR="00C54961" w:rsidRDefault="00C54961" w:rsidP="001435B2">
            <w:pPr>
              <w:pStyle w:val="Note"/>
              <w:keepNext/>
            </w:pPr>
            <w:proofErr w:type="spellStart"/>
            <w:r>
              <w:rPr>
                <w:rStyle w:val="NoteLabel"/>
              </w:rPr>
              <w:t>a</w:t>
            </w:r>
            <w:proofErr w:type="spellEnd"/>
            <w:r w:rsidR="00C6139F">
              <w:t xml:space="preserve"> Annex A </w:t>
            </w:r>
            <w:r w:rsidR="00BF6F18">
              <w:t>provides the</w:t>
            </w:r>
            <w:r w:rsidR="00C6139F">
              <w:t xml:space="preserve"> details on the data and methodology </w:t>
            </w:r>
            <w:r w:rsidR="00BF6F18">
              <w:t xml:space="preserve">for </w:t>
            </w:r>
            <w:r w:rsidR="00C6139F">
              <w:t>estimat</w:t>
            </w:r>
            <w:r w:rsidR="00BF6F18">
              <w:t>ing</w:t>
            </w:r>
            <w:r w:rsidR="00C6139F">
              <w:t xml:space="preserve"> output, input and productivity at the </w:t>
            </w:r>
            <w:r w:rsidR="00E0146B">
              <w:t>economy-wide</w:t>
            </w:r>
            <w:r w:rsidR="00C6139F">
              <w:t xml:space="preserve"> and 16</w:t>
            </w:r>
            <w:r w:rsidR="00C6139F">
              <w:noBreakHyphen/>
              <w:t xml:space="preserve">industry market sector levels. </w:t>
            </w:r>
            <w:r>
              <w:t>Gross value added (</w:t>
            </w:r>
            <w:proofErr w:type="spellStart"/>
            <w:r>
              <w:t>GVA</w:t>
            </w:r>
            <w:proofErr w:type="spellEnd"/>
            <w:r>
              <w:t xml:space="preserve">) output is Gross domestic product (GDP) less </w:t>
            </w:r>
            <w:r w:rsidR="00CE02C5">
              <w:t xml:space="preserve">taxes </w:t>
            </w:r>
            <w:r>
              <w:t xml:space="preserve">less subsidies on products and the </w:t>
            </w:r>
            <w:r w:rsidR="001435B2">
              <w:t xml:space="preserve">statistical </w:t>
            </w:r>
            <w:r>
              <w:t>discrepancy</w:t>
            </w:r>
            <w:r w:rsidR="00C6139F">
              <w:t xml:space="preserve">. </w:t>
            </w:r>
            <w:r>
              <w:t>Labour productivity is the growth in output per unit of labour input.</w:t>
            </w:r>
            <w:r w:rsidR="00C6139F">
              <w:t xml:space="preserve"> </w:t>
            </w:r>
            <w:r>
              <w:t>The capital</w:t>
            </w:r>
            <w:r>
              <w:noBreakHyphen/>
              <w:t>labour ratio is the growth in c</w:t>
            </w:r>
            <w:r w:rsidR="00C6139F">
              <w:t xml:space="preserve">apital per unit of labour input, while </w:t>
            </w:r>
            <w:r w:rsidR="00BF6F18">
              <w:t>c</w:t>
            </w:r>
            <w:r>
              <w:t>apital deepening is the growth in the capital</w:t>
            </w:r>
            <w:r>
              <w:noBreakHyphen/>
              <w:t>labour ratio weighted by the capital income share. Multifactor productivity growth is the growth in labour productivity not accounted for by capital deepening.</w:t>
            </w:r>
          </w:p>
        </w:tc>
      </w:tr>
      <w:tr w:rsidR="00C54961" w14:paraId="072AE4E1" w14:textId="77777777" w:rsidTr="001312B7">
        <w:tc>
          <w:tcPr>
            <w:tcW w:w="8789" w:type="dxa"/>
            <w:tcBorders>
              <w:top w:val="nil"/>
              <w:left w:val="nil"/>
              <w:bottom w:val="nil"/>
              <w:right w:val="nil"/>
            </w:tcBorders>
            <w:hideMark/>
          </w:tcPr>
          <w:p w14:paraId="1DDECB53" w14:textId="2F650DB8" w:rsidR="00C54961" w:rsidRPr="001312B7" w:rsidRDefault="00C54961" w:rsidP="00AD2B56">
            <w:pPr>
              <w:pStyle w:val="Source"/>
              <w:rPr>
                <w:spacing w:val="-2"/>
              </w:rPr>
            </w:pPr>
            <w:r w:rsidRPr="001312B7">
              <w:rPr>
                <w:i/>
                <w:spacing w:val="-2"/>
              </w:rPr>
              <w:t>Source</w:t>
            </w:r>
            <w:r w:rsidR="00191FAC" w:rsidRPr="001312B7">
              <w:rPr>
                <w:i/>
                <w:spacing w:val="-2"/>
              </w:rPr>
              <w:t>s</w:t>
            </w:r>
            <w:r w:rsidRPr="001312B7">
              <w:rPr>
                <w:spacing w:val="-2"/>
              </w:rPr>
              <w:t xml:space="preserve">: </w:t>
            </w:r>
            <w:r w:rsidR="000014C1" w:rsidRPr="000014C1">
              <w:t xml:space="preserve">Estimates based on: ABS (2018, </w:t>
            </w:r>
            <w:r w:rsidR="000014C1" w:rsidRPr="000014C1">
              <w:rPr>
                <w:i/>
                <w:iCs/>
              </w:rPr>
              <w:t>Australian System of National Accounts</w:t>
            </w:r>
            <w:r w:rsidR="000014C1" w:rsidRPr="000014C1">
              <w:t>, 2017</w:t>
            </w:r>
            <w:r w:rsidR="000014C1" w:rsidRPr="000014C1">
              <w:noBreakHyphen/>
              <w:t xml:space="preserve">18, Cat. no. 5204.0, tables 1, 5, 15, 46 and 58); ABS (2018, </w:t>
            </w:r>
            <w:r w:rsidR="000014C1" w:rsidRPr="000014C1">
              <w:rPr>
                <w:i/>
                <w:iCs/>
              </w:rPr>
              <w:t>Estimates of Industry Multifactor Productivity</w:t>
            </w:r>
            <w:r w:rsidR="000014C1" w:rsidRPr="000014C1">
              <w:t>, 2017</w:t>
            </w:r>
            <w:r w:rsidR="000014C1" w:rsidRPr="000014C1">
              <w:noBreakHyphen/>
              <w:t xml:space="preserve">18, Cat. no. 5260.0.55.002, tables 1, 6 and 14); ABS (6291.0.55.003 </w:t>
            </w:r>
            <w:r w:rsidR="000014C1" w:rsidRPr="000014C1">
              <w:rPr>
                <w:i/>
                <w:iCs/>
              </w:rPr>
              <w:t>Labour Force, Australia, Detailed, Quarterly</w:t>
            </w:r>
            <w:r w:rsidR="000014C1" w:rsidRPr="000014C1">
              <w:t>, Aug 2018, table 11); and ABS (unpublished data).</w:t>
            </w:r>
          </w:p>
        </w:tc>
      </w:tr>
      <w:tr w:rsidR="00C54961" w14:paraId="4730C301" w14:textId="77777777" w:rsidTr="001312B7">
        <w:tc>
          <w:tcPr>
            <w:tcW w:w="8789" w:type="dxa"/>
            <w:tcBorders>
              <w:top w:val="nil"/>
              <w:left w:val="nil"/>
              <w:bottom w:val="single" w:sz="6" w:space="0" w:color="78A22F"/>
              <w:right w:val="nil"/>
            </w:tcBorders>
          </w:tcPr>
          <w:p w14:paraId="139B4849" w14:textId="77777777" w:rsidR="00C54961" w:rsidRDefault="00C54961" w:rsidP="001312B7">
            <w:pPr>
              <w:pStyle w:val="Box"/>
              <w:keepNext w:val="0"/>
              <w:spacing w:before="0" w:line="120" w:lineRule="exact"/>
            </w:pPr>
          </w:p>
        </w:tc>
      </w:tr>
    </w:tbl>
    <w:p w14:paraId="34B5D6D4" w14:textId="77777777" w:rsidR="00C54961" w:rsidRDefault="00C54961" w:rsidP="00C54961">
      <w:pPr>
        <w:pStyle w:val="BoxSpaceAbove"/>
      </w:pPr>
    </w:p>
    <w:tbl>
      <w:tblPr>
        <w:tblW w:w="880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gridCol w:w="13"/>
      </w:tblGrid>
      <w:tr w:rsidR="00C54961" w14:paraId="2D397E9A" w14:textId="77777777" w:rsidTr="00DB60E1">
        <w:tc>
          <w:tcPr>
            <w:tcW w:w="8802" w:type="dxa"/>
            <w:gridSpan w:val="2"/>
            <w:tcBorders>
              <w:top w:val="single" w:sz="6" w:space="0" w:color="78A22F"/>
              <w:left w:val="nil"/>
              <w:bottom w:val="nil"/>
              <w:right w:val="nil"/>
            </w:tcBorders>
          </w:tcPr>
          <w:p w14:paraId="3EFF5836" w14:textId="77777777" w:rsidR="00C54961" w:rsidRDefault="00C54961" w:rsidP="00DB60E1">
            <w:pPr>
              <w:pStyle w:val="TableTitle"/>
            </w:pPr>
            <w:r>
              <w:rPr>
                <w:b w:val="0"/>
              </w:rPr>
              <w:t xml:space="preserve">Table </w:t>
            </w:r>
            <w:r w:rsidR="00AA4778">
              <w:rPr>
                <w:b w:val="0"/>
              </w:rPr>
              <w:t>2</w:t>
            </w:r>
            <w:r>
              <w:tab/>
            </w:r>
            <w:r w:rsidRPr="005759FB">
              <w:t>Industry productivity growth, 201</w:t>
            </w:r>
            <w:r>
              <w:t>7</w:t>
            </w:r>
            <w:r>
              <w:noBreakHyphen/>
              <w:t>18</w:t>
            </w:r>
          </w:p>
          <w:p w14:paraId="64E7D73F" w14:textId="3010C0F2" w:rsidR="00C54961" w:rsidRPr="00784A05" w:rsidRDefault="008541EB" w:rsidP="008541EB">
            <w:pPr>
              <w:pStyle w:val="Subtitle"/>
            </w:pPr>
            <w:r w:rsidRPr="005759FB">
              <w:t>Per</w:t>
            </w:r>
            <w:r>
              <w:t> </w:t>
            </w:r>
            <w:r w:rsidR="00C54961" w:rsidRPr="005759FB">
              <w:t>cent</w:t>
            </w:r>
          </w:p>
        </w:tc>
      </w:tr>
      <w:tr w:rsidR="00C54961" w14:paraId="1A6F7416" w14:textId="77777777" w:rsidTr="00DB60E1">
        <w:tc>
          <w:tcPr>
            <w:tcW w:w="8802" w:type="dxa"/>
            <w:gridSpan w:val="2"/>
            <w:tcBorders>
              <w:top w:val="nil"/>
              <w:left w:val="nil"/>
              <w:bottom w:val="nil"/>
              <w:right w:val="nil"/>
            </w:tcBorders>
          </w:tcPr>
          <w:tbl>
            <w:tblPr>
              <w:tblW w:w="86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0" w:type="dxa"/>
                <w:right w:w="0" w:type="dxa"/>
              </w:tblCellMar>
              <w:tblLook w:val="04A0" w:firstRow="1" w:lastRow="0" w:firstColumn="1" w:lastColumn="0" w:noHBand="0" w:noVBand="1"/>
            </w:tblPr>
            <w:tblGrid>
              <w:gridCol w:w="3152"/>
              <w:gridCol w:w="891"/>
              <w:gridCol w:w="890"/>
              <w:gridCol w:w="890"/>
              <w:gridCol w:w="890"/>
              <w:gridCol w:w="1050"/>
              <w:gridCol w:w="847"/>
            </w:tblGrid>
            <w:tr w:rsidR="00C54961" w:rsidRPr="008F3FFC" w14:paraId="491CB348" w14:textId="77777777" w:rsidTr="001312B7">
              <w:trPr>
                <w:trHeight w:val="566"/>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C1E4F0" w:themeFill="text2" w:themeFillTint="66"/>
                  <w:vAlign w:val="center"/>
                </w:tcPr>
                <w:p w14:paraId="11BAB74F" w14:textId="77777777" w:rsidR="00C54961" w:rsidRDefault="00C54961" w:rsidP="00DB60E1">
                  <w:pPr>
                    <w:jc w:val="right"/>
                    <w:rPr>
                      <w:rFonts w:ascii="Arial" w:hAnsi="Arial" w:cs="Arial"/>
                      <w:i/>
                      <w:iCs/>
                      <w:sz w:val="16"/>
                      <w:szCs w:val="16"/>
                    </w:rPr>
                  </w:pPr>
                  <w:r>
                    <w:rPr>
                      <w:rFonts w:ascii="Arial" w:hAnsi="Arial" w:cs="Arial"/>
                      <w:i/>
                      <w:iCs/>
                      <w:sz w:val="16"/>
                      <w:szCs w:val="16"/>
                    </w:rPr>
                    <w:t> </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1E4F0" w:themeFill="text2" w:themeFillTint="66"/>
                  <w:vAlign w:val="center"/>
                </w:tcPr>
                <w:p w14:paraId="4317119D" w14:textId="77777777" w:rsidR="00C54961" w:rsidRPr="00DA02B0" w:rsidRDefault="00C54961" w:rsidP="00DB60E1">
                  <w:pPr>
                    <w:ind w:right="113"/>
                    <w:jc w:val="right"/>
                    <w:rPr>
                      <w:rFonts w:ascii="Arial" w:hAnsi="Arial" w:cs="Arial"/>
                      <w:b/>
                      <w:bCs/>
                      <w:sz w:val="18"/>
                      <w:szCs w:val="18"/>
                    </w:rPr>
                  </w:pPr>
                  <w:r w:rsidRPr="00DA02B0">
                    <w:rPr>
                      <w:rFonts w:ascii="Arial" w:hAnsi="Arial" w:cs="Arial"/>
                      <w:b/>
                      <w:bCs/>
                      <w:sz w:val="18"/>
                      <w:szCs w:val="18"/>
                    </w:rPr>
                    <w:t>Output (</w:t>
                  </w:r>
                  <w:proofErr w:type="spellStart"/>
                  <w:r w:rsidRPr="00DA02B0">
                    <w:rPr>
                      <w:rFonts w:ascii="Arial" w:hAnsi="Arial" w:cs="Arial"/>
                      <w:b/>
                      <w:bCs/>
                      <w:sz w:val="18"/>
                      <w:szCs w:val="18"/>
                    </w:rPr>
                    <w:t>GVA</w:t>
                  </w:r>
                  <w:proofErr w:type="spellEnd"/>
                  <w:r w:rsidRPr="00DA02B0">
                    <w:rPr>
                      <w:rFonts w:ascii="Arial" w:hAnsi="Arial" w:cs="Arial"/>
                      <w:b/>
                      <w:bCs/>
                      <w:sz w:val="18"/>
                      <w:szCs w:val="18"/>
                    </w:rPr>
                    <w:t>)</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1E4F0" w:themeFill="text2" w:themeFillTint="66"/>
                  <w:vAlign w:val="center"/>
                </w:tcPr>
                <w:p w14:paraId="670B8B8D" w14:textId="77777777" w:rsidR="00C54961" w:rsidRPr="00DA02B0" w:rsidRDefault="00C54961" w:rsidP="00DB60E1">
                  <w:pPr>
                    <w:ind w:right="113"/>
                    <w:jc w:val="right"/>
                    <w:rPr>
                      <w:rFonts w:ascii="Arial" w:hAnsi="Arial" w:cs="Arial"/>
                      <w:b/>
                      <w:bCs/>
                      <w:sz w:val="18"/>
                      <w:szCs w:val="18"/>
                    </w:rPr>
                  </w:pPr>
                  <w:r w:rsidRPr="00DA02B0">
                    <w:rPr>
                      <w:rFonts w:ascii="Arial" w:hAnsi="Arial" w:cs="Arial"/>
                      <w:b/>
                      <w:bCs/>
                      <w:sz w:val="18"/>
                      <w:szCs w:val="18"/>
                    </w:rPr>
                    <w:t>Total inputs</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1E4F0" w:themeFill="text2" w:themeFillTint="66"/>
                  <w:vAlign w:val="center"/>
                </w:tcPr>
                <w:p w14:paraId="40F5800E" w14:textId="77777777" w:rsidR="00C54961" w:rsidRPr="00DA02B0" w:rsidRDefault="00C54961" w:rsidP="00DB60E1">
                  <w:pPr>
                    <w:ind w:right="113"/>
                    <w:jc w:val="right"/>
                    <w:rPr>
                      <w:rFonts w:ascii="Arial" w:hAnsi="Arial" w:cs="Arial"/>
                      <w:b/>
                      <w:bCs/>
                      <w:sz w:val="18"/>
                      <w:szCs w:val="18"/>
                    </w:rPr>
                  </w:pPr>
                  <w:r w:rsidRPr="00DA02B0">
                    <w:rPr>
                      <w:rFonts w:ascii="Arial" w:hAnsi="Arial" w:cs="Arial"/>
                      <w:b/>
                      <w:bCs/>
                      <w:sz w:val="18"/>
                      <w:szCs w:val="18"/>
                    </w:rPr>
                    <w:t>Labour inputs</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1E4F0" w:themeFill="text2" w:themeFillTint="66"/>
                  <w:vAlign w:val="center"/>
                </w:tcPr>
                <w:p w14:paraId="253E7F24" w14:textId="77777777" w:rsidR="00C54961" w:rsidRPr="00DA02B0" w:rsidRDefault="00C54961" w:rsidP="00DB60E1">
                  <w:pPr>
                    <w:ind w:right="113"/>
                    <w:jc w:val="right"/>
                    <w:rPr>
                      <w:rFonts w:ascii="Arial" w:hAnsi="Arial" w:cs="Arial"/>
                      <w:b/>
                      <w:bCs/>
                      <w:sz w:val="18"/>
                      <w:szCs w:val="18"/>
                    </w:rPr>
                  </w:pPr>
                  <w:r w:rsidRPr="00DA02B0">
                    <w:rPr>
                      <w:rFonts w:ascii="Arial" w:hAnsi="Arial" w:cs="Arial"/>
                      <w:b/>
                      <w:bCs/>
                      <w:sz w:val="18"/>
                      <w:szCs w:val="18"/>
                    </w:rPr>
                    <w:t>Capital inputs</w:t>
                  </w:r>
                </w:p>
              </w:tc>
              <w:tc>
                <w:tcPr>
                  <w:tcW w:w="61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1E4F0" w:themeFill="text2" w:themeFillTint="66"/>
                  <w:vAlign w:val="center"/>
                </w:tcPr>
                <w:p w14:paraId="69A04AB0" w14:textId="77777777" w:rsidR="00C54961" w:rsidRPr="00DA02B0" w:rsidRDefault="00C54961" w:rsidP="00DA02B0">
                  <w:pPr>
                    <w:jc w:val="right"/>
                    <w:rPr>
                      <w:rFonts w:ascii="Arial Bold" w:hAnsi="Arial Bold" w:cs="Arial"/>
                      <w:b/>
                      <w:bCs/>
                      <w:spacing w:val="-4"/>
                      <w:sz w:val="18"/>
                      <w:szCs w:val="18"/>
                    </w:rPr>
                  </w:pPr>
                  <w:r w:rsidRPr="00DA02B0">
                    <w:rPr>
                      <w:rFonts w:ascii="Arial Bold" w:hAnsi="Arial Bold" w:cs="Arial"/>
                      <w:b/>
                      <w:bCs/>
                      <w:spacing w:val="-4"/>
                      <w:sz w:val="18"/>
                      <w:szCs w:val="18"/>
                    </w:rPr>
                    <w:t>Labour productivity</w:t>
                  </w:r>
                </w:p>
              </w:tc>
              <w:tc>
                <w:tcPr>
                  <w:tcW w:w="492"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C1E4F0" w:themeFill="text2" w:themeFillTint="66"/>
                  <w:vAlign w:val="center"/>
                </w:tcPr>
                <w:p w14:paraId="455E2E22" w14:textId="77777777" w:rsidR="00C54961" w:rsidRPr="00DA02B0" w:rsidRDefault="00C54961" w:rsidP="00DB60E1">
                  <w:pPr>
                    <w:ind w:right="57"/>
                    <w:jc w:val="right"/>
                    <w:rPr>
                      <w:rFonts w:ascii="Arial" w:hAnsi="Arial" w:cs="Arial"/>
                      <w:b/>
                      <w:bCs/>
                      <w:sz w:val="18"/>
                      <w:szCs w:val="18"/>
                    </w:rPr>
                  </w:pPr>
                  <w:r w:rsidRPr="00DA02B0">
                    <w:rPr>
                      <w:rFonts w:ascii="Arial" w:hAnsi="Arial" w:cs="Arial"/>
                      <w:b/>
                      <w:bCs/>
                      <w:sz w:val="18"/>
                      <w:szCs w:val="18"/>
                    </w:rPr>
                    <w:t>MFP</w:t>
                  </w:r>
                </w:p>
              </w:tc>
            </w:tr>
            <w:tr w:rsidR="003A141B" w:rsidRPr="008F3FFC" w14:paraId="17C5002B" w14:textId="77777777" w:rsidTr="00986FD2">
              <w:trPr>
                <w:trHeight w:val="340"/>
              </w:trPr>
              <w:tc>
                <w:tcPr>
                  <w:tcW w:w="5000" w:type="pct"/>
                  <w:gridSpan w:val="7"/>
                  <w:tcBorders>
                    <w:top w:val="single" w:sz="12" w:space="0" w:color="FFFFFF" w:themeColor="background1"/>
                    <w:left w:val="nil"/>
                    <w:bottom w:val="single" w:sz="12" w:space="0" w:color="FFFFFF" w:themeColor="background1"/>
                    <w:right w:val="nil"/>
                  </w:tcBorders>
                  <w:shd w:val="clear" w:color="auto" w:fill="2D9AC2" w:themeFill="text2" w:themeFillShade="BF"/>
                  <w:vAlign w:val="center"/>
                </w:tcPr>
                <w:p w14:paraId="6D169E54" w14:textId="77777777" w:rsidR="003A141B" w:rsidRDefault="003A141B" w:rsidP="003A141B">
                  <w:pPr>
                    <w:ind w:left="170"/>
                    <w:rPr>
                      <w:rFonts w:ascii="Arial" w:hAnsi="Arial" w:cs="Arial"/>
                      <w:b/>
                      <w:bCs/>
                      <w:sz w:val="16"/>
                      <w:szCs w:val="16"/>
                    </w:rPr>
                  </w:pPr>
                  <w:r w:rsidRPr="00955889">
                    <w:rPr>
                      <w:rFonts w:ascii="Arial" w:hAnsi="Arial" w:cs="Arial"/>
                      <w:b/>
                      <w:iCs/>
                      <w:color w:val="FFFFFF" w:themeColor="background1"/>
                      <w:sz w:val="18"/>
                      <w:szCs w:val="18"/>
                    </w:rPr>
                    <w:t>Market sector</w:t>
                  </w:r>
                  <w:r>
                    <w:rPr>
                      <w:rFonts w:ascii="Arial" w:hAnsi="Arial" w:cs="Arial"/>
                      <w:b/>
                      <w:iCs/>
                      <w:color w:val="FFFFFF" w:themeColor="background1"/>
                      <w:sz w:val="18"/>
                      <w:szCs w:val="18"/>
                    </w:rPr>
                    <w:t xml:space="preserve"> (16 industries)</w:t>
                  </w:r>
                </w:p>
              </w:tc>
            </w:tr>
            <w:tr w:rsidR="00C54961" w:rsidRPr="008F3FFC" w14:paraId="65E1EBC4"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7BA42AA3"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Agriculture, forestry and fishing</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404B82F" w14:textId="77777777" w:rsidR="00C54961" w:rsidRPr="00DA02B0" w:rsidRDefault="00D33627" w:rsidP="00DB60E1">
                  <w:pPr>
                    <w:ind w:right="113"/>
                    <w:jc w:val="right"/>
                    <w:rPr>
                      <w:rFonts w:ascii="Arial" w:hAnsi="Arial" w:cs="Arial"/>
                      <w:sz w:val="18"/>
                      <w:szCs w:val="18"/>
                    </w:rPr>
                  </w:pPr>
                  <w:r w:rsidRPr="00DA02B0">
                    <w:rPr>
                      <w:rFonts w:ascii="Arial" w:hAnsi="Arial" w:cs="Arial"/>
                      <w:sz w:val="18"/>
                      <w:szCs w:val="18"/>
                    </w:rPr>
                    <w:noBreakHyphen/>
                  </w:r>
                  <w:r w:rsidR="00C54961" w:rsidRPr="00DA02B0">
                    <w:rPr>
                      <w:rFonts w:ascii="Arial" w:hAnsi="Arial" w:cs="Arial"/>
                      <w:sz w:val="18"/>
                      <w:szCs w:val="18"/>
                    </w:rPr>
                    <w:t>5.2</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41ABE6A"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2.1</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107AC18"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6.8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0E61E86B"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0.4</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5D1E0039"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12.0</w:t>
                  </w:r>
                </w:p>
              </w:tc>
              <w:tc>
                <w:tcPr>
                  <w:tcW w:w="492" w:type="pct"/>
                  <w:tcBorders>
                    <w:top w:val="nil"/>
                    <w:left w:val="nil"/>
                    <w:bottom w:val="single" w:sz="12" w:space="0" w:color="FFFFFF"/>
                    <w:right w:val="nil"/>
                  </w:tcBorders>
                  <w:shd w:val="clear" w:color="auto" w:fill="E0F1F7" w:themeFill="text2" w:themeFillTint="33"/>
                  <w:vAlign w:val="center"/>
                </w:tcPr>
                <w:p w14:paraId="62FB831D"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7.3</w:t>
                  </w:r>
                </w:p>
              </w:tc>
            </w:tr>
            <w:tr w:rsidR="00C54961" w:rsidRPr="008F3FFC" w14:paraId="53E36F00"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271E9E30"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Mining</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CA76510"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2.8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CDCF78C"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1.9</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4117C71"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3.2</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0DDFD8F0"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1.6</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5F923984"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0.4</w:t>
                  </w:r>
                </w:p>
              </w:tc>
              <w:tc>
                <w:tcPr>
                  <w:tcW w:w="492" w:type="pct"/>
                  <w:tcBorders>
                    <w:top w:val="nil"/>
                    <w:left w:val="nil"/>
                    <w:bottom w:val="single" w:sz="12" w:space="0" w:color="FFFFFF"/>
                    <w:right w:val="nil"/>
                  </w:tcBorders>
                  <w:shd w:val="clear" w:color="auto" w:fill="E0F1F7" w:themeFill="text2" w:themeFillTint="33"/>
                  <w:vAlign w:val="center"/>
                </w:tcPr>
                <w:p w14:paraId="07B55DFD"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0.9</w:t>
                  </w:r>
                </w:p>
              </w:tc>
            </w:tr>
            <w:tr w:rsidR="00C54961" w:rsidRPr="008F3FFC" w14:paraId="1C38C2CF"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572646C3"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Manufacturing</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72759907"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3.0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47C9ADB"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B4D7A08"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64F60C5"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0.8</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6E403390"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3.7</w:t>
                  </w:r>
                </w:p>
              </w:tc>
              <w:tc>
                <w:tcPr>
                  <w:tcW w:w="492" w:type="pct"/>
                  <w:tcBorders>
                    <w:top w:val="nil"/>
                    <w:left w:val="nil"/>
                    <w:bottom w:val="single" w:sz="12" w:space="0" w:color="FFFFFF"/>
                    <w:right w:val="nil"/>
                  </w:tcBorders>
                  <w:shd w:val="clear" w:color="auto" w:fill="E0F1F7" w:themeFill="text2" w:themeFillTint="33"/>
                  <w:vAlign w:val="center"/>
                </w:tcPr>
                <w:p w14:paraId="30071EE3"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3.7</w:t>
                  </w:r>
                </w:p>
              </w:tc>
            </w:tr>
            <w:tr w:rsidR="00C54961" w:rsidRPr="008F3FFC" w14:paraId="4ECECF9E"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48963898" w14:textId="77777777" w:rsidR="00C54961" w:rsidRPr="00DA02B0" w:rsidRDefault="00C54961" w:rsidP="00DA02B0">
                  <w:pPr>
                    <w:ind w:left="453" w:right="-108" w:hanging="340"/>
                    <w:rPr>
                      <w:rFonts w:ascii="Arial" w:hAnsi="Arial" w:cs="Arial"/>
                      <w:spacing w:val="-8"/>
                      <w:sz w:val="18"/>
                      <w:szCs w:val="18"/>
                    </w:rPr>
                  </w:pPr>
                  <w:r w:rsidRPr="00DA02B0">
                    <w:rPr>
                      <w:rFonts w:ascii="Arial" w:hAnsi="Arial" w:cs="Arial"/>
                      <w:spacing w:val="-8"/>
                      <w:sz w:val="18"/>
                      <w:szCs w:val="18"/>
                    </w:rPr>
                    <w:t>Electricity, gas, water and waste services</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605FE4D"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1.9</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EF9BD11"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7DD720FF"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6.4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119BF29"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2.4</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13C770B9"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4.5</w:t>
                  </w:r>
                </w:p>
              </w:tc>
              <w:tc>
                <w:tcPr>
                  <w:tcW w:w="492" w:type="pct"/>
                  <w:tcBorders>
                    <w:top w:val="nil"/>
                    <w:left w:val="nil"/>
                    <w:bottom w:val="single" w:sz="12" w:space="0" w:color="FFFFFF"/>
                    <w:right w:val="nil"/>
                  </w:tcBorders>
                  <w:shd w:val="clear" w:color="auto" w:fill="E0F1F7" w:themeFill="text2" w:themeFillTint="33"/>
                  <w:vAlign w:val="center"/>
                </w:tcPr>
                <w:p w14:paraId="653C211A"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1.7</w:t>
                  </w:r>
                </w:p>
              </w:tc>
            </w:tr>
            <w:tr w:rsidR="00C54961" w:rsidRPr="008F3FFC" w14:paraId="0F53A115" w14:textId="77777777" w:rsidTr="001312B7">
              <w:trPr>
                <w:trHeight w:val="27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6EFFACD3"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Construction</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195FEFB"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5.0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263C56A"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5.8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899525E"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7.4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0CF9B858"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2.0</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6321B36D"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2.4</w:t>
                  </w:r>
                </w:p>
              </w:tc>
              <w:tc>
                <w:tcPr>
                  <w:tcW w:w="492" w:type="pct"/>
                  <w:tcBorders>
                    <w:top w:val="nil"/>
                    <w:left w:val="nil"/>
                    <w:bottom w:val="single" w:sz="12" w:space="0" w:color="FFFFFF"/>
                    <w:right w:val="nil"/>
                  </w:tcBorders>
                  <w:shd w:val="clear" w:color="auto" w:fill="E0F1F7" w:themeFill="text2" w:themeFillTint="33"/>
                  <w:vAlign w:val="center"/>
                </w:tcPr>
                <w:p w14:paraId="1EED43ED"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0.8</w:t>
                  </w:r>
                </w:p>
              </w:tc>
            </w:tr>
            <w:tr w:rsidR="00C54961" w:rsidRPr="008F3FFC" w14:paraId="783E8F15"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16576F22"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Wholesale trade</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34F3049"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0.7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7FFC3E8D"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0AF8A5DB"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7FFF7522"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2.6</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063D8A7F"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0.1</w:t>
                  </w:r>
                </w:p>
              </w:tc>
              <w:tc>
                <w:tcPr>
                  <w:tcW w:w="492" w:type="pct"/>
                  <w:tcBorders>
                    <w:top w:val="nil"/>
                    <w:left w:val="nil"/>
                    <w:bottom w:val="single" w:sz="12" w:space="0" w:color="FFFFFF"/>
                    <w:right w:val="nil"/>
                  </w:tcBorders>
                  <w:shd w:val="clear" w:color="auto" w:fill="E0F1F7" w:themeFill="text2" w:themeFillTint="33"/>
                  <w:vAlign w:val="center"/>
                </w:tcPr>
                <w:p w14:paraId="01F6E868"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0.8</w:t>
                  </w:r>
                </w:p>
              </w:tc>
            </w:tr>
            <w:tr w:rsidR="00C54961" w:rsidRPr="008F3FFC" w14:paraId="2D423637"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13040667"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Retail trade</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C766BDF"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2.4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0615044F"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2.9</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F530A50"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FBF8111"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1.8</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50C7597E"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1.0</w:t>
                  </w:r>
                </w:p>
              </w:tc>
              <w:tc>
                <w:tcPr>
                  <w:tcW w:w="492" w:type="pct"/>
                  <w:tcBorders>
                    <w:top w:val="nil"/>
                    <w:left w:val="nil"/>
                    <w:bottom w:val="single" w:sz="12" w:space="0" w:color="FFFFFF"/>
                    <w:right w:val="nil"/>
                  </w:tcBorders>
                  <w:shd w:val="clear" w:color="auto" w:fill="E0F1F7" w:themeFill="text2" w:themeFillTint="33"/>
                  <w:vAlign w:val="center"/>
                </w:tcPr>
                <w:p w14:paraId="0AC11B55"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0.6</w:t>
                  </w:r>
                </w:p>
              </w:tc>
            </w:tr>
            <w:tr w:rsidR="00C54961" w:rsidRPr="008F3FFC" w14:paraId="3986E152"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6026A782"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Accommodation and food services</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5F503A9"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4.0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39A57A3"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32101F9"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0.2</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4558DAB"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1.1</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3128954A"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3.8</w:t>
                  </w:r>
                </w:p>
              </w:tc>
              <w:tc>
                <w:tcPr>
                  <w:tcW w:w="492" w:type="pct"/>
                  <w:tcBorders>
                    <w:top w:val="nil"/>
                    <w:left w:val="nil"/>
                    <w:bottom w:val="single" w:sz="12" w:space="0" w:color="FFFFFF"/>
                    <w:right w:val="nil"/>
                  </w:tcBorders>
                  <w:shd w:val="clear" w:color="auto" w:fill="E0F1F7" w:themeFill="text2" w:themeFillTint="33"/>
                  <w:vAlign w:val="center"/>
                </w:tcPr>
                <w:p w14:paraId="7CF40C40"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3.6</w:t>
                  </w:r>
                </w:p>
              </w:tc>
            </w:tr>
            <w:tr w:rsidR="00C54961" w:rsidRPr="008F3FFC" w14:paraId="6BE63239"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067EDA30"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Transport, postal and warehousing</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B851D48"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0.8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CC135B0"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3.8</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B35754F"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4.5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CE21F68"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2.7</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49DBAC1A"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3.8</w:t>
                  </w:r>
                </w:p>
              </w:tc>
              <w:tc>
                <w:tcPr>
                  <w:tcW w:w="492" w:type="pct"/>
                  <w:tcBorders>
                    <w:top w:val="nil"/>
                    <w:left w:val="nil"/>
                    <w:bottom w:val="single" w:sz="12" w:space="0" w:color="FFFFFF"/>
                    <w:right w:val="nil"/>
                  </w:tcBorders>
                  <w:shd w:val="clear" w:color="auto" w:fill="E0F1F7" w:themeFill="text2" w:themeFillTint="33"/>
                  <w:vAlign w:val="center"/>
                </w:tcPr>
                <w:p w14:paraId="0B663AB0"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3.0</w:t>
                  </w:r>
                </w:p>
              </w:tc>
            </w:tr>
            <w:tr w:rsidR="00C54961" w:rsidRPr="008F3FFC" w14:paraId="49058857"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7921AF10"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Information media and telecommunications</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C45EA7B"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2.7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141394A"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3.5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7E3FA618"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AD3DB3B"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5.1</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5C8E51A8"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1.3</w:t>
                  </w:r>
                </w:p>
              </w:tc>
              <w:tc>
                <w:tcPr>
                  <w:tcW w:w="492" w:type="pct"/>
                  <w:tcBorders>
                    <w:top w:val="nil"/>
                    <w:left w:val="nil"/>
                    <w:bottom w:val="single" w:sz="12" w:space="0" w:color="FFFFFF"/>
                    <w:right w:val="nil"/>
                  </w:tcBorders>
                  <w:shd w:val="clear" w:color="auto" w:fill="E0F1F7" w:themeFill="text2" w:themeFillTint="33"/>
                  <w:vAlign w:val="center"/>
                </w:tcPr>
                <w:p w14:paraId="5ADF712C"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0.8</w:t>
                  </w:r>
                </w:p>
              </w:tc>
            </w:tr>
            <w:tr w:rsidR="00C54961" w:rsidRPr="008F3FFC" w14:paraId="37F28F73"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744C45E6" w14:textId="77777777" w:rsidR="00C54961" w:rsidRPr="00DA02B0" w:rsidRDefault="00C54961" w:rsidP="00DA02B0">
                  <w:pPr>
                    <w:ind w:left="453" w:hanging="340"/>
                    <w:rPr>
                      <w:rFonts w:ascii="Arial" w:hAnsi="Arial" w:cs="Arial"/>
                      <w:sz w:val="18"/>
                      <w:szCs w:val="18"/>
                    </w:rPr>
                  </w:pPr>
                  <w:r w:rsidRPr="00DA02B0">
                    <w:rPr>
                      <w:rFonts w:ascii="Arial" w:hAnsi="Arial" w:cs="Arial"/>
                      <w:sz w:val="18"/>
                      <w:szCs w:val="18"/>
                    </w:rPr>
                    <w:t>Financial and insurance services</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D226FA8" w14:textId="77777777" w:rsidR="00C54961" w:rsidRPr="00DA02B0" w:rsidRDefault="00C54961" w:rsidP="00DB60E1">
                  <w:pPr>
                    <w:ind w:right="113"/>
                    <w:jc w:val="right"/>
                    <w:rPr>
                      <w:rFonts w:ascii="Arial" w:hAnsi="Arial" w:cs="Arial"/>
                      <w:sz w:val="18"/>
                      <w:szCs w:val="18"/>
                    </w:rPr>
                  </w:pPr>
                  <w:r w:rsidRPr="00DA02B0">
                    <w:rPr>
                      <w:rFonts w:ascii="Arial" w:hAnsi="Arial" w:cs="Arial"/>
                      <w:sz w:val="18"/>
                      <w:szCs w:val="18"/>
                    </w:rPr>
                    <w:t>3.4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D22577A"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0.5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98295D2" w14:textId="77777777" w:rsidR="00C54961" w:rsidRPr="00DA02B0" w:rsidRDefault="00D33627" w:rsidP="00DB60E1">
                  <w:pPr>
                    <w:ind w:right="113"/>
                    <w:jc w:val="right"/>
                    <w:rPr>
                      <w:rFonts w:ascii="Arial" w:hAnsi="Arial" w:cs="Arial"/>
                      <w:sz w:val="18"/>
                      <w:szCs w:val="18"/>
                    </w:rPr>
                  </w:pPr>
                  <w:r w:rsidRPr="00DA02B0">
                    <w:rPr>
                      <w:rFonts w:ascii="Arial" w:hAnsi="Arial" w:cs="Arial"/>
                      <w:color w:val="000000"/>
                      <w:sz w:val="18"/>
                      <w:szCs w:val="18"/>
                    </w:rPr>
                    <w:noBreakHyphen/>
                  </w:r>
                  <w:r w:rsidR="00C54961" w:rsidRPr="00DA02B0">
                    <w:rPr>
                      <w:rFonts w:ascii="Arial" w:hAnsi="Arial" w:cs="Arial"/>
                      <w:color w:val="000000"/>
                      <w:sz w:val="18"/>
                      <w:szCs w:val="18"/>
                    </w:rPr>
                    <w:t>3.5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1BA8377"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2.2</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5B522E77"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6.9</w:t>
                  </w:r>
                </w:p>
              </w:tc>
              <w:tc>
                <w:tcPr>
                  <w:tcW w:w="492" w:type="pct"/>
                  <w:tcBorders>
                    <w:top w:val="nil"/>
                    <w:left w:val="nil"/>
                    <w:bottom w:val="single" w:sz="12" w:space="0" w:color="FFFFFF"/>
                    <w:right w:val="nil"/>
                  </w:tcBorders>
                  <w:shd w:val="clear" w:color="auto" w:fill="E0F1F7" w:themeFill="text2" w:themeFillTint="33"/>
                  <w:vAlign w:val="center"/>
                </w:tcPr>
                <w:p w14:paraId="7ACD7AF2" w14:textId="77777777" w:rsidR="00C54961" w:rsidRPr="00DA02B0" w:rsidRDefault="00C54961" w:rsidP="00DB60E1">
                  <w:pPr>
                    <w:ind w:right="113"/>
                    <w:jc w:val="right"/>
                    <w:rPr>
                      <w:rFonts w:ascii="Arial" w:hAnsi="Arial" w:cs="Arial"/>
                      <w:sz w:val="18"/>
                      <w:szCs w:val="18"/>
                    </w:rPr>
                  </w:pPr>
                  <w:r w:rsidRPr="00DA02B0">
                    <w:rPr>
                      <w:rFonts w:ascii="Arial" w:hAnsi="Arial" w:cs="Arial"/>
                      <w:color w:val="000000"/>
                      <w:sz w:val="18"/>
                      <w:szCs w:val="18"/>
                    </w:rPr>
                    <w:t>2.9</w:t>
                  </w:r>
                </w:p>
              </w:tc>
            </w:tr>
            <w:tr w:rsidR="00C71AED" w:rsidRPr="009952FD" w14:paraId="4D527905"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cBorders>
                  <w:shd w:val="clear" w:color="auto" w:fill="E0F1F7" w:themeFill="text2" w:themeFillTint="33"/>
                  <w:vAlign w:val="bottom"/>
                </w:tcPr>
                <w:p w14:paraId="6F75FA3A"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Rental, hiring and real estate services</w:t>
                  </w:r>
                </w:p>
              </w:tc>
              <w:tc>
                <w:tcPr>
                  <w:tcW w:w="517" w:type="pct"/>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E0F1F7" w:themeFill="text2" w:themeFillTint="33"/>
                  <w:vAlign w:val="center"/>
                </w:tcPr>
                <w:p w14:paraId="1C0D7FE7" w14:textId="77777777" w:rsidR="00C71AED" w:rsidRPr="00DA02B0" w:rsidRDefault="00C71AED" w:rsidP="00E342E7">
                  <w:pPr>
                    <w:pStyle w:val="TableBodyText"/>
                    <w:rPr>
                      <w:rFonts w:cs="Arial"/>
                      <w:szCs w:val="18"/>
                    </w:rPr>
                  </w:pPr>
                  <w:r w:rsidRPr="00DA02B0">
                    <w:rPr>
                      <w:rFonts w:cs="Arial"/>
                      <w:szCs w:val="18"/>
                    </w:rPr>
                    <w:t>1.0</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4CF08C12" w14:textId="77777777" w:rsidR="00C71AED" w:rsidRPr="00DA02B0" w:rsidRDefault="00C71AED" w:rsidP="00E342E7">
                  <w:pPr>
                    <w:pStyle w:val="TableBodyText"/>
                    <w:rPr>
                      <w:rFonts w:cs="Arial"/>
                      <w:szCs w:val="18"/>
                    </w:rPr>
                  </w:pPr>
                  <w:r w:rsidRPr="00DA02B0">
                    <w:rPr>
                      <w:rFonts w:cs="Arial"/>
                      <w:szCs w:val="18"/>
                    </w:rPr>
                    <w:t>1.7</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433A6F7F" w14:textId="77777777" w:rsidR="00C71AED" w:rsidRPr="00DA02B0" w:rsidRDefault="00D33627" w:rsidP="00E342E7">
                  <w:pPr>
                    <w:pStyle w:val="TableBodyText"/>
                    <w:rPr>
                      <w:rFonts w:cs="Arial"/>
                      <w:szCs w:val="18"/>
                    </w:rPr>
                  </w:pPr>
                  <w:r w:rsidRPr="00DA02B0">
                    <w:rPr>
                      <w:rFonts w:cs="Arial"/>
                      <w:szCs w:val="18"/>
                    </w:rPr>
                    <w:noBreakHyphen/>
                  </w:r>
                  <w:r w:rsidR="00C71AED" w:rsidRPr="00DA02B0">
                    <w:rPr>
                      <w:rFonts w:cs="Arial"/>
                      <w:szCs w:val="18"/>
                    </w:rPr>
                    <w:t>0.5</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33D436A0" w14:textId="77777777" w:rsidR="00C71AED" w:rsidRPr="00DA02B0" w:rsidRDefault="00C71AED" w:rsidP="00E342E7">
                  <w:pPr>
                    <w:pStyle w:val="TableBodyText"/>
                    <w:rPr>
                      <w:rFonts w:cs="Arial"/>
                      <w:szCs w:val="18"/>
                    </w:rPr>
                  </w:pPr>
                  <w:r w:rsidRPr="00DA02B0">
                    <w:rPr>
                      <w:rFonts w:cs="Arial"/>
                      <w:szCs w:val="18"/>
                    </w:rPr>
                    <w:t>3.1</w:t>
                  </w:r>
                </w:p>
              </w:tc>
              <w:tc>
                <w:tcPr>
                  <w:tcW w:w="610" w:type="pct"/>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E0F1F7" w:themeFill="text2" w:themeFillTint="33"/>
                  <w:vAlign w:val="center"/>
                </w:tcPr>
                <w:p w14:paraId="6F4069A5" w14:textId="77777777" w:rsidR="00C71AED" w:rsidRPr="00DA02B0" w:rsidRDefault="00C71AED" w:rsidP="00E342E7">
                  <w:pPr>
                    <w:pStyle w:val="TableBodyText"/>
                    <w:rPr>
                      <w:rFonts w:cs="Arial"/>
                      <w:szCs w:val="18"/>
                    </w:rPr>
                  </w:pPr>
                  <w:r w:rsidRPr="00DA02B0">
                    <w:rPr>
                      <w:rFonts w:cs="Arial"/>
                      <w:szCs w:val="18"/>
                    </w:rPr>
                    <w:t>1.5</w:t>
                  </w:r>
                </w:p>
              </w:tc>
              <w:tc>
                <w:tcPr>
                  <w:tcW w:w="492" w:type="pct"/>
                  <w:tcBorders>
                    <w:top w:val="single" w:sz="12" w:space="0" w:color="FFFFFF" w:themeColor="background1"/>
                    <w:left w:val="single" w:sz="12" w:space="0" w:color="FFFFFF"/>
                    <w:bottom w:val="single" w:sz="12" w:space="0" w:color="FFFFFF" w:themeColor="background1"/>
                    <w:right w:val="nil"/>
                  </w:tcBorders>
                  <w:shd w:val="clear" w:color="auto" w:fill="E0F1F7" w:themeFill="text2" w:themeFillTint="33"/>
                  <w:vAlign w:val="center"/>
                </w:tcPr>
                <w:p w14:paraId="1521D0C3" w14:textId="77777777" w:rsidR="00C71AED" w:rsidRPr="00DA02B0" w:rsidRDefault="00D33627" w:rsidP="00E342E7">
                  <w:pPr>
                    <w:pStyle w:val="TableBodyText"/>
                    <w:rPr>
                      <w:rFonts w:cs="Arial"/>
                      <w:szCs w:val="18"/>
                    </w:rPr>
                  </w:pPr>
                  <w:r w:rsidRPr="00DA02B0">
                    <w:rPr>
                      <w:rFonts w:cs="Arial"/>
                      <w:szCs w:val="18"/>
                    </w:rPr>
                    <w:noBreakHyphen/>
                  </w:r>
                  <w:r w:rsidR="00C71AED" w:rsidRPr="00DA02B0">
                    <w:rPr>
                      <w:rFonts w:cs="Arial"/>
                      <w:szCs w:val="18"/>
                    </w:rPr>
                    <w:t>0.7</w:t>
                  </w:r>
                </w:p>
              </w:tc>
            </w:tr>
            <w:tr w:rsidR="00C71AED" w:rsidRPr="009952FD" w14:paraId="47670F2B"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cBorders>
                  <w:shd w:val="clear" w:color="auto" w:fill="E0F1F7" w:themeFill="text2" w:themeFillTint="33"/>
                  <w:vAlign w:val="bottom"/>
                </w:tcPr>
                <w:p w14:paraId="6FF986C9"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Professional, scientific and technical services</w:t>
                  </w:r>
                </w:p>
              </w:tc>
              <w:tc>
                <w:tcPr>
                  <w:tcW w:w="517" w:type="pct"/>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E0F1F7" w:themeFill="text2" w:themeFillTint="33"/>
                  <w:vAlign w:val="center"/>
                </w:tcPr>
                <w:p w14:paraId="52B4C248" w14:textId="77777777" w:rsidR="00C71AED" w:rsidRPr="00DA02B0" w:rsidRDefault="00C71AED" w:rsidP="00E342E7">
                  <w:pPr>
                    <w:pStyle w:val="TableBodyText"/>
                    <w:rPr>
                      <w:rFonts w:cs="Arial"/>
                      <w:szCs w:val="18"/>
                    </w:rPr>
                  </w:pPr>
                  <w:r w:rsidRPr="00DA02B0">
                    <w:rPr>
                      <w:rFonts w:cs="Arial"/>
                      <w:szCs w:val="18"/>
                    </w:rPr>
                    <w:t>4.3</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7B8E2855" w14:textId="77777777" w:rsidR="00C71AED" w:rsidRPr="00DA02B0" w:rsidRDefault="00C71AED" w:rsidP="00E342E7">
                  <w:pPr>
                    <w:pStyle w:val="TableBodyText"/>
                    <w:rPr>
                      <w:rFonts w:cs="Arial"/>
                      <w:szCs w:val="18"/>
                    </w:rPr>
                  </w:pPr>
                  <w:r w:rsidRPr="00DA02B0">
                    <w:rPr>
                      <w:rFonts w:cs="Arial"/>
                      <w:szCs w:val="18"/>
                    </w:rPr>
                    <w:t>0.6</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17AE3F77" w14:textId="77777777" w:rsidR="00C71AED" w:rsidRPr="00DA02B0" w:rsidRDefault="00C71AED" w:rsidP="00E342E7">
                  <w:pPr>
                    <w:pStyle w:val="TableBodyText"/>
                    <w:rPr>
                      <w:rFonts w:cs="Arial"/>
                      <w:szCs w:val="18"/>
                    </w:rPr>
                  </w:pPr>
                  <w:r w:rsidRPr="00DA02B0">
                    <w:rPr>
                      <w:rFonts w:cs="Arial"/>
                      <w:szCs w:val="18"/>
                    </w:rPr>
                    <w:t>0.1</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12C57201" w14:textId="77777777" w:rsidR="00C71AED" w:rsidRPr="00DA02B0" w:rsidRDefault="00C71AED" w:rsidP="00E342E7">
                  <w:pPr>
                    <w:pStyle w:val="TableBodyText"/>
                    <w:rPr>
                      <w:rFonts w:cs="Arial"/>
                      <w:szCs w:val="18"/>
                    </w:rPr>
                  </w:pPr>
                  <w:r w:rsidRPr="00DA02B0">
                    <w:rPr>
                      <w:rFonts w:cs="Arial"/>
                      <w:szCs w:val="18"/>
                    </w:rPr>
                    <w:t>3.3</w:t>
                  </w:r>
                </w:p>
              </w:tc>
              <w:tc>
                <w:tcPr>
                  <w:tcW w:w="610" w:type="pct"/>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E0F1F7" w:themeFill="text2" w:themeFillTint="33"/>
                  <w:vAlign w:val="center"/>
                </w:tcPr>
                <w:p w14:paraId="3BB34590" w14:textId="77777777" w:rsidR="00C71AED" w:rsidRPr="00DA02B0" w:rsidRDefault="00C71AED" w:rsidP="00E342E7">
                  <w:pPr>
                    <w:pStyle w:val="TableBodyText"/>
                    <w:rPr>
                      <w:rFonts w:cs="Arial"/>
                      <w:szCs w:val="18"/>
                    </w:rPr>
                  </w:pPr>
                  <w:r w:rsidRPr="00DA02B0">
                    <w:rPr>
                      <w:rFonts w:cs="Arial"/>
                      <w:szCs w:val="18"/>
                    </w:rPr>
                    <w:t>4.1</w:t>
                  </w:r>
                </w:p>
              </w:tc>
              <w:tc>
                <w:tcPr>
                  <w:tcW w:w="492" w:type="pct"/>
                  <w:tcBorders>
                    <w:top w:val="single" w:sz="12" w:space="0" w:color="FFFFFF" w:themeColor="background1"/>
                    <w:left w:val="single" w:sz="12" w:space="0" w:color="FFFFFF"/>
                    <w:bottom w:val="single" w:sz="12" w:space="0" w:color="FFFFFF" w:themeColor="background1"/>
                    <w:right w:val="nil"/>
                  </w:tcBorders>
                  <w:shd w:val="clear" w:color="auto" w:fill="E0F1F7" w:themeFill="text2" w:themeFillTint="33"/>
                  <w:vAlign w:val="center"/>
                </w:tcPr>
                <w:p w14:paraId="67807DCD" w14:textId="77777777" w:rsidR="00C71AED" w:rsidRPr="00DA02B0" w:rsidRDefault="00C71AED" w:rsidP="00E342E7">
                  <w:pPr>
                    <w:pStyle w:val="TableBodyText"/>
                    <w:rPr>
                      <w:rFonts w:cs="Arial"/>
                      <w:szCs w:val="18"/>
                    </w:rPr>
                  </w:pPr>
                  <w:r w:rsidRPr="00DA02B0">
                    <w:rPr>
                      <w:rFonts w:cs="Arial"/>
                      <w:szCs w:val="18"/>
                    </w:rPr>
                    <w:t>3.7</w:t>
                  </w:r>
                </w:p>
              </w:tc>
            </w:tr>
            <w:tr w:rsidR="00C71AED" w:rsidRPr="009952FD" w14:paraId="00D4322A"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cBorders>
                  <w:shd w:val="clear" w:color="auto" w:fill="E0F1F7" w:themeFill="text2" w:themeFillTint="33"/>
                  <w:vAlign w:val="bottom"/>
                </w:tcPr>
                <w:p w14:paraId="57BDBB76"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Administrative and support services</w:t>
                  </w:r>
                </w:p>
              </w:tc>
              <w:tc>
                <w:tcPr>
                  <w:tcW w:w="517" w:type="pct"/>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E0F1F7" w:themeFill="text2" w:themeFillTint="33"/>
                  <w:vAlign w:val="center"/>
                </w:tcPr>
                <w:p w14:paraId="24CD8BB7" w14:textId="77777777" w:rsidR="00C71AED" w:rsidRPr="00DA02B0" w:rsidRDefault="00C71AED" w:rsidP="00E342E7">
                  <w:pPr>
                    <w:pStyle w:val="TableBodyText"/>
                    <w:rPr>
                      <w:rFonts w:cs="Arial"/>
                      <w:szCs w:val="18"/>
                    </w:rPr>
                  </w:pPr>
                  <w:r w:rsidRPr="00DA02B0">
                    <w:rPr>
                      <w:rFonts w:cs="Arial"/>
                      <w:szCs w:val="18"/>
                    </w:rPr>
                    <w:t>3.9</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7C75A9E4" w14:textId="77777777" w:rsidR="00C71AED" w:rsidRPr="00DA02B0" w:rsidRDefault="00D33627" w:rsidP="00E342E7">
                  <w:pPr>
                    <w:pStyle w:val="TableBodyText"/>
                    <w:rPr>
                      <w:rFonts w:cs="Arial"/>
                      <w:szCs w:val="18"/>
                    </w:rPr>
                  </w:pPr>
                  <w:r w:rsidRPr="00DA02B0">
                    <w:rPr>
                      <w:rFonts w:cs="Arial"/>
                      <w:szCs w:val="18"/>
                    </w:rPr>
                    <w:noBreakHyphen/>
                  </w:r>
                  <w:r w:rsidR="00C71AED" w:rsidRPr="00DA02B0">
                    <w:rPr>
                      <w:rFonts w:cs="Arial"/>
                      <w:szCs w:val="18"/>
                    </w:rPr>
                    <w:t>4.1</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49039BCB" w14:textId="77777777" w:rsidR="00C71AED" w:rsidRPr="00DA02B0" w:rsidRDefault="00D33627" w:rsidP="00E342E7">
                  <w:pPr>
                    <w:pStyle w:val="TableBodyText"/>
                    <w:rPr>
                      <w:rFonts w:cs="Arial"/>
                      <w:szCs w:val="18"/>
                    </w:rPr>
                  </w:pPr>
                  <w:r w:rsidRPr="00DA02B0">
                    <w:rPr>
                      <w:rFonts w:cs="Arial"/>
                      <w:szCs w:val="18"/>
                    </w:rPr>
                    <w:noBreakHyphen/>
                  </w:r>
                  <w:r w:rsidR="00C71AED" w:rsidRPr="00DA02B0">
                    <w:rPr>
                      <w:rFonts w:cs="Arial"/>
                      <w:szCs w:val="18"/>
                    </w:rPr>
                    <w:t>4.3</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2A7CA047" w14:textId="77777777" w:rsidR="00C71AED" w:rsidRPr="00DA02B0" w:rsidRDefault="00C71AED" w:rsidP="00E342E7">
                  <w:pPr>
                    <w:pStyle w:val="TableBodyText"/>
                    <w:rPr>
                      <w:rFonts w:cs="Arial"/>
                      <w:szCs w:val="18"/>
                    </w:rPr>
                  </w:pPr>
                  <w:r w:rsidRPr="00DA02B0">
                    <w:rPr>
                      <w:rFonts w:cs="Arial"/>
                      <w:szCs w:val="18"/>
                    </w:rPr>
                    <w:t>1.3</w:t>
                  </w:r>
                </w:p>
              </w:tc>
              <w:tc>
                <w:tcPr>
                  <w:tcW w:w="610" w:type="pct"/>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E0F1F7" w:themeFill="text2" w:themeFillTint="33"/>
                  <w:vAlign w:val="center"/>
                </w:tcPr>
                <w:p w14:paraId="0A1D7BFE" w14:textId="77777777" w:rsidR="00C71AED" w:rsidRPr="00DA02B0" w:rsidRDefault="00C71AED" w:rsidP="00E342E7">
                  <w:pPr>
                    <w:pStyle w:val="TableBodyText"/>
                    <w:rPr>
                      <w:rFonts w:cs="Arial"/>
                      <w:szCs w:val="18"/>
                    </w:rPr>
                  </w:pPr>
                  <w:r w:rsidRPr="00DA02B0">
                    <w:rPr>
                      <w:rFonts w:cs="Arial"/>
                      <w:szCs w:val="18"/>
                    </w:rPr>
                    <w:t>8.2</w:t>
                  </w:r>
                </w:p>
              </w:tc>
              <w:tc>
                <w:tcPr>
                  <w:tcW w:w="492" w:type="pct"/>
                  <w:tcBorders>
                    <w:top w:val="single" w:sz="12" w:space="0" w:color="FFFFFF" w:themeColor="background1"/>
                    <w:left w:val="single" w:sz="12" w:space="0" w:color="FFFFFF"/>
                    <w:bottom w:val="single" w:sz="12" w:space="0" w:color="FFFFFF" w:themeColor="background1"/>
                    <w:right w:val="nil"/>
                  </w:tcBorders>
                  <w:shd w:val="clear" w:color="auto" w:fill="E0F1F7" w:themeFill="text2" w:themeFillTint="33"/>
                  <w:vAlign w:val="center"/>
                </w:tcPr>
                <w:p w14:paraId="282A7B98" w14:textId="77777777" w:rsidR="00C71AED" w:rsidRPr="00DA02B0" w:rsidRDefault="00C71AED" w:rsidP="00E342E7">
                  <w:pPr>
                    <w:pStyle w:val="TableBodyText"/>
                    <w:rPr>
                      <w:rFonts w:cs="Arial"/>
                      <w:szCs w:val="18"/>
                    </w:rPr>
                  </w:pPr>
                  <w:r w:rsidRPr="00DA02B0">
                    <w:rPr>
                      <w:rFonts w:cs="Arial"/>
                      <w:szCs w:val="18"/>
                    </w:rPr>
                    <w:t>8.0</w:t>
                  </w:r>
                </w:p>
              </w:tc>
            </w:tr>
            <w:tr w:rsidR="006C0AA7" w:rsidRPr="008F3FFC" w14:paraId="09A8995D"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679534B8" w14:textId="77777777" w:rsidR="006C0AA7" w:rsidRPr="00DA02B0" w:rsidRDefault="006C0AA7" w:rsidP="00DA02B0">
                  <w:pPr>
                    <w:ind w:left="453" w:hanging="340"/>
                    <w:rPr>
                      <w:rFonts w:ascii="Arial" w:hAnsi="Arial" w:cs="Arial"/>
                      <w:sz w:val="18"/>
                      <w:szCs w:val="18"/>
                    </w:rPr>
                  </w:pPr>
                  <w:r w:rsidRPr="00DA02B0">
                    <w:rPr>
                      <w:rFonts w:ascii="Arial" w:hAnsi="Arial" w:cs="Arial"/>
                      <w:sz w:val="18"/>
                      <w:szCs w:val="18"/>
                    </w:rPr>
                    <w:t>Arts and recreation services</w:t>
                  </w:r>
                </w:p>
              </w:tc>
              <w:tc>
                <w:tcPr>
                  <w:tcW w:w="51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62147147" w14:textId="77777777" w:rsidR="006C0AA7" w:rsidRPr="00DA02B0" w:rsidRDefault="006C0AA7" w:rsidP="00B73A1C">
                  <w:pPr>
                    <w:ind w:right="113"/>
                    <w:jc w:val="right"/>
                    <w:rPr>
                      <w:rFonts w:ascii="Arial" w:hAnsi="Arial" w:cs="Arial"/>
                      <w:sz w:val="18"/>
                      <w:szCs w:val="18"/>
                    </w:rPr>
                  </w:pPr>
                  <w:r w:rsidRPr="00DA02B0">
                    <w:rPr>
                      <w:rFonts w:ascii="Arial" w:hAnsi="Arial" w:cs="Arial"/>
                      <w:sz w:val="18"/>
                      <w:szCs w:val="18"/>
                    </w:rPr>
                    <w:t>3.5</w:t>
                  </w:r>
                </w:p>
              </w:tc>
              <w:tc>
                <w:tcPr>
                  <w:tcW w:w="51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454A8E74" w14:textId="77777777" w:rsidR="006C0AA7" w:rsidRPr="00DA02B0" w:rsidRDefault="006C0AA7" w:rsidP="00B73A1C">
                  <w:pPr>
                    <w:ind w:right="113"/>
                    <w:jc w:val="right"/>
                    <w:rPr>
                      <w:rFonts w:ascii="Arial" w:hAnsi="Arial" w:cs="Arial"/>
                      <w:sz w:val="18"/>
                      <w:szCs w:val="18"/>
                    </w:rPr>
                  </w:pPr>
                  <w:r w:rsidRPr="00DA02B0">
                    <w:rPr>
                      <w:rFonts w:ascii="Arial" w:hAnsi="Arial" w:cs="Arial"/>
                      <w:color w:val="000000"/>
                      <w:sz w:val="18"/>
                      <w:szCs w:val="18"/>
                    </w:rPr>
                    <w:t>8.4</w:t>
                  </w:r>
                </w:p>
              </w:tc>
              <w:tc>
                <w:tcPr>
                  <w:tcW w:w="51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5847D3ED" w14:textId="77777777" w:rsidR="006C0AA7" w:rsidRPr="00DA02B0" w:rsidRDefault="006C0AA7" w:rsidP="00B73A1C">
                  <w:pPr>
                    <w:ind w:right="113"/>
                    <w:jc w:val="right"/>
                    <w:rPr>
                      <w:rFonts w:ascii="Arial" w:hAnsi="Arial" w:cs="Arial"/>
                      <w:sz w:val="18"/>
                      <w:szCs w:val="18"/>
                    </w:rPr>
                  </w:pPr>
                  <w:r w:rsidRPr="00DA02B0">
                    <w:rPr>
                      <w:rFonts w:ascii="Arial" w:hAnsi="Arial" w:cs="Arial"/>
                      <w:color w:val="000000"/>
                      <w:sz w:val="18"/>
                      <w:szCs w:val="18"/>
                    </w:rPr>
                    <w:t>10.9</w:t>
                  </w:r>
                </w:p>
              </w:tc>
              <w:tc>
                <w:tcPr>
                  <w:tcW w:w="517"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569A187E" w14:textId="77777777" w:rsidR="006C0AA7" w:rsidRPr="00DA02B0" w:rsidRDefault="006C0AA7" w:rsidP="00B73A1C">
                  <w:pPr>
                    <w:ind w:right="113"/>
                    <w:jc w:val="right"/>
                    <w:rPr>
                      <w:rFonts w:ascii="Arial" w:hAnsi="Arial" w:cs="Arial"/>
                      <w:sz w:val="18"/>
                      <w:szCs w:val="18"/>
                    </w:rPr>
                  </w:pPr>
                  <w:r w:rsidRPr="00DA02B0">
                    <w:rPr>
                      <w:rFonts w:ascii="Arial" w:hAnsi="Arial" w:cs="Arial"/>
                      <w:color w:val="000000"/>
                      <w:sz w:val="18"/>
                      <w:szCs w:val="18"/>
                    </w:rPr>
                    <w:t>3.5</w:t>
                  </w:r>
                </w:p>
              </w:tc>
              <w:tc>
                <w:tcPr>
                  <w:tcW w:w="610" w:type="pct"/>
                  <w:tcBorders>
                    <w:top w:val="nil"/>
                    <w:left w:val="nil"/>
                    <w:bottom w:val="single" w:sz="12" w:space="0" w:color="FFFFFF" w:themeColor="background1"/>
                    <w:right w:val="single" w:sz="12" w:space="0" w:color="FFFFFF"/>
                  </w:tcBorders>
                  <w:shd w:val="clear" w:color="auto" w:fill="E0F1F7" w:themeFill="text2" w:themeFillTint="33"/>
                  <w:vAlign w:val="center"/>
                </w:tcPr>
                <w:p w14:paraId="70AA7B1A" w14:textId="77777777" w:rsidR="006C0AA7" w:rsidRPr="00DA02B0" w:rsidRDefault="006C0AA7" w:rsidP="00B73A1C">
                  <w:pPr>
                    <w:ind w:right="113"/>
                    <w:jc w:val="right"/>
                    <w:rPr>
                      <w:rFonts w:ascii="Arial" w:hAnsi="Arial" w:cs="Arial"/>
                      <w:sz w:val="18"/>
                      <w:szCs w:val="18"/>
                    </w:rPr>
                  </w:pPr>
                  <w:r w:rsidRPr="00DA02B0">
                    <w:rPr>
                      <w:rFonts w:ascii="Arial" w:hAnsi="Arial" w:cs="Arial"/>
                      <w:color w:val="000000"/>
                      <w:sz w:val="18"/>
                      <w:szCs w:val="18"/>
                    </w:rPr>
                    <w:noBreakHyphen/>
                    <w:t>7.4</w:t>
                  </w:r>
                </w:p>
              </w:tc>
              <w:tc>
                <w:tcPr>
                  <w:tcW w:w="492" w:type="pct"/>
                  <w:tcBorders>
                    <w:top w:val="nil"/>
                    <w:left w:val="nil"/>
                    <w:bottom w:val="single" w:sz="12" w:space="0" w:color="FFFFFF" w:themeColor="background1"/>
                    <w:right w:val="nil"/>
                  </w:tcBorders>
                  <w:shd w:val="clear" w:color="auto" w:fill="E0F1F7" w:themeFill="text2" w:themeFillTint="33"/>
                  <w:vAlign w:val="center"/>
                </w:tcPr>
                <w:p w14:paraId="574192C6" w14:textId="77777777" w:rsidR="006C0AA7" w:rsidRPr="00DA02B0" w:rsidRDefault="006C0AA7" w:rsidP="00B73A1C">
                  <w:pPr>
                    <w:ind w:right="113"/>
                    <w:jc w:val="right"/>
                    <w:rPr>
                      <w:rFonts w:ascii="Arial" w:hAnsi="Arial" w:cs="Arial"/>
                      <w:sz w:val="18"/>
                      <w:szCs w:val="18"/>
                    </w:rPr>
                  </w:pPr>
                  <w:r w:rsidRPr="00DA02B0">
                    <w:rPr>
                      <w:rFonts w:ascii="Arial" w:hAnsi="Arial" w:cs="Arial"/>
                      <w:color w:val="000000"/>
                      <w:sz w:val="18"/>
                      <w:szCs w:val="18"/>
                    </w:rPr>
                    <w:noBreakHyphen/>
                    <w:t>4.9</w:t>
                  </w:r>
                </w:p>
              </w:tc>
            </w:tr>
            <w:tr w:rsidR="00C71AED" w:rsidRPr="009952FD" w14:paraId="1BD8213A"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cBorders>
                  <w:shd w:val="clear" w:color="auto" w:fill="E0F1F7" w:themeFill="text2" w:themeFillTint="33"/>
                  <w:vAlign w:val="bottom"/>
                </w:tcPr>
                <w:p w14:paraId="241039B0"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Other services</w:t>
                  </w:r>
                </w:p>
              </w:tc>
              <w:tc>
                <w:tcPr>
                  <w:tcW w:w="517" w:type="pct"/>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E0F1F7" w:themeFill="text2" w:themeFillTint="33"/>
                  <w:vAlign w:val="center"/>
                </w:tcPr>
                <w:p w14:paraId="1D81D18F" w14:textId="77777777" w:rsidR="00C71AED" w:rsidRPr="00DA02B0" w:rsidRDefault="00C71AED" w:rsidP="00E342E7">
                  <w:pPr>
                    <w:pStyle w:val="TableBodyText"/>
                    <w:rPr>
                      <w:rFonts w:cs="Arial"/>
                      <w:szCs w:val="18"/>
                    </w:rPr>
                  </w:pPr>
                  <w:r w:rsidRPr="00DA02B0">
                    <w:rPr>
                      <w:rFonts w:cs="Arial"/>
                      <w:szCs w:val="18"/>
                    </w:rPr>
                    <w:t>3.3</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18510C68" w14:textId="77777777" w:rsidR="00C71AED" w:rsidRPr="00DA02B0" w:rsidRDefault="00C71AED" w:rsidP="00E342E7">
                  <w:pPr>
                    <w:pStyle w:val="TableBodyText"/>
                    <w:rPr>
                      <w:rFonts w:cs="Arial"/>
                      <w:szCs w:val="18"/>
                    </w:rPr>
                  </w:pPr>
                  <w:r w:rsidRPr="00DA02B0">
                    <w:rPr>
                      <w:rFonts w:cs="Arial"/>
                      <w:szCs w:val="18"/>
                    </w:rPr>
                    <w:t>2.1</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7855A0C2" w14:textId="77777777" w:rsidR="00C71AED" w:rsidRPr="00DA02B0" w:rsidRDefault="00C71AED" w:rsidP="00E342E7">
                  <w:pPr>
                    <w:pStyle w:val="TableBodyText"/>
                    <w:rPr>
                      <w:rFonts w:cs="Arial"/>
                      <w:szCs w:val="18"/>
                    </w:rPr>
                  </w:pPr>
                  <w:r w:rsidRPr="00DA02B0">
                    <w:rPr>
                      <w:rFonts w:cs="Arial"/>
                      <w:szCs w:val="18"/>
                    </w:rPr>
                    <w:t>1.6</w:t>
                  </w:r>
                </w:p>
              </w:tc>
              <w:tc>
                <w:tcPr>
                  <w:tcW w:w="51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vAlign w:val="center"/>
                </w:tcPr>
                <w:p w14:paraId="08052E69" w14:textId="77777777" w:rsidR="00C71AED" w:rsidRPr="00DA02B0" w:rsidRDefault="00C71AED" w:rsidP="00E342E7">
                  <w:pPr>
                    <w:pStyle w:val="TableBodyText"/>
                    <w:rPr>
                      <w:rFonts w:cs="Arial"/>
                      <w:szCs w:val="18"/>
                    </w:rPr>
                  </w:pPr>
                  <w:r w:rsidRPr="00DA02B0">
                    <w:rPr>
                      <w:rFonts w:cs="Arial"/>
                      <w:szCs w:val="18"/>
                    </w:rPr>
                    <w:t>5.8</w:t>
                  </w:r>
                </w:p>
              </w:tc>
              <w:tc>
                <w:tcPr>
                  <w:tcW w:w="610" w:type="pct"/>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E0F1F7" w:themeFill="text2" w:themeFillTint="33"/>
                  <w:vAlign w:val="center"/>
                </w:tcPr>
                <w:p w14:paraId="49D23667" w14:textId="77777777" w:rsidR="00C71AED" w:rsidRPr="00DA02B0" w:rsidRDefault="00C71AED" w:rsidP="00E342E7">
                  <w:pPr>
                    <w:pStyle w:val="TableBodyText"/>
                    <w:rPr>
                      <w:rFonts w:cs="Arial"/>
                      <w:szCs w:val="18"/>
                    </w:rPr>
                  </w:pPr>
                  <w:r w:rsidRPr="00DA02B0">
                    <w:rPr>
                      <w:rFonts w:cs="Arial"/>
                      <w:szCs w:val="18"/>
                    </w:rPr>
                    <w:t>1.7</w:t>
                  </w:r>
                </w:p>
              </w:tc>
              <w:tc>
                <w:tcPr>
                  <w:tcW w:w="492" w:type="pct"/>
                  <w:tcBorders>
                    <w:top w:val="single" w:sz="12" w:space="0" w:color="FFFFFF" w:themeColor="background1"/>
                    <w:left w:val="single" w:sz="12" w:space="0" w:color="FFFFFF"/>
                    <w:bottom w:val="single" w:sz="12" w:space="0" w:color="FFFFFF" w:themeColor="background1"/>
                    <w:right w:val="nil"/>
                  </w:tcBorders>
                  <w:shd w:val="clear" w:color="auto" w:fill="E0F1F7" w:themeFill="text2" w:themeFillTint="33"/>
                  <w:vAlign w:val="center"/>
                </w:tcPr>
                <w:p w14:paraId="207DF978" w14:textId="77777777" w:rsidR="00C71AED" w:rsidRPr="00DA02B0" w:rsidRDefault="00C71AED" w:rsidP="00E342E7">
                  <w:pPr>
                    <w:pStyle w:val="TableBodyText"/>
                    <w:rPr>
                      <w:rFonts w:cs="Arial"/>
                      <w:szCs w:val="18"/>
                    </w:rPr>
                  </w:pPr>
                  <w:r w:rsidRPr="00DA02B0">
                    <w:rPr>
                      <w:rFonts w:cs="Arial"/>
                      <w:szCs w:val="18"/>
                    </w:rPr>
                    <w:t>1.2</w:t>
                  </w:r>
                </w:p>
              </w:tc>
            </w:tr>
            <w:tr w:rsidR="003A141B" w:rsidRPr="009952FD" w14:paraId="2A24712A" w14:textId="77777777" w:rsidTr="00986FD2">
              <w:trPr>
                <w:trHeight w:val="288"/>
              </w:trPr>
              <w:tc>
                <w:tcPr>
                  <w:tcW w:w="5000" w:type="pct"/>
                  <w:gridSpan w:val="7"/>
                  <w:tcBorders>
                    <w:top w:val="single" w:sz="12" w:space="0" w:color="FFFFFF" w:themeColor="background1"/>
                    <w:left w:val="nil"/>
                    <w:bottom w:val="single" w:sz="12" w:space="0" w:color="FFFFFF" w:themeColor="background1"/>
                    <w:right w:val="nil"/>
                  </w:tcBorders>
                  <w:shd w:val="clear" w:color="auto" w:fill="2D9AC2" w:themeFill="text2" w:themeFillShade="BF"/>
                  <w:vAlign w:val="center"/>
                </w:tcPr>
                <w:p w14:paraId="4D7F5D20" w14:textId="77777777" w:rsidR="003A141B" w:rsidRPr="00DA02B0" w:rsidRDefault="003A141B" w:rsidP="00C71AED">
                  <w:pPr>
                    <w:ind w:left="510" w:hanging="340"/>
                    <w:rPr>
                      <w:rFonts w:ascii="Arial" w:hAnsi="Arial" w:cs="Arial"/>
                      <w:b/>
                      <w:iCs/>
                      <w:color w:val="FFFFFF" w:themeColor="background1"/>
                      <w:sz w:val="18"/>
                      <w:szCs w:val="18"/>
                    </w:rPr>
                  </w:pPr>
                  <w:r w:rsidRPr="00DA02B0">
                    <w:rPr>
                      <w:rFonts w:ascii="Arial" w:hAnsi="Arial" w:cs="Arial"/>
                      <w:b/>
                      <w:iCs/>
                      <w:color w:val="FFFFFF" w:themeColor="background1"/>
                      <w:sz w:val="18"/>
                      <w:szCs w:val="18"/>
                    </w:rPr>
                    <w:t>Non market sector (4 industries)</w:t>
                  </w:r>
                </w:p>
              </w:tc>
            </w:tr>
            <w:tr w:rsidR="00C71AED" w:rsidRPr="008F3FFC" w14:paraId="6997F5FC"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5316183F"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Public administration and safety</w:t>
                  </w:r>
                  <w:r w:rsidRPr="00DA02B0">
                    <w:rPr>
                      <w:rStyle w:val="NoteLabel"/>
                      <w:rFonts w:cs="Arial"/>
                      <w:szCs w:val="18"/>
                    </w:rPr>
                    <w:t>a</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1AD0760" w14:textId="77777777" w:rsidR="00C71AED" w:rsidRPr="00DA02B0" w:rsidRDefault="00C71AED" w:rsidP="00C71AED">
                  <w:pPr>
                    <w:ind w:right="113"/>
                    <w:jc w:val="right"/>
                    <w:rPr>
                      <w:rFonts w:ascii="Arial" w:hAnsi="Arial" w:cs="Arial"/>
                      <w:sz w:val="18"/>
                      <w:szCs w:val="18"/>
                    </w:rPr>
                  </w:pPr>
                  <w:r w:rsidRPr="00DA02B0">
                    <w:rPr>
                      <w:rFonts w:ascii="Arial" w:hAnsi="Arial" w:cs="Arial"/>
                      <w:sz w:val="18"/>
                      <w:szCs w:val="18"/>
                    </w:rPr>
                    <w:t>0.1</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3600A33A"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2.3</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182A822"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3.4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C7905CF"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2.8</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69E0876D"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3.5</w:t>
                  </w:r>
                </w:p>
              </w:tc>
              <w:tc>
                <w:tcPr>
                  <w:tcW w:w="492" w:type="pct"/>
                  <w:tcBorders>
                    <w:top w:val="nil"/>
                    <w:left w:val="nil"/>
                    <w:bottom w:val="single" w:sz="12" w:space="0" w:color="FFFFFF"/>
                    <w:right w:val="nil"/>
                  </w:tcBorders>
                  <w:shd w:val="clear" w:color="auto" w:fill="E0F1F7" w:themeFill="text2" w:themeFillTint="33"/>
                  <w:vAlign w:val="center"/>
                </w:tcPr>
                <w:p w14:paraId="65B84766"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2.5</w:t>
                  </w:r>
                </w:p>
              </w:tc>
            </w:tr>
            <w:tr w:rsidR="00C71AED" w:rsidRPr="008F3FFC" w14:paraId="3E1E8B9C"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05C4ADE6"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Education and training</w:t>
                  </w:r>
                  <w:r w:rsidRPr="00DA02B0">
                    <w:rPr>
                      <w:rStyle w:val="NoteLabel"/>
                      <w:rFonts w:cs="Arial"/>
                      <w:szCs w:val="18"/>
                    </w:rPr>
                    <w:t>a</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55012DD" w14:textId="77777777" w:rsidR="00C71AED" w:rsidRPr="00DA02B0" w:rsidRDefault="00C71AED" w:rsidP="00C71AED">
                  <w:pPr>
                    <w:ind w:right="113"/>
                    <w:jc w:val="right"/>
                    <w:rPr>
                      <w:rFonts w:ascii="Arial" w:hAnsi="Arial" w:cs="Arial"/>
                      <w:sz w:val="18"/>
                      <w:szCs w:val="18"/>
                    </w:rPr>
                  </w:pPr>
                  <w:r w:rsidRPr="00DA02B0">
                    <w:rPr>
                      <w:rFonts w:ascii="Arial" w:hAnsi="Arial" w:cs="Arial"/>
                      <w:sz w:val="18"/>
                      <w:szCs w:val="18"/>
                    </w:rPr>
                    <w:t>2.0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BF09EF9"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3.3</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90F8581"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3.4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138197E8"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1.8</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6DAD644A"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1.4</w:t>
                  </w:r>
                </w:p>
              </w:tc>
              <w:tc>
                <w:tcPr>
                  <w:tcW w:w="492" w:type="pct"/>
                  <w:tcBorders>
                    <w:top w:val="nil"/>
                    <w:left w:val="nil"/>
                    <w:bottom w:val="single" w:sz="12" w:space="0" w:color="FFFFFF"/>
                    <w:right w:val="nil"/>
                  </w:tcBorders>
                  <w:shd w:val="clear" w:color="auto" w:fill="E0F1F7" w:themeFill="text2" w:themeFillTint="33"/>
                  <w:vAlign w:val="center"/>
                </w:tcPr>
                <w:p w14:paraId="2FED4FE3"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1.3</w:t>
                  </w:r>
                </w:p>
              </w:tc>
            </w:tr>
            <w:tr w:rsidR="00C71AED" w:rsidRPr="008F3FFC" w14:paraId="0467BDD9"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34DEB8D6"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Health care and social assistance</w:t>
                  </w:r>
                  <w:r w:rsidR="0069778C" w:rsidRPr="00DA02B0">
                    <w:rPr>
                      <w:rStyle w:val="NoteLabel"/>
                      <w:rFonts w:cs="Arial"/>
                      <w:szCs w:val="18"/>
                    </w:rPr>
                    <w:t>a</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F65C96D" w14:textId="77777777" w:rsidR="00C71AED" w:rsidRPr="00DA02B0" w:rsidRDefault="00C71AED" w:rsidP="00C71AED">
                  <w:pPr>
                    <w:ind w:right="113"/>
                    <w:jc w:val="right"/>
                    <w:rPr>
                      <w:rFonts w:ascii="Arial" w:hAnsi="Arial" w:cs="Arial"/>
                      <w:sz w:val="18"/>
                      <w:szCs w:val="18"/>
                    </w:rPr>
                  </w:pPr>
                  <w:r w:rsidRPr="00DA02B0">
                    <w:rPr>
                      <w:rFonts w:ascii="Arial" w:hAnsi="Arial" w:cs="Arial"/>
                      <w:sz w:val="18"/>
                      <w:szCs w:val="18"/>
                    </w:rPr>
                    <w:t>6.1</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5EED32B6"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6.7</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CBF6155"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7.0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505E553"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3.3</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2E3B8D20"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0.9</w:t>
                  </w:r>
                </w:p>
              </w:tc>
              <w:tc>
                <w:tcPr>
                  <w:tcW w:w="492" w:type="pct"/>
                  <w:tcBorders>
                    <w:top w:val="nil"/>
                    <w:left w:val="nil"/>
                    <w:bottom w:val="single" w:sz="12" w:space="0" w:color="FFFFFF"/>
                    <w:right w:val="nil"/>
                  </w:tcBorders>
                  <w:shd w:val="clear" w:color="auto" w:fill="E0F1F7" w:themeFill="text2" w:themeFillTint="33"/>
                  <w:vAlign w:val="center"/>
                </w:tcPr>
                <w:p w14:paraId="3DA1D4A6" w14:textId="77777777" w:rsidR="00C71AED" w:rsidRPr="00DA02B0" w:rsidRDefault="00D33627" w:rsidP="00C71AED">
                  <w:pPr>
                    <w:ind w:right="113"/>
                    <w:jc w:val="right"/>
                    <w:rPr>
                      <w:rFonts w:ascii="Arial" w:hAnsi="Arial" w:cs="Arial"/>
                      <w:sz w:val="18"/>
                      <w:szCs w:val="18"/>
                    </w:rPr>
                  </w:pPr>
                  <w:r w:rsidRPr="00DA02B0">
                    <w:rPr>
                      <w:rFonts w:ascii="Arial" w:hAnsi="Arial" w:cs="Arial"/>
                      <w:color w:val="000000"/>
                      <w:sz w:val="18"/>
                      <w:szCs w:val="18"/>
                    </w:rPr>
                    <w:noBreakHyphen/>
                  </w:r>
                  <w:r w:rsidR="00C71AED" w:rsidRPr="00DA02B0">
                    <w:rPr>
                      <w:rFonts w:ascii="Arial" w:hAnsi="Arial" w:cs="Arial"/>
                      <w:color w:val="000000"/>
                      <w:sz w:val="18"/>
                      <w:szCs w:val="18"/>
                    </w:rPr>
                    <w:t>0.6</w:t>
                  </w:r>
                </w:p>
              </w:tc>
            </w:tr>
            <w:tr w:rsidR="00C71AED" w:rsidRPr="008F3FFC" w14:paraId="7021FA80" w14:textId="77777777" w:rsidTr="001312B7">
              <w:trPr>
                <w:trHeight w:val="288"/>
              </w:trPr>
              <w:tc>
                <w:tcPr>
                  <w:tcW w:w="18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E0F1F7" w:themeFill="text2" w:themeFillTint="33"/>
                  <w:vAlign w:val="bottom"/>
                </w:tcPr>
                <w:p w14:paraId="1AEAE3A2" w14:textId="77777777" w:rsidR="00C71AED" w:rsidRPr="00DA02B0" w:rsidRDefault="00C71AED" w:rsidP="00DA02B0">
                  <w:pPr>
                    <w:ind w:left="453" w:hanging="340"/>
                    <w:rPr>
                      <w:rFonts w:ascii="Arial" w:hAnsi="Arial" w:cs="Arial"/>
                      <w:sz w:val="18"/>
                      <w:szCs w:val="18"/>
                    </w:rPr>
                  </w:pPr>
                  <w:r w:rsidRPr="00DA02B0">
                    <w:rPr>
                      <w:rFonts w:ascii="Arial" w:hAnsi="Arial" w:cs="Arial"/>
                      <w:sz w:val="18"/>
                      <w:szCs w:val="18"/>
                    </w:rPr>
                    <w:t>Ownership of dwellings</w:t>
                  </w:r>
                  <w:proofErr w:type="spellStart"/>
                  <w:r w:rsidRPr="00DA02B0">
                    <w:rPr>
                      <w:rStyle w:val="NoteLabel"/>
                      <w:rFonts w:cs="Arial"/>
                      <w:szCs w:val="18"/>
                    </w:rPr>
                    <w:t>a,b</w:t>
                  </w:r>
                  <w:proofErr w:type="spellEnd"/>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402B815D" w14:textId="77777777" w:rsidR="00C71AED" w:rsidRPr="00DA02B0" w:rsidRDefault="00C71AED" w:rsidP="00C71AED">
                  <w:pPr>
                    <w:ind w:right="113"/>
                    <w:jc w:val="right"/>
                    <w:rPr>
                      <w:rFonts w:ascii="Arial" w:hAnsi="Arial" w:cs="Arial"/>
                      <w:sz w:val="18"/>
                      <w:szCs w:val="18"/>
                    </w:rPr>
                  </w:pPr>
                  <w:r w:rsidRPr="00DA02B0">
                    <w:rPr>
                      <w:rFonts w:ascii="Arial" w:hAnsi="Arial" w:cs="Arial"/>
                      <w:sz w:val="18"/>
                      <w:szCs w:val="18"/>
                    </w:rPr>
                    <w:t>2.4</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600E9983"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1.5</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B24106E"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0.0</w:t>
                  </w:r>
                </w:p>
              </w:tc>
              <w:tc>
                <w:tcPr>
                  <w:tcW w:w="517" w:type="pct"/>
                  <w:tcBorders>
                    <w:top w:val="nil"/>
                    <w:left w:val="nil"/>
                    <w:bottom w:val="single" w:sz="12" w:space="0" w:color="FFFFFF"/>
                    <w:right w:val="single" w:sz="12" w:space="0" w:color="FFFFFF"/>
                  </w:tcBorders>
                  <w:shd w:val="clear" w:color="auto" w:fill="E0F1F7" w:themeFill="text2" w:themeFillTint="33"/>
                  <w:vAlign w:val="center"/>
                </w:tcPr>
                <w:p w14:paraId="21971DA3"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1.5</w:t>
                  </w:r>
                </w:p>
              </w:tc>
              <w:tc>
                <w:tcPr>
                  <w:tcW w:w="610" w:type="pct"/>
                  <w:tcBorders>
                    <w:top w:val="nil"/>
                    <w:left w:val="nil"/>
                    <w:bottom w:val="single" w:sz="12" w:space="0" w:color="FFFFFF"/>
                    <w:right w:val="single" w:sz="12" w:space="0" w:color="FFFFFF"/>
                  </w:tcBorders>
                  <w:shd w:val="clear" w:color="auto" w:fill="E0F1F7" w:themeFill="text2" w:themeFillTint="33"/>
                  <w:vAlign w:val="center"/>
                </w:tcPr>
                <w:p w14:paraId="3D58A93E"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2.4</w:t>
                  </w:r>
                </w:p>
              </w:tc>
              <w:tc>
                <w:tcPr>
                  <w:tcW w:w="492" w:type="pct"/>
                  <w:tcBorders>
                    <w:top w:val="nil"/>
                    <w:left w:val="nil"/>
                    <w:bottom w:val="single" w:sz="12" w:space="0" w:color="FFFFFF"/>
                    <w:right w:val="nil"/>
                  </w:tcBorders>
                  <w:shd w:val="clear" w:color="auto" w:fill="E0F1F7" w:themeFill="text2" w:themeFillTint="33"/>
                  <w:vAlign w:val="center"/>
                </w:tcPr>
                <w:p w14:paraId="0D617DC1" w14:textId="77777777" w:rsidR="00C71AED" w:rsidRPr="00DA02B0" w:rsidRDefault="00C71AED" w:rsidP="00C71AED">
                  <w:pPr>
                    <w:ind w:right="113"/>
                    <w:jc w:val="right"/>
                    <w:rPr>
                      <w:rFonts w:ascii="Arial" w:hAnsi="Arial" w:cs="Arial"/>
                      <w:sz w:val="18"/>
                      <w:szCs w:val="18"/>
                    </w:rPr>
                  </w:pPr>
                  <w:r w:rsidRPr="00DA02B0">
                    <w:rPr>
                      <w:rFonts w:ascii="Arial" w:hAnsi="Arial" w:cs="Arial"/>
                      <w:color w:val="000000"/>
                      <w:sz w:val="18"/>
                      <w:szCs w:val="18"/>
                    </w:rPr>
                    <w:t>0.8</w:t>
                  </w:r>
                </w:p>
              </w:tc>
            </w:tr>
            <w:tr w:rsidR="00C71AED" w:rsidRPr="008F3FFC" w14:paraId="022151B6" w14:textId="77777777" w:rsidTr="00986FD2">
              <w:trPr>
                <w:trHeight w:val="288"/>
              </w:trPr>
              <w:tc>
                <w:tcPr>
                  <w:tcW w:w="1830" w:type="pct"/>
                  <w:tcBorders>
                    <w:top w:val="single" w:sz="12" w:space="0" w:color="FFFFFF" w:themeColor="background1"/>
                    <w:left w:val="nil"/>
                    <w:bottom w:val="nil"/>
                    <w:right w:val="single" w:sz="12" w:space="0" w:color="FFFFFF" w:themeColor="background1"/>
                  </w:tcBorders>
                  <w:shd w:val="clear" w:color="auto" w:fill="A2D6E9" w:themeFill="text2" w:themeFillTint="99"/>
                  <w:vAlign w:val="center"/>
                </w:tcPr>
                <w:p w14:paraId="6293F2D7" w14:textId="77777777" w:rsidR="00C71AED" w:rsidRPr="00DA02B0" w:rsidRDefault="00C71AED" w:rsidP="00DA02B0">
                  <w:pPr>
                    <w:ind w:left="453" w:hanging="340"/>
                    <w:rPr>
                      <w:rFonts w:ascii="Arial" w:hAnsi="Arial" w:cs="Arial"/>
                      <w:b/>
                      <w:bCs/>
                      <w:sz w:val="18"/>
                      <w:szCs w:val="18"/>
                    </w:rPr>
                  </w:pPr>
                  <w:r w:rsidRPr="00DA02B0">
                    <w:rPr>
                      <w:rFonts w:ascii="Arial" w:hAnsi="Arial" w:cs="Arial"/>
                      <w:b/>
                      <w:bCs/>
                      <w:sz w:val="18"/>
                      <w:szCs w:val="18"/>
                    </w:rPr>
                    <w:t>All industries</w:t>
                  </w:r>
                  <w:r w:rsidRPr="00DA02B0">
                    <w:rPr>
                      <w:rStyle w:val="NoteLabel"/>
                      <w:rFonts w:cs="Arial"/>
                      <w:szCs w:val="18"/>
                    </w:rPr>
                    <w:t>c</w:t>
                  </w:r>
                </w:p>
              </w:tc>
              <w:tc>
                <w:tcPr>
                  <w:tcW w:w="517" w:type="pct"/>
                  <w:tcBorders>
                    <w:top w:val="nil"/>
                    <w:left w:val="nil"/>
                    <w:bottom w:val="nil"/>
                    <w:right w:val="single" w:sz="12" w:space="0" w:color="FFFFFF"/>
                  </w:tcBorders>
                  <w:shd w:val="clear" w:color="auto" w:fill="A2D6E9" w:themeFill="text2" w:themeFillTint="99"/>
                  <w:vAlign w:val="center"/>
                </w:tcPr>
                <w:p w14:paraId="60D80323"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sz w:val="18"/>
                      <w:szCs w:val="18"/>
                    </w:rPr>
                    <w:t>2.7</w:t>
                  </w:r>
                </w:p>
              </w:tc>
              <w:tc>
                <w:tcPr>
                  <w:tcW w:w="517" w:type="pct"/>
                  <w:tcBorders>
                    <w:top w:val="nil"/>
                    <w:left w:val="nil"/>
                    <w:bottom w:val="nil"/>
                    <w:right w:val="single" w:sz="12" w:space="0" w:color="FFFFFF"/>
                  </w:tcBorders>
                  <w:shd w:val="clear" w:color="auto" w:fill="A2D6E9" w:themeFill="text2" w:themeFillTint="99"/>
                  <w:vAlign w:val="center"/>
                </w:tcPr>
                <w:p w14:paraId="59FD382B"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color w:val="000000"/>
                      <w:sz w:val="18"/>
                      <w:szCs w:val="18"/>
                    </w:rPr>
                    <w:t>2.3</w:t>
                  </w:r>
                </w:p>
              </w:tc>
              <w:tc>
                <w:tcPr>
                  <w:tcW w:w="517" w:type="pct"/>
                  <w:tcBorders>
                    <w:top w:val="nil"/>
                    <w:left w:val="nil"/>
                    <w:bottom w:val="nil"/>
                    <w:right w:val="single" w:sz="12" w:space="0" w:color="FFFFFF"/>
                  </w:tcBorders>
                  <w:shd w:val="clear" w:color="auto" w:fill="A2D6E9" w:themeFill="text2" w:themeFillTint="99"/>
                  <w:vAlign w:val="center"/>
                </w:tcPr>
                <w:p w14:paraId="6260BD62"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color w:val="000000"/>
                      <w:sz w:val="18"/>
                      <w:szCs w:val="18"/>
                    </w:rPr>
                    <w:t>2.6</w:t>
                  </w:r>
                </w:p>
              </w:tc>
              <w:tc>
                <w:tcPr>
                  <w:tcW w:w="517" w:type="pct"/>
                  <w:tcBorders>
                    <w:top w:val="nil"/>
                    <w:left w:val="nil"/>
                    <w:bottom w:val="nil"/>
                    <w:right w:val="single" w:sz="12" w:space="0" w:color="FFFFFF"/>
                  </w:tcBorders>
                  <w:shd w:val="clear" w:color="auto" w:fill="A2D6E9" w:themeFill="text2" w:themeFillTint="99"/>
                  <w:vAlign w:val="center"/>
                </w:tcPr>
                <w:p w14:paraId="344E4ACB"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color w:val="000000"/>
                      <w:sz w:val="18"/>
                      <w:szCs w:val="18"/>
                    </w:rPr>
                    <w:t>1.9</w:t>
                  </w:r>
                </w:p>
              </w:tc>
              <w:tc>
                <w:tcPr>
                  <w:tcW w:w="610" w:type="pct"/>
                  <w:tcBorders>
                    <w:top w:val="nil"/>
                    <w:left w:val="nil"/>
                    <w:bottom w:val="nil"/>
                    <w:right w:val="single" w:sz="12" w:space="0" w:color="FFFFFF"/>
                  </w:tcBorders>
                  <w:shd w:val="clear" w:color="auto" w:fill="A2D6E9" w:themeFill="text2" w:themeFillTint="99"/>
                  <w:vAlign w:val="center"/>
                </w:tcPr>
                <w:p w14:paraId="3A9820B1"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color w:val="000000"/>
                      <w:sz w:val="18"/>
                      <w:szCs w:val="18"/>
                    </w:rPr>
                    <w:t>0.2</w:t>
                  </w:r>
                </w:p>
              </w:tc>
              <w:tc>
                <w:tcPr>
                  <w:tcW w:w="492" w:type="pct"/>
                  <w:tcBorders>
                    <w:top w:val="nil"/>
                    <w:left w:val="nil"/>
                    <w:bottom w:val="nil"/>
                    <w:right w:val="nil"/>
                  </w:tcBorders>
                  <w:shd w:val="clear" w:color="auto" w:fill="A2D6E9" w:themeFill="text2" w:themeFillTint="99"/>
                  <w:vAlign w:val="center"/>
                </w:tcPr>
                <w:p w14:paraId="792B030F" w14:textId="77777777" w:rsidR="00C71AED" w:rsidRPr="00DA02B0" w:rsidRDefault="00C71AED" w:rsidP="001312B7">
                  <w:pPr>
                    <w:spacing w:after="40"/>
                    <w:ind w:right="113"/>
                    <w:jc w:val="right"/>
                    <w:rPr>
                      <w:rFonts w:ascii="Arial" w:hAnsi="Arial" w:cs="Arial"/>
                      <w:b/>
                      <w:bCs/>
                      <w:sz w:val="18"/>
                      <w:szCs w:val="18"/>
                    </w:rPr>
                  </w:pPr>
                  <w:r w:rsidRPr="00DA02B0">
                    <w:rPr>
                      <w:rFonts w:ascii="Arial" w:hAnsi="Arial" w:cs="Arial"/>
                      <w:b/>
                      <w:bCs/>
                      <w:color w:val="000000"/>
                      <w:sz w:val="18"/>
                      <w:szCs w:val="18"/>
                    </w:rPr>
                    <w:t>0.4</w:t>
                  </w:r>
                </w:p>
              </w:tc>
            </w:tr>
          </w:tbl>
          <w:p w14:paraId="53485EF3" w14:textId="77777777" w:rsidR="00C54961" w:rsidRDefault="00C54961" w:rsidP="00DB60E1">
            <w:pPr>
              <w:pStyle w:val="Box"/>
            </w:pPr>
          </w:p>
        </w:tc>
      </w:tr>
      <w:tr w:rsidR="00C54961" w14:paraId="6910802E" w14:textId="77777777" w:rsidTr="00DB60E1">
        <w:tblPrEx>
          <w:tblLook w:val="04A0" w:firstRow="1" w:lastRow="0" w:firstColumn="1" w:lastColumn="0" w:noHBand="0" w:noVBand="1"/>
        </w:tblPrEx>
        <w:trPr>
          <w:gridAfter w:val="1"/>
          <w:wAfter w:w="13" w:type="dxa"/>
        </w:trPr>
        <w:tc>
          <w:tcPr>
            <w:tcW w:w="8789" w:type="dxa"/>
            <w:tcBorders>
              <w:top w:val="nil"/>
              <w:left w:val="nil"/>
              <w:bottom w:val="nil"/>
              <w:right w:val="nil"/>
            </w:tcBorders>
            <w:hideMark/>
          </w:tcPr>
          <w:p w14:paraId="40C53860" w14:textId="398A3E6A" w:rsidR="00C54961" w:rsidRDefault="00C54961" w:rsidP="0053399F">
            <w:pPr>
              <w:pStyle w:val="Note"/>
            </w:pPr>
            <w:r>
              <w:rPr>
                <w:rStyle w:val="NoteLabel"/>
              </w:rPr>
              <w:t>a</w:t>
            </w:r>
            <w:r>
              <w:t xml:space="preserve"> Capital input growth estimated </w:t>
            </w:r>
            <w:r w:rsidR="00031116">
              <w:t xml:space="preserve">using </w:t>
            </w:r>
            <w:r>
              <w:t xml:space="preserve">the growth in published ABS </w:t>
            </w:r>
            <w:r w:rsidR="00CA4E36">
              <w:t>n</w:t>
            </w:r>
            <w:r>
              <w:t>et capital stock</w:t>
            </w:r>
            <w:r w:rsidR="0053399F">
              <w:t xml:space="preserve"> supplemented by unpublished data on land, inventories and ownership transfer costs </w:t>
            </w:r>
            <w:r w:rsidR="00031116">
              <w:t>(Annex A)</w:t>
            </w:r>
            <w:r>
              <w:t xml:space="preserve">. </w:t>
            </w:r>
            <w:r>
              <w:rPr>
                <w:rStyle w:val="NoteLabel"/>
              </w:rPr>
              <w:t>b</w:t>
            </w:r>
            <w:r>
              <w:t xml:space="preserve"> While it does not employ labour, </w:t>
            </w:r>
            <w:r w:rsidR="00D50954" w:rsidRPr="00E23EEE">
              <w:rPr>
                <w:i/>
              </w:rPr>
              <w:t>o</w:t>
            </w:r>
            <w:r w:rsidRPr="00E23EEE">
              <w:rPr>
                <w:i/>
              </w:rPr>
              <w:t>wnership of dwellings</w:t>
            </w:r>
            <w:r>
              <w:t xml:space="preserve"> makes a positive contribution to </w:t>
            </w:r>
            <w:r w:rsidR="00E0146B">
              <w:t>economy-wide</w:t>
            </w:r>
            <w:r>
              <w:t xml:space="preserve"> labour productivity growth by virtue of its output growth. </w:t>
            </w:r>
            <w:r>
              <w:rPr>
                <w:rStyle w:val="NoteLabel"/>
              </w:rPr>
              <w:t>c</w:t>
            </w:r>
            <w:r>
              <w:t xml:space="preserve"> Average capital input growth across all industries using </w:t>
            </w:r>
            <w:r w:rsidR="0069778C">
              <w:t>capital income</w:t>
            </w:r>
            <w:r>
              <w:t xml:space="preserve"> shares as weights. </w:t>
            </w:r>
          </w:p>
        </w:tc>
      </w:tr>
      <w:tr w:rsidR="00C54961" w14:paraId="11D01585" w14:textId="77777777" w:rsidTr="00DB60E1">
        <w:tc>
          <w:tcPr>
            <w:tcW w:w="8802" w:type="dxa"/>
            <w:gridSpan w:val="2"/>
            <w:tcBorders>
              <w:top w:val="nil"/>
              <w:left w:val="nil"/>
              <w:bottom w:val="nil"/>
              <w:right w:val="nil"/>
            </w:tcBorders>
          </w:tcPr>
          <w:p w14:paraId="39126597" w14:textId="46C930E1" w:rsidR="00C54961" w:rsidRDefault="00C54961" w:rsidP="00AD2B56">
            <w:pPr>
              <w:pStyle w:val="Source"/>
            </w:pPr>
            <w:r>
              <w:rPr>
                <w:i/>
              </w:rPr>
              <w:t>Source</w:t>
            </w:r>
            <w:r w:rsidR="00191FAC">
              <w:rPr>
                <w:i/>
              </w:rPr>
              <w:t>s</w:t>
            </w:r>
            <w:r w:rsidRPr="00167F06">
              <w:t>:</w:t>
            </w:r>
            <w:r w:rsidRPr="00FF557B">
              <w:t xml:space="preserve"> </w:t>
            </w:r>
            <w:r w:rsidR="000014C1" w:rsidRPr="000014C1">
              <w:t xml:space="preserve">Estimates based on: ABS (2018, </w:t>
            </w:r>
            <w:r w:rsidR="000014C1" w:rsidRPr="000014C1">
              <w:rPr>
                <w:i/>
                <w:iCs/>
              </w:rPr>
              <w:t>Australian System of National Accounts</w:t>
            </w:r>
            <w:r w:rsidR="000014C1" w:rsidRPr="000014C1">
              <w:t>, 2017</w:t>
            </w:r>
            <w:r w:rsidR="000014C1" w:rsidRPr="000014C1">
              <w:noBreakHyphen/>
              <w:t>18, Cat. no. 5204.0, tables</w:t>
            </w:r>
            <w:r w:rsidR="000014C1">
              <w:t> </w:t>
            </w:r>
            <w:r w:rsidR="000014C1" w:rsidRPr="000014C1">
              <w:t xml:space="preserve">1, 5, 15, 46 and 58); ABS (2018, </w:t>
            </w:r>
            <w:r w:rsidR="000014C1" w:rsidRPr="000014C1">
              <w:rPr>
                <w:i/>
                <w:iCs/>
              </w:rPr>
              <w:t>Estimates of Industry Multifactor Productivity</w:t>
            </w:r>
            <w:r w:rsidR="000014C1" w:rsidRPr="000014C1">
              <w:t>, 2017</w:t>
            </w:r>
            <w:r w:rsidR="000014C1" w:rsidRPr="000014C1">
              <w:noBreakHyphen/>
              <w:t>18, Cat. no. 5260.0.55.002, tables</w:t>
            </w:r>
            <w:r w:rsidR="000014C1">
              <w:t> </w:t>
            </w:r>
            <w:r w:rsidR="000014C1" w:rsidRPr="000014C1">
              <w:t xml:space="preserve">1, 6 and 14); ABS (6291.0.55.003 </w:t>
            </w:r>
            <w:r w:rsidR="000014C1" w:rsidRPr="000014C1">
              <w:rPr>
                <w:i/>
                <w:iCs/>
              </w:rPr>
              <w:t>Labour Force, Australia, Detailed, Quarterly</w:t>
            </w:r>
            <w:r w:rsidR="000014C1" w:rsidRPr="000014C1">
              <w:t>, Aug 2018, table</w:t>
            </w:r>
            <w:r w:rsidR="000014C1">
              <w:t> </w:t>
            </w:r>
            <w:r w:rsidR="000014C1" w:rsidRPr="000014C1">
              <w:t>11); and ABS (unpublished data).</w:t>
            </w:r>
          </w:p>
        </w:tc>
      </w:tr>
      <w:tr w:rsidR="00C54961" w14:paraId="14ECD600" w14:textId="77777777" w:rsidTr="00DB60E1">
        <w:tc>
          <w:tcPr>
            <w:tcW w:w="8802" w:type="dxa"/>
            <w:gridSpan w:val="2"/>
            <w:tcBorders>
              <w:top w:val="nil"/>
              <w:left w:val="nil"/>
              <w:bottom w:val="single" w:sz="6" w:space="0" w:color="78A22F"/>
              <w:right w:val="nil"/>
            </w:tcBorders>
          </w:tcPr>
          <w:p w14:paraId="76D6439D" w14:textId="77777777" w:rsidR="00C54961" w:rsidRDefault="00C54961" w:rsidP="00DB60E1">
            <w:pPr>
              <w:pStyle w:val="Box"/>
              <w:spacing w:before="0" w:line="120" w:lineRule="exact"/>
            </w:pPr>
          </w:p>
        </w:tc>
      </w:tr>
      <w:tr w:rsidR="00C54961" w:rsidRPr="000863A5" w14:paraId="422673AB" w14:textId="77777777" w:rsidTr="00DB60E1">
        <w:tc>
          <w:tcPr>
            <w:tcW w:w="8802" w:type="dxa"/>
            <w:gridSpan w:val="2"/>
            <w:tcBorders>
              <w:top w:val="single" w:sz="6" w:space="0" w:color="78A22F"/>
              <w:left w:val="nil"/>
              <w:bottom w:val="nil"/>
              <w:right w:val="nil"/>
            </w:tcBorders>
          </w:tcPr>
          <w:p w14:paraId="5CDA6A22" w14:textId="77777777" w:rsidR="00C54961" w:rsidRPr="00626D32" w:rsidRDefault="00C54961" w:rsidP="00DB60E1">
            <w:pPr>
              <w:pStyle w:val="BoxSpaceBelow"/>
            </w:pPr>
          </w:p>
        </w:tc>
      </w:tr>
    </w:tbl>
    <w:p w14:paraId="58302E60" w14:textId="77777777" w:rsidR="00C54961" w:rsidRDefault="00C54961" w:rsidP="00C54961">
      <w:pPr>
        <w:pStyle w:val="BodyText"/>
      </w:pPr>
    </w:p>
    <w:p w14:paraId="4B700F1D" w14:textId="77777777" w:rsidR="00C54961" w:rsidRDefault="00C54961" w:rsidP="00120072">
      <w:pPr>
        <w:pStyle w:val="BodyText"/>
        <w:sectPr w:rsidR="00C54961" w:rsidSect="00D41F5B">
          <w:type w:val="evenPage"/>
          <w:pgSz w:w="11907" w:h="16840" w:code="9"/>
          <w:pgMar w:top="1985" w:right="1304" w:bottom="1247" w:left="1814" w:header="1701" w:footer="397" w:gutter="0"/>
          <w:pgNumType w:chapSep="period"/>
          <w:cols w:space="720"/>
        </w:sectPr>
      </w:pPr>
    </w:p>
    <w:p w14:paraId="25009724" w14:textId="77777777" w:rsidR="00C54961" w:rsidRDefault="00C54961" w:rsidP="00C54961">
      <w:pPr>
        <w:pStyle w:val="Heading1"/>
        <w:spacing w:before="0"/>
      </w:pPr>
      <w:bookmarkStart w:id="20" w:name="_Toc5636659"/>
      <w:bookmarkStart w:id="21" w:name="_Toc5690109"/>
      <w:r>
        <w:lastRenderedPageBreak/>
        <w:t>1</w:t>
      </w:r>
      <w:r>
        <w:tab/>
        <w:t>Recent productivity trends</w:t>
      </w:r>
      <w:bookmarkEnd w:id="20"/>
      <w:bookmarkEnd w:id="21"/>
    </w:p>
    <w:p w14:paraId="22B2FE1F" w14:textId="77777777" w:rsidR="00A33223" w:rsidRPr="00DA02B0" w:rsidRDefault="00A33223" w:rsidP="00DA02B0">
      <w:pPr>
        <w:pStyle w:val="Heading2"/>
        <w:rPr>
          <w:b w:val="0"/>
          <w:sz w:val="24"/>
          <w:szCs w:val="24"/>
        </w:rPr>
      </w:pPr>
      <w:r w:rsidRPr="00DA02B0">
        <w:rPr>
          <w:b w:val="0"/>
          <w:sz w:val="24"/>
          <w:szCs w:val="24"/>
        </w:rPr>
        <w:t>What parts of the economy are we measuring?</w:t>
      </w:r>
    </w:p>
    <w:p w14:paraId="47CBAE06" w14:textId="77777777" w:rsidR="00A33223" w:rsidRDefault="00A33223" w:rsidP="00A33223">
      <w:pPr>
        <w:pStyle w:val="BodyText"/>
      </w:pPr>
      <w:r>
        <w:t>As in past productivity bulletins, this publication gives insights into the most recent productivity trends at a highly aggregated level. Such high</w:t>
      </w:r>
      <w:r>
        <w:noBreakHyphen/>
        <w:t xml:space="preserve">level productivity measures rarely provide guidance to policymakers about </w:t>
      </w:r>
      <w:r w:rsidRPr="006A6B40">
        <w:rPr>
          <w:i/>
        </w:rPr>
        <w:t>specific</w:t>
      </w:r>
      <w:r>
        <w:t xml:space="preserve"> problems to target (for example, initiatives to address efficiency in mining exploration, transmission networks or airports), but they provide a ‘canary in the </w:t>
      </w:r>
      <w:r w:rsidR="00416860">
        <w:t>coal mine</w:t>
      </w:r>
      <w:r>
        <w:t xml:space="preserve">’ warning about whether an economy is dynamically improving or not. Successive years of poor outcomes — as has been typical in many OECD countries in the past decade — prompt reasonable concerns that something is awry in how technology and skills are translated into economic growth. Every new year of </w:t>
      </w:r>
      <w:r w:rsidR="000A2848">
        <w:t xml:space="preserve">information </w:t>
      </w:r>
      <w:r>
        <w:t>is a signpost of whether we are seeing reversion to a longer</w:t>
      </w:r>
      <w:r>
        <w:noBreakHyphen/>
        <w:t>term more positive trend, or the maintenance of stagnation. This is why regular reporting is useful.</w:t>
      </w:r>
    </w:p>
    <w:p w14:paraId="6BDFEFF2" w14:textId="77777777" w:rsidR="00A33223" w:rsidRDefault="00A33223" w:rsidP="00A33223">
      <w:pPr>
        <w:pStyle w:val="BodyText"/>
      </w:pPr>
      <w:r>
        <w:t xml:space="preserve">The most accurate estimates of productivity are for those industries — the market sector — where prices are set in markets, and where it is therefore easier to value output. This publication provides estimates for the two market sectors used by the Australian Bureau of Statistics (ABS) — the 12 and 16 industry sectors — the latter distinguished by the fact that less historical data are available. </w:t>
      </w:r>
    </w:p>
    <w:p w14:paraId="090519F8" w14:textId="1DCBD6AD" w:rsidR="00A33223" w:rsidRPr="00A45F80" w:rsidRDefault="00A33223" w:rsidP="00A33223">
      <w:pPr>
        <w:pStyle w:val="BodyText"/>
        <w:rPr>
          <w:spacing w:val="-4"/>
        </w:rPr>
      </w:pPr>
      <w:r w:rsidRPr="00A45F80">
        <w:rPr>
          <w:spacing w:val="-4"/>
        </w:rPr>
        <w:t xml:space="preserve">However, it is useful to cast the statistical net a little wider. In its </w:t>
      </w:r>
      <w:r w:rsidRPr="00A45F80">
        <w:rPr>
          <w:i/>
          <w:spacing w:val="-4"/>
        </w:rPr>
        <w:t>Shifting the Dial</w:t>
      </w:r>
      <w:r w:rsidRPr="00A45F80">
        <w:rPr>
          <w:spacing w:val="-4"/>
        </w:rPr>
        <w:t xml:space="preserve"> report</w:t>
      </w:r>
      <w:r w:rsidR="006A0FED" w:rsidRPr="00A45F80">
        <w:rPr>
          <w:spacing w:val="-4"/>
        </w:rPr>
        <w:t xml:space="preserve"> </w:t>
      </w:r>
      <w:r w:rsidR="00D96B56" w:rsidRPr="00A45F80">
        <w:rPr>
          <w:spacing w:val="-4"/>
          <w:szCs w:val="24"/>
        </w:rPr>
        <w:t>(PC 2017)</w:t>
      </w:r>
      <w:r w:rsidRPr="00A45F80">
        <w:rPr>
          <w:spacing w:val="-4"/>
        </w:rPr>
        <w:t xml:space="preserve">, the Commission identified substantial opportunities to improve the wellbeing of Australians by improving the effectiveness and efficiency of the </w:t>
      </w:r>
      <w:r w:rsidRPr="00A45F80">
        <w:rPr>
          <w:i/>
          <w:spacing w:val="-4"/>
        </w:rPr>
        <w:t>healthcare and social assistance</w:t>
      </w:r>
      <w:r w:rsidRPr="00A45F80">
        <w:rPr>
          <w:spacing w:val="-4"/>
        </w:rPr>
        <w:t xml:space="preserve">, </w:t>
      </w:r>
      <w:r w:rsidRPr="00A45F80">
        <w:rPr>
          <w:i/>
          <w:spacing w:val="-4"/>
        </w:rPr>
        <w:t>education and training</w:t>
      </w:r>
      <w:r w:rsidRPr="00A45F80">
        <w:rPr>
          <w:spacing w:val="-4"/>
        </w:rPr>
        <w:t xml:space="preserve">, and </w:t>
      </w:r>
      <w:r w:rsidRPr="00A45F80">
        <w:rPr>
          <w:i/>
          <w:spacing w:val="-4"/>
        </w:rPr>
        <w:t>public administration and safety</w:t>
      </w:r>
      <w:r w:rsidRPr="00A45F80">
        <w:rPr>
          <w:spacing w:val="-4"/>
        </w:rPr>
        <w:t xml:space="preserve"> industries. These fall outside the ABS definition of the market sector,</w:t>
      </w:r>
      <w:r w:rsidRPr="00A45F80">
        <w:rPr>
          <w:rStyle w:val="FootnoteReference"/>
          <w:spacing w:val="-4"/>
        </w:rPr>
        <w:t xml:space="preserve"> </w:t>
      </w:r>
      <w:r w:rsidRPr="00A45F80">
        <w:rPr>
          <w:spacing w:val="-4"/>
        </w:rPr>
        <w:t>because there is less evidence about the value of its outputs (for example, improved management of disease). Omitting such industries from the assessment of the overall economic performance of the economy is increasingly problematic given their increasing significance. Whereas the 16 market sector industries accounted for 80 per</w:t>
      </w:r>
      <w:r w:rsidR="008541EB">
        <w:rPr>
          <w:spacing w:val="-4"/>
        </w:rPr>
        <w:t> </w:t>
      </w:r>
      <w:r w:rsidRPr="00A45F80">
        <w:rPr>
          <w:spacing w:val="-4"/>
        </w:rPr>
        <w:t>cent of hours worked in 1999</w:t>
      </w:r>
      <w:r w:rsidRPr="00A45F80">
        <w:rPr>
          <w:spacing w:val="-4"/>
        </w:rPr>
        <w:noBreakHyphen/>
        <w:t>00, this had fallen to 74 </w:t>
      </w:r>
      <w:r w:rsidR="008541EB" w:rsidRPr="00A45F80">
        <w:rPr>
          <w:spacing w:val="-4"/>
        </w:rPr>
        <w:t>per</w:t>
      </w:r>
      <w:r w:rsidR="008541EB">
        <w:rPr>
          <w:spacing w:val="-4"/>
        </w:rPr>
        <w:t> </w:t>
      </w:r>
      <w:r w:rsidRPr="00A45F80">
        <w:rPr>
          <w:spacing w:val="-4"/>
        </w:rPr>
        <w:t>cent by 2017</w:t>
      </w:r>
      <w:r w:rsidRPr="00A45F80">
        <w:rPr>
          <w:spacing w:val="-4"/>
        </w:rPr>
        <w:noBreakHyphen/>
        <w:t xml:space="preserve">18. </w:t>
      </w:r>
    </w:p>
    <w:p w14:paraId="23C1E6BC" w14:textId="3408CCF1" w:rsidR="00A33223" w:rsidRPr="00E73B57" w:rsidRDefault="00A33223" w:rsidP="00A33223">
      <w:pPr>
        <w:pStyle w:val="BodyText"/>
        <w:rPr>
          <w:spacing w:val="-2"/>
          <w:lang w:eastAsia="en-US"/>
        </w:rPr>
      </w:pPr>
      <w:r w:rsidRPr="00E73B57">
        <w:rPr>
          <w:spacing w:val="-2"/>
        </w:rPr>
        <w:t xml:space="preserve">For these reasons, this edition of the </w:t>
      </w:r>
      <w:r w:rsidRPr="00E73B57">
        <w:rPr>
          <w:i/>
          <w:spacing w:val="-2"/>
        </w:rPr>
        <w:t xml:space="preserve">PC Productivity Bulletin </w:t>
      </w:r>
      <w:r w:rsidRPr="00E73B57">
        <w:rPr>
          <w:spacing w:val="-2"/>
        </w:rPr>
        <w:t xml:space="preserve">also considers an </w:t>
      </w:r>
      <w:r w:rsidR="00E0146B" w:rsidRPr="00E73B57">
        <w:rPr>
          <w:spacing w:val="-2"/>
        </w:rPr>
        <w:t>economy-wide</w:t>
      </w:r>
      <w:r w:rsidRPr="00E73B57">
        <w:rPr>
          <w:spacing w:val="-2"/>
        </w:rPr>
        <w:t xml:space="preserve"> perspective. It examines the contributions made by all industries and activities to national production, employment and </w:t>
      </w:r>
      <w:r w:rsidRPr="00E73B57">
        <w:rPr>
          <w:spacing w:val="-2"/>
          <w:lang w:eastAsia="en-US"/>
        </w:rPr>
        <w:t xml:space="preserve">labour productivity as measured by real Gross </w:t>
      </w:r>
      <w:r w:rsidR="000264BD" w:rsidRPr="00E73B57">
        <w:rPr>
          <w:spacing w:val="-2"/>
          <w:lang w:eastAsia="en-US"/>
        </w:rPr>
        <w:t xml:space="preserve">domestic product </w:t>
      </w:r>
      <w:r w:rsidRPr="00E73B57">
        <w:rPr>
          <w:spacing w:val="-2"/>
          <w:lang w:eastAsia="en-US"/>
        </w:rPr>
        <w:t>(GDP) per hour worked.</w:t>
      </w:r>
      <w:r w:rsidRPr="00E73B57">
        <w:rPr>
          <w:rStyle w:val="FootnoteReference"/>
          <w:spacing w:val="-2"/>
        </w:rPr>
        <w:footnoteReference w:id="2"/>
      </w:r>
      <w:r w:rsidRPr="00E73B57">
        <w:rPr>
          <w:spacing w:val="-2"/>
          <w:lang w:eastAsia="en-US"/>
        </w:rPr>
        <w:t xml:space="preserve"> </w:t>
      </w:r>
      <w:r w:rsidR="00AA55BD" w:rsidRPr="00E73B57">
        <w:rPr>
          <w:spacing w:val="-2"/>
          <w:lang w:eastAsia="en-US"/>
        </w:rPr>
        <w:t xml:space="preserve">While this provides a </w:t>
      </w:r>
      <w:r w:rsidR="00D3141A" w:rsidRPr="00E73B57">
        <w:rPr>
          <w:spacing w:val="-2"/>
          <w:lang w:eastAsia="en-US"/>
        </w:rPr>
        <w:t>useful</w:t>
      </w:r>
      <w:r w:rsidR="00AA55BD" w:rsidRPr="00E73B57">
        <w:rPr>
          <w:spacing w:val="-2"/>
          <w:lang w:eastAsia="en-US"/>
        </w:rPr>
        <w:t xml:space="preserve"> overall picture of the </w:t>
      </w:r>
      <w:r w:rsidR="00D3141A" w:rsidRPr="00E73B57">
        <w:rPr>
          <w:spacing w:val="-2"/>
          <w:lang w:eastAsia="en-US"/>
        </w:rPr>
        <w:t xml:space="preserve">productivity </w:t>
      </w:r>
      <w:r w:rsidR="00AA55BD" w:rsidRPr="00E73B57">
        <w:rPr>
          <w:spacing w:val="-2"/>
          <w:lang w:eastAsia="en-US"/>
        </w:rPr>
        <w:lastRenderedPageBreak/>
        <w:t xml:space="preserve">performance </w:t>
      </w:r>
      <w:r w:rsidR="00D3141A" w:rsidRPr="00E73B57">
        <w:rPr>
          <w:spacing w:val="-2"/>
          <w:lang w:eastAsia="en-US"/>
        </w:rPr>
        <w:t>of the economy, it should be noted that m</w:t>
      </w:r>
      <w:r w:rsidRPr="00E73B57">
        <w:rPr>
          <w:spacing w:val="-2"/>
          <w:lang w:eastAsia="en-US"/>
        </w:rPr>
        <w:t xml:space="preserve">easures of productivity at the </w:t>
      </w:r>
      <w:r w:rsidR="00E0146B" w:rsidRPr="00E73B57">
        <w:rPr>
          <w:spacing w:val="-2"/>
          <w:lang w:eastAsia="en-US"/>
        </w:rPr>
        <w:t>economy-wide</w:t>
      </w:r>
      <w:r w:rsidRPr="00E73B57">
        <w:rPr>
          <w:spacing w:val="-2"/>
          <w:lang w:eastAsia="en-US"/>
        </w:rPr>
        <w:t xml:space="preserve"> level are less reliable than those for the market sector </w:t>
      </w:r>
      <w:r w:rsidR="00D3141A" w:rsidRPr="00E73B57">
        <w:rPr>
          <w:spacing w:val="-2"/>
          <w:lang w:eastAsia="en-US"/>
        </w:rPr>
        <w:t xml:space="preserve">alone </w:t>
      </w:r>
      <w:r w:rsidRPr="00E73B57">
        <w:rPr>
          <w:spacing w:val="-2"/>
          <w:lang w:eastAsia="en-US"/>
        </w:rPr>
        <w:t xml:space="preserve">because of the difficulties in measuring outputs where market prices or proxies for them are only partly available. The same difficulties </w:t>
      </w:r>
      <w:r w:rsidR="004F01CB" w:rsidRPr="00E73B57">
        <w:rPr>
          <w:spacing w:val="-2"/>
          <w:lang w:eastAsia="en-US"/>
        </w:rPr>
        <w:t xml:space="preserve">applies less </w:t>
      </w:r>
      <w:r w:rsidRPr="00E73B57">
        <w:rPr>
          <w:spacing w:val="-2"/>
          <w:lang w:eastAsia="en-US"/>
        </w:rPr>
        <w:t>to measures of capital deepening.</w:t>
      </w:r>
    </w:p>
    <w:p w14:paraId="60BD7125" w14:textId="50AB060D" w:rsidR="00A33223" w:rsidRDefault="00A33223" w:rsidP="00A33223">
      <w:pPr>
        <w:pStyle w:val="BodyText"/>
      </w:pPr>
      <w:r>
        <w:rPr>
          <w:lang w:eastAsia="en-US"/>
        </w:rPr>
        <w:t>While this bulletin can only provide an incomplete picture about the performance of the non</w:t>
      </w:r>
      <w:r>
        <w:rPr>
          <w:lang w:eastAsia="en-US"/>
        </w:rPr>
        <w:noBreakHyphen/>
        <w:t>market sector, the ABS is developing measures of output of some key parts of the non</w:t>
      </w:r>
      <w:r>
        <w:rPr>
          <w:lang w:eastAsia="en-US"/>
        </w:rPr>
        <w:noBreakHyphen/>
        <w:t>market sector — with initial analysis on disease</w:t>
      </w:r>
      <w:r>
        <w:rPr>
          <w:lang w:eastAsia="en-US"/>
        </w:rPr>
        <w:noBreakHyphen/>
        <w:t xml:space="preserve">based output measures for hospitals </w:t>
      </w:r>
      <w:r w:rsidR="00B6679E" w:rsidRPr="00B6679E">
        <w:rPr>
          <w:szCs w:val="24"/>
        </w:rPr>
        <w:t>(Luo 2018)</w:t>
      </w:r>
      <w:r>
        <w:rPr>
          <w:lang w:eastAsia="en-US"/>
        </w:rPr>
        <w:t>. Accordingly, several years from now, there should be far richer insights into the performance of the non</w:t>
      </w:r>
      <w:r>
        <w:rPr>
          <w:lang w:eastAsia="en-US"/>
        </w:rPr>
        <w:noBreakHyphen/>
        <w:t>market sector</w:t>
      </w:r>
      <w:r w:rsidR="00D3141A">
        <w:rPr>
          <w:lang w:eastAsia="en-US"/>
        </w:rPr>
        <w:t xml:space="preserve"> and therefore </w:t>
      </w:r>
      <w:r w:rsidR="00E0146B">
        <w:rPr>
          <w:lang w:eastAsia="en-US"/>
        </w:rPr>
        <w:t>economy-wide</w:t>
      </w:r>
      <w:r w:rsidR="00D3141A">
        <w:rPr>
          <w:lang w:eastAsia="en-US"/>
        </w:rPr>
        <w:t xml:space="preserve"> productivity growth</w:t>
      </w:r>
      <w:r>
        <w:rPr>
          <w:lang w:eastAsia="en-US"/>
        </w:rPr>
        <w:t>.</w:t>
      </w:r>
    </w:p>
    <w:p w14:paraId="5EAA70C8" w14:textId="77777777" w:rsidR="00C54961" w:rsidRPr="00DA02B0" w:rsidRDefault="00C54961" w:rsidP="00DA02B0">
      <w:pPr>
        <w:pStyle w:val="Heading2"/>
        <w:rPr>
          <w:b w:val="0"/>
          <w:sz w:val="24"/>
          <w:szCs w:val="24"/>
        </w:rPr>
      </w:pPr>
      <w:r w:rsidRPr="00DA02B0">
        <w:rPr>
          <w:b w:val="0"/>
          <w:sz w:val="24"/>
          <w:szCs w:val="24"/>
        </w:rPr>
        <w:t>Output growth for the Australian economy continues to be robust …</w:t>
      </w:r>
    </w:p>
    <w:p w14:paraId="4BB5886A" w14:textId="6ABF69E1" w:rsidR="00C54961" w:rsidRDefault="00C54961" w:rsidP="00C54961">
      <w:pPr>
        <w:pStyle w:val="BodyText"/>
      </w:pPr>
      <w:r>
        <w:t>The Australian economy continues to perform well across a range of metrics</w:t>
      </w:r>
      <w:r w:rsidRPr="003D0D2C">
        <w:t xml:space="preserve"> </w:t>
      </w:r>
      <w:r>
        <w:t>by international standards.</w:t>
      </w:r>
      <w:r w:rsidR="0089389E">
        <w:t xml:space="preserve"> </w:t>
      </w:r>
      <w:r w:rsidR="00BF6F18">
        <w:t>GDP</w:t>
      </w:r>
      <w:r w:rsidR="00DC052E">
        <w:t xml:space="preserve"> </w:t>
      </w:r>
      <w:r>
        <w:t>grew by 2.</w:t>
      </w:r>
      <w:r w:rsidR="00BF6F18">
        <w:t>8</w:t>
      </w:r>
      <w:r>
        <w:t> p</w:t>
      </w:r>
      <w:r w:rsidR="00BF6F18">
        <w:t>er</w:t>
      </w:r>
      <w:r w:rsidR="00FD5727">
        <w:t> </w:t>
      </w:r>
      <w:r w:rsidR="00BF6F18">
        <w:t>cent in 2017</w:t>
      </w:r>
      <w:r w:rsidR="00BF6F18">
        <w:noBreakHyphen/>
        <w:t xml:space="preserve">18, and </w:t>
      </w:r>
      <w:proofErr w:type="spellStart"/>
      <w:r w:rsidR="00BF6F18">
        <w:t>GVA</w:t>
      </w:r>
      <w:proofErr w:type="spellEnd"/>
      <w:r w:rsidR="00BF6F18">
        <w:t xml:space="preserve"> by 2.7 per cent</w:t>
      </w:r>
      <w:r w:rsidR="00D33627">
        <w:t xml:space="preserve"> </w:t>
      </w:r>
      <w:r w:rsidR="00BF6F18">
        <w:t>(table 1 and figure </w:t>
      </w:r>
      <w:r w:rsidR="00D978FF">
        <w:t>1.</w:t>
      </w:r>
      <w:r w:rsidR="00BF6F18">
        <w:t>1</w:t>
      </w:r>
      <w:r>
        <w:t xml:space="preserve">). This extends the run of uninterrupted growth for the Australian economy to </w:t>
      </w:r>
      <w:r w:rsidRPr="003D0D2C">
        <w:t>2</w:t>
      </w:r>
      <w:r>
        <w:t>7 financial years, an enviable record by world standards. Our last recession was in 1990</w:t>
      </w:r>
      <w:r>
        <w:noBreakHyphen/>
        <w:t>91 financial year.</w:t>
      </w:r>
    </w:p>
    <w:p w14:paraId="0E3F2998" w14:textId="702F50CB" w:rsidR="00C54961" w:rsidRDefault="00C54961" w:rsidP="00C54961">
      <w:pPr>
        <w:pStyle w:val="BodyText"/>
      </w:pPr>
      <w:r>
        <w:t>Against this backdrop, real GDP growth in 2017</w:t>
      </w:r>
      <w:r>
        <w:noBreakHyphen/>
        <w:t xml:space="preserve">18 was on par with the average </w:t>
      </w:r>
      <w:r w:rsidR="00447560">
        <w:t xml:space="preserve">annual </w:t>
      </w:r>
      <w:r>
        <w:t>rate of growth over the previous cycle from 2003</w:t>
      </w:r>
      <w:r>
        <w:noBreakHyphen/>
        <w:t>04 to 2011</w:t>
      </w:r>
      <w:r>
        <w:noBreakHyphen/>
        <w:t>12 (at 2.9 per</w:t>
      </w:r>
      <w:r w:rsidR="00FD5727">
        <w:t> </w:t>
      </w:r>
      <w:r>
        <w:t>cent) and</w:t>
      </w:r>
      <w:r w:rsidRPr="00DE00E7">
        <w:t xml:space="preserve"> </w:t>
      </w:r>
      <w:r>
        <w:t>slightly above the average over the current productivity cycle (at 2.6 </w:t>
      </w:r>
      <w:r w:rsidR="00FD5727">
        <w:t>per </w:t>
      </w:r>
      <w:r>
        <w:t>cent).</w:t>
      </w:r>
    </w:p>
    <w:p w14:paraId="282B72F4" w14:textId="77777777" w:rsidR="00C36F5C" w:rsidRDefault="00C36F5C" w:rsidP="00C36F5C">
      <w:pPr>
        <w:pStyle w:val="BodyText"/>
      </w:pPr>
      <w:r>
        <w:t xml:space="preserve">Growth in national output </w:t>
      </w:r>
      <w:r w:rsidRPr="00197F06">
        <w:t>in 2017</w:t>
      </w:r>
      <w:r>
        <w:noBreakHyphen/>
      </w:r>
      <w:r w:rsidRPr="00197F06">
        <w:t xml:space="preserve">18 </w:t>
      </w:r>
      <w:r>
        <w:t xml:space="preserve">came from a diverse range of industries (table 2). Growth was strongest in the </w:t>
      </w:r>
      <w:r w:rsidRPr="00E7598A">
        <w:rPr>
          <w:i/>
        </w:rPr>
        <w:t>health care and social assistance</w:t>
      </w:r>
      <w:r>
        <w:t xml:space="preserve">, </w:t>
      </w:r>
      <w:r w:rsidRPr="00E7598A">
        <w:rPr>
          <w:i/>
        </w:rPr>
        <w:t>construction</w:t>
      </w:r>
      <w:r>
        <w:t xml:space="preserve">, </w:t>
      </w:r>
      <w:r w:rsidRPr="00E7598A">
        <w:rPr>
          <w:i/>
        </w:rPr>
        <w:t>professional, scientific and technical services</w:t>
      </w:r>
      <w:r>
        <w:t xml:space="preserve">, </w:t>
      </w:r>
      <w:r w:rsidRPr="00E7598A">
        <w:rPr>
          <w:i/>
        </w:rPr>
        <w:t>accommodation and food services</w:t>
      </w:r>
      <w:r>
        <w:t xml:space="preserve">, and </w:t>
      </w:r>
      <w:r w:rsidRPr="00E7598A">
        <w:rPr>
          <w:i/>
        </w:rPr>
        <w:t xml:space="preserve">administrative </w:t>
      </w:r>
      <w:r>
        <w:rPr>
          <w:i/>
        </w:rPr>
        <w:t xml:space="preserve">and </w:t>
      </w:r>
      <w:r w:rsidRPr="00E7598A">
        <w:rPr>
          <w:i/>
        </w:rPr>
        <w:t>support services</w:t>
      </w:r>
      <w:r>
        <w:t xml:space="preserve"> industries. T</w:t>
      </w:r>
      <w:r w:rsidRPr="00197F06">
        <w:t xml:space="preserve">he </w:t>
      </w:r>
      <w:r w:rsidRPr="00AF2D94">
        <w:rPr>
          <w:i/>
        </w:rPr>
        <w:t>manufacturing</w:t>
      </w:r>
      <w:r w:rsidRPr="00197F06">
        <w:t xml:space="preserve"> industry recorded positive output growth </w:t>
      </w:r>
      <w:r>
        <w:t>for the first time since 2011</w:t>
      </w:r>
      <w:r>
        <w:noBreakHyphen/>
      </w:r>
      <w:r w:rsidRPr="00197F06">
        <w:t>12</w:t>
      </w:r>
      <w:r>
        <w:t>. Reflecting the effects of the recent drought, the only industry to record negative output growth in 2017</w:t>
      </w:r>
      <w:r>
        <w:noBreakHyphen/>
        <w:t xml:space="preserve">18 was </w:t>
      </w:r>
      <w:r w:rsidRPr="00E7598A">
        <w:rPr>
          <w:i/>
        </w:rPr>
        <w:t xml:space="preserve">agriculture, forestry </w:t>
      </w:r>
      <w:r>
        <w:rPr>
          <w:i/>
        </w:rPr>
        <w:t>and</w:t>
      </w:r>
      <w:r w:rsidRPr="00E7598A">
        <w:rPr>
          <w:i/>
        </w:rPr>
        <w:t xml:space="preserve"> fishing</w:t>
      </w:r>
      <w:r>
        <w:t xml:space="preserve"> (</w:t>
      </w:r>
      <w:r>
        <w:noBreakHyphen/>
        <w:t>5.2 per</w:t>
      </w:r>
      <w:r w:rsidR="00AA4778">
        <w:t> </w:t>
      </w:r>
      <w:r>
        <w:t>cent).</w:t>
      </w:r>
    </w:p>
    <w:p w14:paraId="25E5C01A" w14:textId="77777777" w:rsidR="00C36F5C" w:rsidRPr="00B66F0E" w:rsidRDefault="00C36F5C" w:rsidP="00C36F5C">
      <w:pPr>
        <w:pStyle w:val="BodyText"/>
        <w:rPr>
          <w:spacing w:val="-2"/>
        </w:rPr>
      </w:pPr>
      <w:r w:rsidRPr="00B66F0E">
        <w:rPr>
          <w:spacing w:val="-2"/>
        </w:rPr>
        <w:t xml:space="preserve">The 2.8 per cent growth in overall output primarily reflects the increase in inputs that occurs in an expanding economy, with the weighted inputs of labour and capital rising by 2.3 per cent. </w:t>
      </w:r>
    </w:p>
    <w:p w14:paraId="7A076787" w14:textId="77777777" w:rsidR="00C36F5C" w:rsidRPr="00DA02B0" w:rsidRDefault="00C36F5C" w:rsidP="00DA02B0">
      <w:pPr>
        <w:pStyle w:val="Heading2"/>
        <w:rPr>
          <w:b w:val="0"/>
          <w:sz w:val="24"/>
          <w:szCs w:val="24"/>
        </w:rPr>
      </w:pPr>
      <w:r w:rsidRPr="00DA02B0">
        <w:rPr>
          <w:b w:val="0"/>
          <w:sz w:val="24"/>
          <w:szCs w:val="24"/>
        </w:rPr>
        <w:t>Capital growth is much lower than the historical norm …</w:t>
      </w:r>
    </w:p>
    <w:p w14:paraId="091BAE31" w14:textId="4C140C05" w:rsidR="00DD280A" w:rsidRDefault="00E0146B" w:rsidP="00C36F5C">
      <w:pPr>
        <w:pStyle w:val="BodyText"/>
      </w:pPr>
      <w:r>
        <w:t>Economy-wide</w:t>
      </w:r>
      <w:r w:rsidR="00C36F5C">
        <w:t xml:space="preserve"> capital input use increased by </w:t>
      </w:r>
      <w:r w:rsidR="00AF2D94">
        <w:t>1.9</w:t>
      </w:r>
      <w:r w:rsidR="00C36F5C">
        <w:t> per</w:t>
      </w:r>
      <w:r w:rsidR="00FD5727">
        <w:t> </w:t>
      </w:r>
      <w:r w:rsidR="00C36F5C">
        <w:t>cent in 2017</w:t>
      </w:r>
      <w:r w:rsidR="00C36F5C">
        <w:noBreakHyphen/>
        <w:t>18 (figure </w:t>
      </w:r>
      <w:r w:rsidR="00AA4778">
        <w:t>1</w:t>
      </w:r>
      <w:r w:rsidR="00D978FF">
        <w:t>.1</w:t>
      </w:r>
      <w:r w:rsidR="005A39EE">
        <w:t xml:space="preserve"> and table 1</w:t>
      </w:r>
      <w:r w:rsidR="00C36F5C">
        <w:t>), following similar increases in the previous two years, but this was well below the historical average</w:t>
      </w:r>
      <w:r w:rsidR="00163E3B">
        <w:t xml:space="preserve"> of 4 per</w:t>
      </w:r>
      <w:r w:rsidR="00FD5727">
        <w:t> </w:t>
      </w:r>
      <w:r w:rsidR="00163E3B">
        <w:t>cent</w:t>
      </w:r>
      <w:r w:rsidR="005A39EE">
        <w:t xml:space="preserve"> from 1974</w:t>
      </w:r>
      <w:r w:rsidR="005A39EE">
        <w:noBreakHyphen/>
        <w:t>75 to 2017</w:t>
      </w:r>
      <w:r w:rsidR="005A39EE">
        <w:noBreakHyphen/>
        <w:t>18 (table 1)</w:t>
      </w:r>
      <w:r w:rsidR="00C36F5C">
        <w:t>. This is troubling because investment typically embody new technologies, which complement people’s skill development and innovation.</w:t>
      </w:r>
      <w:r w:rsidR="00C36F5C" w:rsidDel="00D92512">
        <w:t xml:space="preserve"> </w:t>
      </w:r>
    </w:p>
    <w:p w14:paraId="05F642EE" w14:textId="77777777" w:rsidR="00AD2972" w:rsidRDefault="00AD2972" w:rsidP="0085285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2972" w14:paraId="410FDE73" w14:textId="77777777" w:rsidTr="0085285B">
        <w:trPr>
          <w:tblHeader/>
        </w:trPr>
        <w:tc>
          <w:tcPr>
            <w:tcW w:w="5000" w:type="pct"/>
            <w:tcBorders>
              <w:top w:val="single" w:sz="6" w:space="0" w:color="78A22F"/>
              <w:left w:val="nil"/>
              <w:bottom w:val="nil"/>
              <w:right w:val="nil"/>
            </w:tcBorders>
            <w:shd w:val="clear" w:color="auto" w:fill="auto"/>
          </w:tcPr>
          <w:p w14:paraId="53724F9E" w14:textId="77777777" w:rsidR="00AD2972" w:rsidRDefault="00AD2972" w:rsidP="0085285B">
            <w:pPr>
              <w:pStyle w:val="FigureTitle"/>
            </w:pPr>
            <w:r w:rsidRPr="00784A05">
              <w:rPr>
                <w:b w:val="0"/>
              </w:rPr>
              <w:t xml:space="preserve">Figure </w:t>
            </w:r>
            <w:r w:rsidR="00567785">
              <w:rPr>
                <w:b w:val="0"/>
              </w:rPr>
              <w:t>1.</w:t>
            </w:r>
            <w:r w:rsidR="00AA4778">
              <w:rPr>
                <w:b w:val="0"/>
              </w:rPr>
              <w:t>1</w:t>
            </w:r>
            <w:r>
              <w:tab/>
              <w:t>Output</w:t>
            </w:r>
            <w:r w:rsidR="00561B70">
              <w:t>s, inputs</w:t>
            </w:r>
            <w:r>
              <w:t xml:space="preserve"> and </w:t>
            </w:r>
            <w:r w:rsidR="002E1274">
              <w:t>capital deepening</w:t>
            </w:r>
          </w:p>
          <w:p w14:paraId="63655236" w14:textId="77777777" w:rsidR="00AD2972" w:rsidRPr="00176D3F" w:rsidRDefault="001C30D4" w:rsidP="001C30D4">
            <w:pPr>
              <w:pStyle w:val="Subtitle"/>
            </w:pPr>
            <w:r>
              <w:t>P</w:t>
            </w:r>
            <w:r w:rsidR="00AD2972">
              <w:t>er cent per year</w:t>
            </w:r>
            <w:r w:rsidR="002E1274" w:rsidRPr="002E1274">
              <w:rPr>
                <w:rStyle w:val="NoteLabel"/>
              </w:rPr>
              <w:t>a</w:t>
            </w:r>
          </w:p>
        </w:tc>
      </w:tr>
      <w:tr w:rsidR="00AD2972" w14:paraId="35FC8DF1" w14:textId="77777777" w:rsidTr="0085285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44"/>
              <w:gridCol w:w="4260"/>
            </w:tblGrid>
            <w:tr w:rsidR="0085285B" w:rsidRPr="00B1465D" w14:paraId="57A879A1" w14:textId="77777777" w:rsidTr="0085285B">
              <w:trPr>
                <w:tblHeader/>
                <w:jc w:val="center"/>
              </w:trPr>
              <w:tc>
                <w:tcPr>
                  <w:tcW w:w="2500" w:type="pct"/>
                  <w:tcBorders>
                    <w:top w:val="nil"/>
                    <w:bottom w:val="nil"/>
                  </w:tcBorders>
                </w:tcPr>
                <w:p w14:paraId="18D5ACC9" w14:textId="77777777" w:rsidR="0085285B" w:rsidRPr="00C22700" w:rsidRDefault="006A6B40" w:rsidP="006A6B40">
                  <w:pPr>
                    <w:pStyle w:val="Figure"/>
                    <w:spacing w:before="60" w:after="60"/>
                    <w:rPr>
                      <w:rFonts w:ascii="Arial" w:hAnsi="Arial" w:cs="Arial"/>
                      <w:sz w:val="18"/>
                      <w:szCs w:val="18"/>
                    </w:rPr>
                  </w:pPr>
                  <w:r w:rsidRPr="00C22700">
                    <w:rPr>
                      <w:rFonts w:ascii="Arial" w:hAnsi="Arial" w:cs="Arial"/>
                      <w:sz w:val="18"/>
                      <w:szCs w:val="18"/>
                    </w:rPr>
                    <w:t>O</w:t>
                  </w:r>
                  <w:r w:rsidR="0085285B" w:rsidRPr="00C22700">
                    <w:rPr>
                      <w:rFonts w:ascii="Arial" w:hAnsi="Arial" w:cs="Arial"/>
                      <w:sz w:val="18"/>
                      <w:szCs w:val="18"/>
                    </w:rPr>
                    <w:t>utput</w:t>
                  </w:r>
                  <w:r w:rsidR="00433977" w:rsidRPr="00C22700">
                    <w:rPr>
                      <w:rFonts w:ascii="Arial" w:hAnsi="Arial" w:cs="Arial"/>
                      <w:sz w:val="18"/>
                      <w:szCs w:val="18"/>
                    </w:rPr>
                    <w:t xml:space="preserve"> growth</w:t>
                  </w:r>
                </w:p>
                <w:p w14:paraId="585247AD" w14:textId="287D6A03" w:rsidR="006A6B40" w:rsidRPr="00B1465D" w:rsidRDefault="00763EA3" w:rsidP="006A6B40">
                  <w:pPr>
                    <w:pStyle w:val="Figure"/>
                    <w:spacing w:before="60" w:after="60"/>
                    <w:rPr>
                      <w:rFonts w:ascii="Arial" w:hAnsi="Arial" w:cs="Arial"/>
                      <w:sz w:val="18"/>
                      <w:szCs w:val="18"/>
                    </w:rPr>
                  </w:pPr>
                  <w:r w:rsidRPr="00251CC4">
                    <w:rPr>
                      <w:noProof/>
                    </w:rPr>
                    <w:drawing>
                      <wp:inline distT="0" distB="0" distL="0" distR="0" wp14:anchorId="6E58AB7C" wp14:editId="6A29F6ED">
                        <wp:extent cx="2595600" cy="2491200"/>
                        <wp:effectExtent l="0" t="0" r="0" b="4445"/>
                        <wp:docPr id="23" name="Picture 23" descr="This figure displays information about output and input growth in the national economy, 12 industry market sector, 16 industry market sector and four industry non market sector. The current year is dispalyed with the average rate over the current incomplete cycle from 2011-12 to 2017-18. The figure is divided into four panels. The first panel shows that output growth for the national economy as well as market and non market sectors continues to be robust, growing at closer to 3 per cent annuall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5600" cy="2491200"/>
                                </a:xfrm>
                                <a:prstGeom prst="rect">
                                  <a:avLst/>
                                </a:prstGeom>
                                <a:noFill/>
                                <a:ln>
                                  <a:noFill/>
                                </a:ln>
                              </pic:spPr>
                            </pic:pic>
                          </a:graphicData>
                        </a:graphic>
                      </wp:inline>
                    </w:drawing>
                  </w:r>
                </w:p>
              </w:tc>
              <w:tc>
                <w:tcPr>
                  <w:tcW w:w="2500" w:type="pct"/>
                  <w:tcBorders>
                    <w:top w:val="nil"/>
                    <w:bottom w:val="nil"/>
                  </w:tcBorders>
                </w:tcPr>
                <w:p w14:paraId="67949B93" w14:textId="77777777" w:rsidR="0085285B" w:rsidRPr="00C22700" w:rsidRDefault="006A6B40" w:rsidP="006A6B40">
                  <w:pPr>
                    <w:pStyle w:val="Figure"/>
                    <w:spacing w:before="60" w:after="60"/>
                    <w:rPr>
                      <w:rFonts w:ascii="Arial" w:hAnsi="Arial" w:cs="Arial"/>
                      <w:sz w:val="18"/>
                      <w:szCs w:val="18"/>
                    </w:rPr>
                  </w:pPr>
                  <w:r w:rsidRPr="00C22700">
                    <w:rPr>
                      <w:rFonts w:ascii="Arial" w:hAnsi="Arial" w:cs="Arial"/>
                      <w:sz w:val="18"/>
                      <w:szCs w:val="18"/>
                    </w:rPr>
                    <w:t>C</w:t>
                  </w:r>
                  <w:r w:rsidR="00CE09D7" w:rsidRPr="00C22700">
                    <w:rPr>
                      <w:rFonts w:ascii="Arial" w:hAnsi="Arial" w:cs="Arial"/>
                      <w:sz w:val="18"/>
                      <w:szCs w:val="18"/>
                    </w:rPr>
                    <w:t>apital input</w:t>
                  </w:r>
                  <w:r w:rsidR="00433977" w:rsidRPr="00C22700">
                    <w:rPr>
                      <w:rFonts w:ascii="Arial" w:hAnsi="Arial" w:cs="Arial"/>
                      <w:sz w:val="18"/>
                      <w:szCs w:val="18"/>
                    </w:rPr>
                    <w:t xml:space="preserve"> growth</w:t>
                  </w:r>
                </w:p>
                <w:p w14:paraId="4B214D8A" w14:textId="77777777" w:rsidR="006A6B40" w:rsidRPr="00B1465D" w:rsidRDefault="006A6B40" w:rsidP="006A6B40">
                  <w:pPr>
                    <w:pStyle w:val="Figure"/>
                    <w:spacing w:before="60" w:after="60"/>
                    <w:rPr>
                      <w:rFonts w:ascii="Arial" w:hAnsi="Arial" w:cs="Arial"/>
                      <w:sz w:val="18"/>
                      <w:szCs w:val="18"/>
                    </w:rPr>
                  </w:pPr>
                  <w:r w:rsidRPr="006A6B40">
                    <w:rPr>
                      <w:rFonts w:ascii="Arial" w:hAnsi="Arial" w:cs="Arial"/>
                      <w:noProof/>
                      <w:sz w:val="18"/>
                      <w:szCs w:val="18"/>
                    </w:rPr>
                    <w:drawing>
                      <wp:inline distT="0" distB="0" distL="0" distR="0" wp14:anchorId="4D491D8B" wp14:editId="0711795B">
                        <wp:extent cx="2595600" cy="2491200"/>
                        <wp:effectExtent l="0" t="0" r="0" b="4445"/>
                        <wp:docPr id="3" name="Picture 3" descr="This figure displays information about output and input growth in the national economy, 12 industry market sector, 16 industry market sector and four industry non market sector. The current year is displayed with the average rate over the current incomplete cycle from 2011-12 to 2017-18. The figure is divided into four panels. The second panel shows that the recent capital inputs growth has been subdued (at 2 per cent or less) for the national economy and the market sectors compared to the current cycle average. The non market sector maintains a relatively low but constant growth." title="Capital input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5600" cy="2491200"/>
                                </a:xfrm>
                                <a:prstGeom prst="rect">
                                  <a:avLst/>
                                </a:prstGeom>
                                <a:noFill/>
                                <a:ln>
                                  <a:noFill/>
                                </a:ln>
                              </pic:spPr>
                            </pic:pic>
                          </a:graphicData>
                        </a:graphic>
                      </wp:inline>
                    </w:drawing>
                  </w:r>
                </w:p>
              </w:tc>
            </w:tr>
            <w:tr w:rsidR="0085285B" w:rsidRPr="00B1465D" w14:paraId="5C73E474" w14:textId="77777777" w:rsidTr="0085285B">
              <w:trPr>
                <w:tblHeader/>
                <w:jc w:val="center"/>
              </w:trPr>
              <w:tc>
                <w:tcPr>
                  <w:tcW w:w="2500" w:type="pct"/>
                  <w:tcBorders>
                    <w:top w:val="nil"/>
                    <w:bottom w:val="nil"/>
                  </w:tcBorders>
                </w:tcPr>
                <w:p w14:paraId="754EEECD" w14:textId="77777777" w:rsidR="0085285B" w:rsidRPr="00C22700" w:rsidRDefault="006A6B40" w:rsidP="006A6B40">
                  <w:pPr>
                    <w:pStyle w:val="Figure"/>
                    <w:spacing w:before="60" w:after="60"/>
                    <w:rPr>
                      <w:rFonts w:ascii="Arial" w:hAnsi="Arial" w:cs="Arial"/>
                      <w:sz w:val="18"/>
                      <w:szCs w:val="18"/>
                    </w:rPr>
                  </w:pPr>
                  <w:r w:rsidRPr="00C22700">
                    <w:rPr>
                      <w:rFonts w:ascii="Arial" w:hAnsi="Arial" w:cs="Arial"/>
                      <w:sz w:val="18"/>
                      <w:szCs w:val="18"/>
                    </w:rPr>
                    <w:t>L</w:t>
                  </w:r>
                  <w:r w:rsidR="00CE09D7" w:rsidRPr="00C22700">
                    <w:rPr>
                      <w:rFonts w:ascii="Arial" w:hAnsi="Arial" w:cs="Arial"/>
                      <w:sz w:val="18"/>
                      <w:szCs w:val="18"/>
                    </w:rPr>
                    <w:t>abour input</w:t>
                  </w:r>
                  <w:r w:rsidR="00433977" w:rsidRPr="00C22700">
                    <w:rPr>
                      <w:rFonts w:ascii="Arial" w:hAnsi="Arial" w:cs="Arial"/>
                      <w:sz w:val="18"/>
                      <w:szCs w:val="18"/>
                    </w:rPr>
                    <w:t xml:space="preserve"> growth</w:t>
                  </w:r>
                </w:p>
                <w:p w14:paraId="702C1C17" w14:textId="77777777" w:rsidR="006A6B40" w:rsidRDefault="006A6B40" w:rsidP="006A6B40">
                  <w:pPr>
                    <w:pStyle w:val="Figure"/>
                    <w:spacing w:before="60" w:after="60"/>
                    <w:rPr>
                      <w:rFonts w:ascii="Arial" w:hAnsi="Arial" w:cs="Arial"/>
                      <w:sz w:val="18"/>
                      <w:szCs w:val="18"/>
                    </w:rPr>
                  </w:pPr>
                  <w:r w:rsidRPr="006A6B40">
                    <w:rPr>
                      <w:rFonts w:ascii="Arial" w:hAnsi="Arial" w:cs="Arial"/>
                      <w:noProof/>
                      <w:sz w:val="18"/>
                      <w:szCs w:val="18"/>
                    </w:rPr>
                    <w:drawing>
                      <wp:inline distT="0" distB="0" distL="0" distR="0" wp14:anchorId="43C69B39" wp14:editId="4BE57716">
                        <wp:extent cx="2595600" cy="2491200"/>
                        <wp:effectExtent l="0" t="0" r="0" b="4445"/>
                        <wp:docPr id="4" name="Picture 4" descr="This figure displays information about output and input growth in the national economy, 12 industry market sector, 16 industry market sector and four industry non market sector. The current year is displayed with the average rate over the current incomplete cycle from 2011-12 to 2017-18. The third panel shows a buoyant labour market led to a twofold increase in labour input growth in 2017-18 compared to the average over the current cycle. The growth is shared by all sectors, although proportionately more by the market sectors. " title="Labour input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5600" cy="2491200"/>
                                </a:xfrm>
                                <a:prstGeom prst="rect">
                                  <a:avLst/>
                                </a:prstGeom>
                                <a:noFill/>
                                <a:ln>
                                  <a:noFill/>
                                </a:ln>
                              </pic:spPr>
                            </pic:pic>
                          </a:graphicData>
                        </a:graphic>
                      </wp:inline>
                    </w:drawing>
                  </w:r>
                </w:p>
              </w:tc>
              <w:tc>
                <w:tcPr>
                  <w:tcW w:w="2500" w:type="pct"/>
                  <w:tcBorders>
                    <w:top w:val="nil"/>
                    <w:bottom w:val="nil"/>
                  </w:tcBorders>
                </w:tcPr>
                <w:p w14:paraId="673E94AA" w14:textId="77777777" w:rsidR="0085285B" w:rsidRDefault="006A6B40" w:rsidP="006A6B40">
                  <w:pPr>
                    <w:pStyle w:val="Figure"/>
                    <w:spacing w:before="60" w:after="60"/>
                    <w:rPr>
                      <w:rFonts w:ascii="Arial" w:hAnsi="Arial" w:cs="Arial"/>
                      <w:i/>
                      <w:sz w:val="18"/>
                      <w:szCs w:val="18"/>
                    </w:rPr>
                  </w:pPr>
                  <w:r w:rsidRPr="00C22700">
                    <w:rPr>
                      <w:rFonts w:ascii="Arial" w:hAnsi="Arial" w:cs="Arial"/>
                      <w:sz w:val="18"/>
                      <w:szCs w:val="18"/>
                    </w:rPr>
                    <w:t>Contribution from c</w:t>
                  </w:r>
                  <w:r w:rsidR="00CE09D7" w:rsidRPr="00C22700">
                    <w:rPr>
                      <w:rFonts w:ascii="Arial" w:hAnsi="Arial" w:cs="Arial"/>
                      <w:sz w:val="18"/>
                      <w:szCs w:val="18"/>
                    </w:rPr>
                    <w:t>apital deepening</w:t>
                  </w:r>
                  <w:r w:rsidR="002E1274" w:rsidRPr="007A0D8B">
                    <w:rPr>
                      <w:rStyle w:val="NoteLabel"/>
                    </w:rPr>
                    <w:t>b</w:t>
                  </w:r>
                </w:p>
                <w:p w14:paraId="66DA36C4" w14:textId="77777777" w:rsidR="006A6B40" w:rsidRPr="00684156" w:rsidRDefault="00684156" w:rsidP="006A6B40">
                  <w:pPr>
                    <w:pStyle w:val="Figure"/>
                    <w:spacing w:before="60" w:after="60"/>
                    <w:rPr>
                      <w:rFonts w:ascii="Arial" w:hAnsi="Arial" w:cs="Arial"/>
                      <w:sz w:val="18"/>
                      <w:szCs w:val="18"/>
                    </w:rPr>
                  </w:pPr>
                  <w:r w:rsidRPr="00684156">
                    <w:rPr>
                      <w:rFonts w:ascii="Arial" w:hAnsi="Arial" w:cs="Arial"/>
                      <w:noProof/>
                      <w:sz w:val="18"/>
                      <w:szCs w:val="18"/>
                    </w:rPr>
                    <w:drawing>
                      <wp:inline distT="0" distB="0" distL="0" distR="0" wp14:anchorId="19F8A0BA" wp14:editId="21C3B811">
                        <wp:extent cx="2704103" cy="2449195"/>
                        <wp:effectExtent l="0" t="0" r="1270" b="8255"/>
                        <wp:docPr id="34" name="Picture 34" descr="This figure displays information about output and input growth in the national economy, 12 industry market sector, 16 industry market sector and four industry non market sector. The current year is displayed with the average rate over the current incomplete cycle from 2011-12 to 2017-18. The figure is divided into four panels. The fourth panel shows capital shallowing at all levels of economic activity." title="Contribution from capital dee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747" r="3710"/>
                                <a:stretch/>
                              </pic:blipFill>
                              <pic:spPr bwMode="auto">
                                <a:xfrm>
                                  <a:off x="0" y="0"/>
                                  <a:ext cx="2704403" cy="24494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101B84" w14:textId="77777777" w:rsidR="00AD2972" w:rsidRDefault="00AD2972" w:rsidP="0085285B">
            <w:pPr>
              <w:pStyle w:val="Figure"/>
            </w:pPr>
          </w:p>
        </w:tc>
      </w:tr>
      <w:tr w:rsidR="00AD2972" w:rsidRPr="00176D3F" w14:paraId="47C2E2BA" w14:textId="77777777" w:rsidTr="0085285B">
        <w:tc>
          <w:tcPr>
            <w:tcW w:w="5000" w:type="pct"/>
            <w:tcBorders>
              <w:top w:val="nil"/>
              <w:left w:val="nil"/>
              <w:bottom w:val="nil"/>
              <w:right w:val="nil"/>
            </w:tcBorders>
            <w:shd w:val="clear" w:color="auto" w:fill="auto"/>
          </w:tcPr>
          <w:p w14:paraId="34DE1B1C" w14:textId="77777777" w:rsidR="00AD2972" w:rsidRPr="00176D3F" w:rsidRDefault="00AD2972" w:rsidP="0034640D">
            <w:pPr>
              <w:pStyle w:val="Note"/>
            </w:pPr>
            <w:r>
              <w:rPr>
                <w:rStyle w:val="NoteLabel"/>
              </w:rPr>
              <w:t>a</w:t>
            </w:r>
            <w:r>
              <w:t xml:space="preserve"> </w:t>
            </w:r>
            <w:r w:rsidR="002E1274">
              <w:t>Selected industries comprise the ABS 12</w:t>
            </w:r>
            <w:r w:rsidR="0034640D">
              <w:t> </w:t>
            </w:r>
            <w:r w:rsidR="002E1274">
              <w:t>industry market sector, while the market sector comprise the full ABS 16</w:t>
            </w:r>
            <w:r w:rsidR="0034640D">
              <w:t> </w:t>
            </w:r>
            <w:r w:rsidR="002E1274">
              <w:t>industry market sector</w:t>
            </w:r>
            <w:r>
              <w:t>.</w:t>
            </w:r>
            <w:r w:rsidR="002E1274">
              <w:t xml:space="preserve"> </w:t>
            </w:r>
            <w:r w:rsidR="00C84307">
              <w:t xml:space="preserve">All industry output is </w:t>
            </w:r>
            <w:proofErr w:type="spellStart"/>
            <w:r w:rsidR="00C84307">
              <w:t>GVA</w:t>
            </w:r>
            <w:proofErr w:type="spellEnd"/>
            <w:r w:rsidR="00C84307">
              <w:t xml:space="preserve"> not GDP. </w:t>
            </w:r>
            <w:r w:rsidR="002E1274" w:rsidRPr="00E30E29">
              <w:rPr>
                <w:rStyle w:val="NoteLabel"/>
              </w:rPr>
              <w:t>b</w:t>
            </w:r>
            <w:r w:rsidR="002E1274">
              <w:t xml:space="preserve"> The contribution from capital deepening is the effect on </w:t>
            </w:r>
            <w:r w:rsidR="00163E3B">
              <w:t xml:space="preserve">labour productivity </w:t>
            </w:r>
            <w:r w:rsidR="002E1274">
              <w:t>growth from the change in the capital</w:t>
            </w:r>
            <w:r w:rsidR="002E1274">
              <w:noBreakHyphen/>
              <w:t>labour ratio.</w:t>
            </w:r>
          </w:p>
        </w:tc>
      </w:tr>
      <w:tr w:rsidR="00AD2972" w:rsidRPr="00176D3F" w14:paraId="5E1553F7" w14:textId="77777777" w:rsidTr="0085285B">
        <w:tc>
          <w:tcPr>
            <w:tcW w:w="5000" w:type="pct"/>
            <w:tcBorders>
              <w:top w:val="nil"/>
              <w:left w:val="nil"/>
              <w:bottom w:val="nil"/>
              <w:right w:val="nil"/>
            </w:tcBorders>
            <w:shd w:val="clear" w:color="auto" w:fill="auto"/>
          </w:tcPr>
          <w:p w14:paraId="1A80E672" w14:textId="6796A786" w:rsidR="00AD2972" w:rsidRPr="00A45F80" w:rsidRDefault="00756595" w:rsidP="00685384">
            <w:pPr>
              <w:pStyle w:val="Source"/>
              <w:rPr>
                <w:spacing w:val="-2"/>
              </w:rPr>
            </w:pPr>
            <w:r w:rsidRPr="00A45F80">
              <w:rPr>
                <w:i/>
                <w:spacing w:val="-2"/>
              </w:rPr>
              <w:t>S</w:t>
            </w:r>
            <w:r w:rsidR="00AD2972" w:rsidRPr="00A45F80">
              <w:rPr>
                <w:i/>
                <w:spacing w:val="-2"/>
              </w:rPr>
              <w:t>ource</w:t>
            </w:r>
            <w:r w:rsidR="00D82EC3" w:rsidRPr="00A45F80">
              <w:rPr>
                <w:i/>
                <w:spacing w:val="-2"/>
              </w:rPr>
              <w:t>s</w:t>
            </w:r>
            <w:r w:rsidR="00AD2972" w:rsidRPr="00A45F80">
              <w:rPr>
                <w:spacing w:val="-2"/>
              </w:rPr>
              <w:t xml:space="preserve">: </w:t>
            </w:r>
            <w:r w:rsidR="00E9797A">
              <w:rPr>
                <w:spacing w:val="-2"/>
              </w:rPr>
              <w:t>E</w:t>
            </w:r>
            <w:r w:rsidR="00163E3B" w:rsidRPr="00A45F80">
              <w:rPr>
                <w:spacing w:val="-2"/>
              </w:rPr>
              <w:t xml:space="preserve">stimates based on: </w:t>
            </w:r>
            <w:r w:rsidR="00433977" w:rsidRPr="00A45F80">
              <w:rPr>
                <w:spacing w:val="-2"/>
              </w:rPr>
              <w:t>ABS (</w:t>
            </w:r>
            <w:r w:rsidR="00163E3B" w:rsidRPr="00A45F80">
              <w:rPr>
                <w:spacing w:val="-2"/>
              </w:rPr>
              <w:t xml:space="preserve">2018, </w:t>
            </w:r>
            <w:r w:rsidR="00433977" w:rsidRPr="00A45F80">
              <w:rPr>
                <w:i/>
                <w:spacing w:val="-2"/>
              </w:rPr>
              <w:t>Australian System of National Accounts</w:t>
            </w:r>
            <w:r w:rsidR="00433977" w:rsidRPr="00A45F80">
              <w:rPr>
                <w:spacing w:val="-2"/>
              </w:rPr>
              <w:t>, 2017</w:t>
            </w:r>
            <w:r w:rsidR="00433977" w:rsidRPr="00A45F80">
              <w:rPr>
                <w:spacing w:val="-2"/>
              </w:rPr>
              <w:noBreakHyphen/>
              <w:t>18, Cat.</w:t>
            </w:r>
            <w:r w:rsidR="00981F8A">
              <w:rPr>
                <w:spacing w:val="-2"/>
              </w:rPr>
              <w:t> </w:t>
            </w:r>
            <w:r w:rsidR="00433977" w:rsidRPr="00A45F80">
              <w:rPr>
                <w:spacing w:val="-2"/>
              </w:rPr>
              <w:t>no. 5204.0</w:t>
            </w:r>
            <w:r w:rsidR="00F15997">
              <w:rPr>
                <w:spacing w:val="-2"/>
              </w:rPr>
              <w:t>, tables 1, 5, 15, 46, and 58</w:t>
            </w:r>
            <w:r w:rsidR="00163E3B" w:rsidRPr="00A45F80">
              <w:rPr>
                <w:spacing w:val="-2"/>
              </w:rPr>
              <w:t>)</w:t>
            </w:r>
            <w:r w:rsidR="00433977" w:rsidRPr="00A45F80">
              <w:rPr>
                <w:spacing w:val="-2"/>
              </w:rPr>
              <w:t xml:space="preserve">; </w:t>
            </w:r>
            <w:r w:rsidR="00163E3B" w:rsidRPr="00A45F80">
              <w:rPr>
                <w:spacing w:val="-2"/>
              </w:rPr>
              <w:t xml:space="preserve">ABS (2018, </w:t>
            </w:r>
            <w:r w:rsidR="00433977" w:rsidRPr="00A45F80">
              <w:rPr>
                <w:i/>
                <w:spacing w:val="-2"/>
              </w:rPr>
              <w:t>Estimates of Industry Multifactor Productivity</w:t>
            </w:r>
            <w:r w:rsidR="00433977" w:rsidRPr="00A45F80">
              <w:rPr>
                <w:spacing w:val="-2"/>
              </w:rPr>
              <w:t>, 2017</w:t>
            </w:r>
            <w:r w:rsidR="00433977" w:rsidRPr="00A45F80">
              <w:rPr>
                <w:spacing w:val="-2"/>
              </w:rPr>
              <w:noBreakHyphen/>
              <w:t>18, Cat.</w:t>
            </w:r>
            <w:r w:rsidR="00A17F13">
              <w:rPr>
                <w:spacing w:val="-2"/>
              </w:rPr>
              <w:t> </w:t>
            </w:r>
            <w:r w:rsidR="00433977" w:rsidRPr="00A45F80">
              <w:rPr>
                <w:spacing w:val="-2"/>
              </w:rPr>
              <w:t>no. 5260.0.55.002</w:t>
            </w:r>
            <w:r w:rsidR="00F15997">
              <w:rPr>
                <w:spacing w:val="-2"/>
              </w:rPr>
              <w:t>, tables 10 and 14</w:t>
            </w:r>
            <w:r w:rsidR="00163E3B" w:rsidRPr="00A45F80">
              <w:rPr>
                <w:spacing w:val="-2"/>
              </w:rPr>
              <w:t>)</w:t>
            </w:r>
            <w:r w:rsidR="00433977" w:rsidRPr="00A45F80">
              <w:rPr>
                <w:spacing w:val="-2"/>
              </w:rPr>
              <w:t xml:space="preserve">; </w:t>
            </w:r>
            <w:r w:rsidR="00163E3B" w:rsidRPr="00A45F80">
              <w:rPr>
                <w:spacing w:val="-2"/>
              </w:rPr>
              <w:t xml:space="preserve">ABS (2018, </w:t>
            </w:r>
            <w:r w:rsidR="00433977" w:rsidRPr="00A45F80">
              <w:rPr>
                <w:i/>
                <w:spacing w:val="-2"/>
              </w:rPr>
              <w:t xml:space="preserve">Labour Force, Australia, </w:t>
            </w:r>
            <w:r w:rsidR="00685384">
              <w:rPr>
                <w:i/>
                <w:spacing w:val="-2"/>
              </w:rPr>
              <w:t>Detailed Quarterly</w:t>
            </w:r>
            <w:r w:rsidR="00685384" w:rsidRPr="00685384">
              <w:rPr>
                <w:spacing w:val="-2"/>
              </w:rPr>
              <w:t>,</w:t>
            </w:r>
            <w:r w:rsidR="00685384">
              <w:rPr>
                <w:i/>
                <w:spacing w:val="-2"/>
              </w:rPr>
              <w:t xml:space="preserve"> </w:t>
            </w:r>
            <w:r w:rsidR="00685384">
              <w:rPr>
                <w:spacing w:val="-2"/>
              </w:rPr>
              <w:t>Aug</w:t>
            </w:r>
            <w:r w:rsidR="00433977" w:rsidRPr="00F15997">
              <w:rPr>
                <w:spacing w:val="-2"/>
              </w:rPr>
              <w:t> 2018</w:t>
            </w:r>
            <w:r w:rsidR="00433977" w:rsidRPr="00A45F80">
              <w:rPr>
                <w:spacing w:val="-2"/>
              </w:rPr>
              <w:t>, Cat</w:t>
            </w:r>
            <w:r w:rsidR="00A17F13">
              <w:rPr>
                <w:spacing w:val="-2"/>
              </w:rPr>
              <w:t> </w:t>
            </w:r>
            <w:r w:rsidR="00433977" w:rsidRPr="00A45F80">
              <w:rPr>
                <w:spacing w:val="-2"/>
              </w:rPr>
              <w:t>no. 6202.0</w:t>
            </w:r>
            <w:r w:rsidR="00F15997">
              <w:rPr>
                <w:spacing w:val="-2"/>
              </w:rPr>
              <w:t>, table 11</w:t>
            </w:r>
            <w:r w:rsidR="00433977" w:rsidRPr="00A45F80">
              <w:rPr>
                <w:spacing w:val="-2"/>
              </w:rPr>
              <w:t xml:space="preserve">); </w:t>
            </w:r>
            <w:r w:rsidR="00163E3B" w:rsidRPr="00A45F80">
              <w:rPr>
                <w:spacing w:val="-2"/>
              </w:rPr>
              <w:t xml:space="preserve">and </w:t>
            </w:r>
            <w:r w:rsidR="006E09FC" w:rsidRPr="00A45F80">
              <w:rPr>
                <w:spacing w:val="-2"/>
              </w:rPr>
              <w:t>ABS</w:t>
            </w:r>
            <w:r w:rsidR="00433977" w:rsidRPr="00A45F80">
              <w:rPr>
                <w:spacing w:val="-2"/>
              </w:rPr>
              <w:t xml:space="preserve"> </w:t>
            </w:r>
            <w:r w:rsidR="00163E3B" w:rsidRPr="00A45F80">
              <w:rPr>
                <w:spacing w:val="-2"/>
              </w:rPr>
              <w:t>(</w:t>
            </w:r>
            <w:r w:rsidR="00433977" w:rsidRPr="00A45F80">
              <w:rPr>
                <w:spacing w:val="-2"/>
              </w:rPr>
              <w:t>unpublished data</w:t>
            </w:r>
            <w:r w:rsidR="00163E3B" w:rsidRPr="00A45F80">
              <w:rPr>
                <w:spacing w:val="-2"/>
              </w:rPr>
              <w:t>)</w:t>
            </w:r>
            <w:r w:rsidR="00433977" w:rsidRPr="00A45F80">
              <w:rPr>
                <w:spacing w:val="-2"/>
              </w:rPr>
              <w:t>.</w:t>
            </w:r>
          </w:p>
        </w:tc>
      </w:tr>
      <w:tr w:rsidR="00AD2972" w14:paraId="711DF827" w14:textId="77777777" w:rsidTr="0085285B">
        <w:tc>
          <w:tcPr>
            <w:tcW w:w="5000" w:type="pct"/>
            <w:tcBorders>
              <w:top w:val="nil"/>
              <w:left w:val="nil"/>
              <w:bottom w:val="single" w:sz="6" w:space="0" w:color="78A22F"/>
              <w:right w:val="nil"/>
            </w:tcBorders>
            <w:shd w:val="clear" w:color="auto" w:fill="auto"/>
          </w:tcPr>
          <w:p w14:paraId="73431F8A" w14:textId="77777777" w:rsidR="00AD2972" w:rsidRDefault="00AD2972" w:rsidP="0085285B">
            <w:pPr>
              <w:pStyle w:val="Figurespace"/>
            </w:pPr>
          </w:p>
        </w:tc>
      </w:tr>
      <w:tr w:rsidR="00AD2972" w:rsidRPr="000863A5" w14:paraId="31BAEB44" w14:textId="77777777" w:rsidTr="0085285B">
        <w:tc>
          <w:tcPr>
            <w:tcW w:w="5000" w:type="pct"/>
            <w:tcBorders>
              <w:top w:val="single" w:sz="6" w:space="0" w:color="78A22F"/>
              <w:left w:val="nil"/>
              <w:bottom w:val="nil"/>
              <w:right w:val="nil"/>
            </w:tcBorders>
          </w:tcPr>
          <w:p w14:paraId="25C5D64C" w14:textId="77777777" w:rsidR="00AD2972" w:rsidRPr="00626D32" w:rsidRDefault="00AD2972" w:rsidP="0085285B">
            <w:pPr>
              <w:pStyle w:val="BoxSpaceBelow"/>
            </w:pPr>
          </w:p>
        </w:tc>
      </w:tr>
    </w:tbl>
    <w:p w14:paraId="6AE05862" w14:textId="77777777" w:rsidR="00DD280A" w:rsidRDefault="00DD280A" w:rsidP="00DD280A">
      <w:pPr>
        <w:pStyle w:val="BodyText"/>
      </w:pPr>
      <w:r>
        <w:t xml:space="preserve">This is especially so for investment in research and development, where capital stocks are now falling, and even more so, new investment (figure 1.2). Growth in R&amp;D capital formation is even more subdued than capital formation generally, so that the R&amp;D investment share of total investment has also fallen. The share of businesses that are innovators — which goes beyond R&amp;D spending — is no longer growing. There is also </w:t>
      </w:r>
      <w:r>
        <w:lastRenderedPageBreak/>
        <w:t>some evidence that investment in performance assessment within business — a key feature of good management — is also declining.</w:t>
      </w:r>
      <w:r w:rsidRPr="007A5DC9">
        <w:rPr>
          <w:rStyle w:val="FootnoteReference"/>
        </w:rPr>
        <w:footnoteReference w:id="3"/>
      </w:r>
    </w:p>
    <w:p w14:paraId="3BAB88C9" w14:textId="77777777" w:rsidR="00DD280A" w:rsidRDefault="00DD280A" w:rsidP="00DD280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280A" w14:paraId="4D5404C0" w14:textId="77777777" w:rsidTr="0099706E">
        <w:trPr>
          <w:tblHeader/>
        </w:trPr>
        <w:tc>
          <w:tcPr>
            <w:tcW w:w="5000" w:type="pct"/>
            <w:tcBorders>
              <w:top w:val="single" w:sz="6" w:space="0" w:color="78A22F"/>
              <w:left w:val="nil"/>
              <w:bottom w:val="nil"/>
              <w:right w:val="nil"/>
            </w:tcBorders>
            <w:shd w:val="clear" w:color="auto" w:fill="auto"/>
          </w:tcPr>
          <w:p w14:paraId="3EAB5120" w14:textId="77777777" w:rsidR="00DD280A" w:rsidRPr="00176D3F" w:rsidRDefault="00DD280A" w:rsidP="0099706E">
            <w:pPr>
              <w:pStyle w:val="FigureTitle"/>
            </w:pPr>
            <w:r w:rsidRPr="00784A05">
              <w:rPr>
                <w:b w:val="0"/>
              </w:rPr>
              <w:t xml:space="preserve">Figure </w:t>
            </w:r>
            <w:r>
              <w:rPr>
                <w:b w:val="0"/>
              </w:rPr>
              <w:t>1.2</w:t>
            </w:r>
            <w:r>
              <w:tab/>
              <w:t>Innovative activity appears to have stalled</w:t>
            </w:r>
          </w:p>
        </w:tc>
      </w:tr>
      <w:tr w:rsidR="00DD280A" w14:paraId="69758456" w14:textId="77777777" w:rsidTr="0099706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74"/>
              <w:gridCol w:w="4230"/>
            </w:tblGrid>
            <w:tr w:rsidR="00DD280A" w:rsidRPr="00B1465D" w14:paraId="77C63AD1" w14:textId="77777777" w:rsidTr="0099706E">
              <w:trPr>
                <w:tblHeader/>
                <w:jc w:val="center"/>
              </w:trPr>
              <w:tc>
                <w:tcPr>
                  <w:tcW w:w="2500" w:type="pct"/>
                  <w:tcBorders>
                    <w:top w:val="nil"/>
                    <w:bottom w:val="nil"/>
                  </w:tcBorders>
                </w:tcPr>
                <w:p w14:paraId="2B472892" w14:textId="77777777" w:rsidR="00DD280A" w:rsidRPr="00B1465D" w:rsidRDefault="00DD280A" w:rsidP="0099706E">
                  <w:pPr>
                    <w:pStyle w:val="Figure"/>
                    <w:spacing w:before="60" w:after="60"/>
                    <w:rPr>
                      <w:rFonts w:ascii="Arial" w:hAnsi="Arial" w:cs="Arial"/>
                      <w:sz w:val="18"/>
                      <w:szCs w:val="18"/>
                    </w:rPr>
                  </w:pPr>
                  <w:r>
                    <w:rPr>
                      <w:rFonts w:ascii="Arial" w:hAnsi="Arial" w:cs="Arial"/>
                      <w:sz w:val="18"/>
                      <w:szCs w:val="18"/>
                    </w:rPr>
                    <w:t>Share of firms that introduced or implemented innovation, 2006</w:t>
                  </w:r>
                  <w:r>
                    <w:rPr>
                      <w:rFonts w:ascii="Arial" w:hAnsi="Arial" w:cs="Arial"/>
                      <w:sz w:val="18"/>
                      <w:szCs w:val="18"/>
                    </w:rPr>
                    <w:noBreakHyphen/>
                    <w:t>07 to 2016</w:t>
                  </w:r>
                  <w:r>
                    <w:rPr>
                      <w:rFonts w:ascii="Arial" w:hAnsi="Arial" w:cs="Arial"/>
                      <w:sz w:val="18"/>
                      <w:szCs w:val="18"/>
                    </w:rPr>
                    <w:noBreakHyphen/>
                    <w:t>17 (per cent)</w:t>
                  </w:r>
                  <w:r w:rsidR="006F2D8F" w:rsidRPr="006F2D8F">
                    <w:rPr>
                      <w:rStyle w:val="NoteLabel"/>
                    </w:rPr>
                    <w:t>a</w:t>
                  </w:r>
                </w:p>
              </w:tc>
              <w:tc>
                <w:tcPr>
                  <w:tcW w:w="2500" w:type="pct"/>
                  <w:tcBorders>
                    <w:top w:val="nil"/>
                    <w:bottom w:val="nil"/>
                  </w:tcBorders>
                </w:tcPr>
                <w:p w14:paraId="63EC3550" w14:textId="77777777" w:rsidR="00DD280A" w:rsidRPr="00B1465D" w:rsidRDefault="00DD280A" w:rsidP="006F2D8F">
                  <w:pPr>
                    <w:pStyle w:val="Figure"/>
                    <w:spacing w:before="60" w:after="60"/>
                    <w:rPr>
                      <w:rFonts w:ascii="Arial" w:hAnsi="Arial" w:cs="Arial"/>
                      <w:sz w:val="18"/>
                      <w:szCs w:val="18"/>
                    </w:rPr>
                  </w:pPr>
                  <w:r>
                    <w:rPr>
                      <w:rFonts w:ascii="Arial" w:hAnsi="Arial" w:cs="Arial"/>
                      <w:sz w:val="18"/>
                      <w:szCs w:val="18"/>
                    </w:rPr>
                    <w:t>Investment in research and development,</w:t>
                  </w:r>
                  <w:r>
                    <w:rPr>
                      <w:rFonts w:ascii="Arial" w:hAnsi="Arial" w:cs="Arial"/>
                      <w:sz w:val="18"/>
                      <w:szCs w:val="18"/>
                    </w:rPr>
                    <w:br/>
                    <w:t>2006</w:t>
                  </w:r>
                  <w:r>
                    <w:rPr>
                      <w:rFonts w:ascii="Arial" w:hAnsi="Arial" w:cs="Arial"/>
                      <w:sz w:val="18"/>
                      <w:szCs w:val="18"/>
                    </w:rPr>
                    <w:noBreakHyphen/>
                    <w:t>07 to 2017</w:t>
                  </w:r>
                  <w:r>
                    <w:rPr>
                      <w:rFonts w:ascii="Arial" w:hAnsi="Arial" w:cs="Arial"/>
                      <w:sz w:val="18"/>
                      <w:szCs w:val="18"/>
                    </w:rPr>
                    <w:noBreakHyphen/>
                    <w:t>18 (index 2006</w:t>
                  </w:r>
                  <w:r>
                    <w:rPr>
                      <w:rFonts w:ascii="Arial" w:hAnsi="Arial" w:cs="Arial"/>
                      <w:sz w:val="18"/>
                      <w:szCs w:val="18"/>
                    </w:rPr>
                    <w:noBreakHyphen/>
                    <w:t>07=100)</w:t>
                  </w:r>
                  <w:r w:rsidR="006F2D8F">
                    <w:rPr>
                      <w:rStyle w:val="NoteLabel"/>
                    </w:rPr>
                    <w:t>b</w:t>
                  </w:r>
                </w:p>
              </w:tc>
            </w:tr>
            <w:tr w:rsidR="00DD280A" w:rsidRPr="00B1465D" w14:paraId="78072999" w14:textId="77777777" w:rsidTr="0099706E">
              <w:trPr>
                <w:tblHeader/>
                <w:jc w:val="center"/>
              </w:trPr>
              <w:tc>
                <w:tcPr>
                  <w:tcW w:w="2500" w:type="pct"/>
                  <w:tcBorders>
                    <w:top w:val="nil"/>
                    <w:bottom w:val="nil"/>
                  </w:tcBorders>
                </w:tcPr>
                <w:p w14:paraId="0ACB4E54" w14:textId="77777777" w:rsidR="00DD280A" w:rsidRDefault="00DD280A" w:rsidP="0099706E">
                  <w:pPr>
                    <w:pStyle w:val="Figure"/>
                    <w:spacing w:before="60" w:after="60"/>
                    <w:rPr>
                      <w:rFonts w:ascii="Arial" w:hAnsi="Arial" w:cs="Arial"/>
                      <w:sz w:val="18"/>
                      <w:szCs w:val="18"/>
                    </w:rPr>
                  </w:pPr>
                  <w:r w:rsidRPr="00C136D7">
                    <w:rPr>
                      <w:rFonts w:ascii="Arial" w:hAnsi="Arial" w:cs="Arial"/>
                      <w:noProof/>
                      <w:sz w:val="18"/>
                      <w:szCs w:val="18"/>
                    </w:rPr>
                    <w:drawing>
                      <wp:inline distT="0" distB="0" distL="0" distR="0" wp14:anchorId="50A328A7" wp14:editId="1E5B6882">
                        <wp:extent cx="2714400" cy="2340000"/>
                        <wp:effectExtent l="0" t="0" r="0" b="3175"/>
                        <wp:docPr id="14" name="Picture 14" descr="This figure consists of two panels showing that innovation and R&amp;D activities seem to have stalled since 2006-07. The first panel shows that the share of innovative firms appears to have stalled. " title="Share of firms that introduced or implemented innovation, 2006-07 to 2016-17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14400" cy="2340000"/>
                                </a:xfrm>
                                <a:prstGeom prst="rect">
                                  <a:avLst/>
                                </a:prstGeom>
                                <a:noFill/>
                                <a:ln>
                                  <a:noFill/>
                                </a:ln>
                              </pic:spPr>
                            </pic:pic>
                          </a:graphicData>
                        </a:graphic>
                      </wp:inline>
                    </w:drawing>
                  </w:r>
                </w:p>
              </w:tc>
              <w:tc>
                <w:tcPr>
                  <w:tcW w:w="2500" w:type="pct"/>
                  <w:tcBorders>
                    <w:top w:val="nil"/>
                    <w:bottom w:val="nil"/>
                  </w:tcBorders>
                </w:tcPr>
                <w:p w14:paraId="34889D4C" w14:textId="77777777" w:rsidR="00DD280A" w:rsidRPr="00B1465D" w:rsidRDefault="00DD280A" w:rsidP="0099706E">
                  <w:pPr>
                    <w:pStyle w:val="Figure"/>
                    <w:spacing w:before="60" w:after="60"/>
                    <w:rPr>
                      <w:rFonts w:ascii="Arial" w:hAnsi="Arial" w:cs="Arial"/>
                      <w:sz w:val="18"/>
                      <w:szCs w:val="18"/>
                    </w:rPr>
                  </w:pPr>
                  <w:r w:rsidRPr="00C136D7">
                    <w:rPr>
                      <w:rFonts w:ascii="Arial" w:hAnsi="Arial" w:cs="Arial"/>
                      <w:noProof/>
                      <w:sz w:val="18"/>
                      <w:szCs w:val="18"/>
                    </w:rPr>
                    <w:drawing>
                      <wp:inline distT="0" distB="0" distL="0" distR="0" wp14:anchorId="33C514E6" wp14:editId="2ABF94F2">
                        <wp:extent cx="2667000" cy="2339340"/>
                        <wp:effectExtent l="0" t="0" r="0" b="3810"/>
                        <wp:docPr id="8" name="Picture 8" descr="This figure consists of two panels showing that innovation and R&amp;D activities seem to have stalled since 2006-07. The second panel shows that while both R&amp;D capital stock and investment have been falling, the fall is more pronounced for R&amp;D investment." title="Investment in research and development, 2006-07 to 2017-18 (index 2006-0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r>
          </w:tbl>
          <w:p w14:paraId="45D3CD3D" w14:textId="77777777" w:rsidR="00DD280A" w:rsidRDefault="00DD280A" w:rsidP="0099706E">
            <w:pPr>
              <w:pStyle w:val="Figure"/>
            </w:pPr>
          </w:p>
        </w:tc>
      </w:tr>
      <w:tr w:rsidR="00DD280A" w:rsidRPr="00176D3F" w14:paraId="51DF9C69" w14:textId="77777777" w:rsidTr="0099706E">
        <w:tc>
          <w:tcPr>
            <w:tcW w:w="5000" w:type="pct"/>
            <w:tcBorders>
              <w:top w:val="nil"/>
              <w:left w:val="nil"/>
              <w:bottom w:val="nil"/>
              <w:right w:val="nil"/>
            </w:tcBorders>
            <w:shd w:val="clear" w:color="auto" w:fill="auto"/>
          </w:tcPr>
          <w:p w14:paraId="5C62B5A7" w14:textId="77777777" w:rsidR="00DD280A" w:rsidRPr="00176D3F" w:rsidRDefault="00DD280A" w:rsidP="006F2D8F">
            <w:pPr>
              <w:pStyle w:val="Note"/>
            </w:pPr>
            <w:r>
              <w:rPr>
                <w:rStyle w:val="NoteLabel"/>
              </w:rPr>
              <w:t>a </w:t>
            </w:r>
            <w:r>
              <w:t xml:space="preserve">Data for innovation </w:t>
            </w:r>
            <w:r w:rsidR="000A2848">
              <w:t xml:space="preserve">were </w:t>
            </w:r>
            <w:r>
              <w:t>not available for 2017</w:t>
            </w:r>
            <w:r>
              <w:noBreakHyphen/>
              <w:t>18.</w:t>
            </w:r>
            <w:r w:rsidR="006F2D8F">
              <w:t xml:space="preserve"> </w:t>
            </w:r>
            <w:r w:rsidR="006F2D8F">
              <w:rPr>
                <w:rStyle w:val="NoteLabel"/>
              </w:rPr>
              <w:t>b </w:t>
            </w:r>
            <w:r w:rsidR="006F2D8F">
              <w:t>Chain volume estimates.</w:t>
            </w:r>
          </w:p>
        </w:tc>
      </w:tr>
      <w:tr w:rsidR="00DD280A" w:rsidRPr="00176D3F" w14:paraId="77F13560" w14:textId="77777777" w:rsidTr="0099706E">
        <w:tc>
          <w:tcPr>
            <w:tcW w:w="5000" w:type="pct"/>
            <w:tcBorders>
              <w:top w:val="nil"/>
              <w:left w:val="nil"/>
              <w:bottom w:val="nil"/>
              <w:right w:val="nil"/>
            </w:tcBorders>
            <w:shd w:val="clear" w:color="auto" w:fill="auto"/>
          </w:tcPr>
          <w:p w14:paraId="0A8052B2" w14:textId="77777777" w:rsidR="00DD280A" w:rsidRPr="00176D3F" w:rsidRDefault="00DD280A" w:rsidP="003061EF">
            <w:pPr>
              <w:pStyle w:val="Source"/>
            </w:pPr>
            <w:r>
              <w:rPr>
                <w:i/>
              </w:rPr>
              <w:t>S</w:t>
            </w:r>
            <w:r w:rsidRPr="00784A05">
              <w:rPr>
                <w:i/>
              </w:rPr>
              <w:t>ource</w:t>
            </w:r>
            <w:r>
              <w:rPr>
                <w:i/>
              </w:rPr>
              <w:t>s</w:t>
            </w:r>
            <w:r w:rsidRPr="00176D3F">
              <w:t xml:space="preserve">: </w:t>
            </w:r>
            <w:r>
              <w:t>ABS (</w:t>
            </w:r>
            <w:r w:rsidRPr="00DB6875">
              <w:rPr>
                <w:i/>
              </w:rPr>
              <w:t>Innovation in Australian Business</w:t>
            </w:r>
            <w:r>
              <w:t xml:space="preserve">, </w:t>
            </w:r>
            <w:r w:rsidR="003061EF">
              <w:t xml:space="preserve">various issues, </w:t>
            </w:r>
            <w:r>
              <w:t>Cat. no. 8158.0, table 1)</w:t>
            </w:r>
            <w:r w:rsidR="00765C22">
              <w:t xml:space="preserve">; </w:t>
            </w:r>
            <w:r>
              <w:t xml:space="preserve">and ABS (2018, </w:t>
            </w:r>
            <w:r w:rsidRPr="00FF603B">
              <w:rPr>
                <w:i/>
              </w:rPr>
              <w:t>Australian System of National Accounts, 2017</w:t>
            </w:r>
            <w:r>
              <w:rPr>
                <w:i/>
              </w:rPr>
              <w:noBreakHyphen/>
            </w:r>
            <w:r w:rsidRPr="00FF603B">
              <w:rPr>
                <w:i/>
              </w:rPr>
              <w:t>18</w:t>
            </w:r>
            <w:r>
              <w:t>, Cat. no. 5204.0, table 56).</w:t>
            </w:r>
          </w:p>
        </w:tc>
      </w:tr>
      <w:tr w:rsidR="00DD280A" w14:paraId="506942BD" w14:textId="77777777" w:rsidTr="0099706E">
        <w:tc>
          <w:tcPr>
            <w:tcW w:w="5000" w:type="pct"/>
            <w:tcBorders>
              <w:top w:val="nil"/>
              <w:left w:val="nil"/>
              <w:bottom w:val="single" w:sz="6" w:space="0" w:color="78A22F"/>
              <w:right w:val="nil"/>
            </w:tcBorders>
            <w:shd w:val="clear" w:color="auto" w:fill="auto"/>
          </w:tcPr>
          <w:p w14:paraId="7B99A559" w14:textId="77777777" w:rsidR="00DD280A" w:rsidRDefault="00DD280A" w:rsidP="0099706E">
            <w:pPr>
              <w:pStyle w:val="Figurespace"/>
            </w:pPr>
          </w:p>
        </w:tc>
      </w:tr>
      <w:tr w:rsidR="00DD280A" w:rsidRPr="000863A5" w14:paraId="2CED434F" w14:textId="77777777" w:rsidTr="0099706E">
        <w:tc>
          <w:tcPr>
            <w:tcW w:w="5000" w:type="pct"/>
            <w:tcBorders>
              <w:top w:val="single" w:sz="6" w:space="0" w:color="78A22F"/>
              <w:left w:val="nil"/>
              <w:bottom w:val="nil"/>
              <w:right w:val="nil"/>
            </w:tcBorders>
          </w:tcPr>
          <w:p w14:paraId="71322CCA" w14:textId="77777777" w:rsidR="00DD280A" w:rsidRPr="00626D32" w:rsidRDefault="00DD280A" w:rsidP="0099706E">
            <w:pPr>
              <w:pStyle w:val="BoxSpaceBelow"/>
            </w:pPr>
          </w:p>
        </w:tc>
      </w:tr>
    </w:tbl>
    <w:p w14:paraId="253C0657" w14:textId="77777777" w:rsidR="00DD280A" w:rsidRDefault="00DD280A" w:rsidP="00DD280A">
      <w:pPr>
        <w:pStyle w:val="BodyText"/>
      </w:pPr>
      <w:r>
        <w:t>The reasons for the general weakening of capital input growth and the contribution from capital deepening are explored in more detail in chapter 2.</w:t>
      </w:r>
    </w:p>
    <w:p w14:paraId="0ACC0CE1" w14:textId="77777777" w:rsidR="009F7032" w:rsidRPr="00DA02B0" w:rsidRDefault="009F7032" w:rsidP="00DA02B0">
      <w:pPr>
        <w:pStyle w:val="Heading2"/>
        <w:rPr>
          <w:b w:val="0"/>
          <w:sz w:val="24"/>
          <w:szCs w:val="24"/>
        </w:rPr>
      </w:pPr>
      <w:r w:rsidRPr="00DA02B0">
        <w:rPr>
          <w:b w:val="0"/>
          <w:sz w:val="24"/>
          <w:szCs w:val="24"/>
        </w:rPr>
        <w:t>… while labour inputs are buoyant</w:t>
      </w:r>
    </w:p>
    <w:p w14:paraId="5116BBF9" w14:textId="3B548D2A" w:rsidR="00007FCC" w:rsidRPr="00A45F80" w:rsidRDefault="00B92F7A" w:rsidP="00007FCC">
      <w:pPr>
        <w:pStyle w:val="BodyText"/>
        <w:rPr>
          <w:spacing w:val="2"/>
        </w:rPr>
      </w:pPr>
      <w:r w:rsidRPr="00A45F80">
        <w:rPr>
          <w:spacing w:val="2"/>
        </w:rPr>
        <w:t xml:space="preserve">In contrast to subdued capital growth, a buoyant labour market has led to growth in </w:t>
      </w:r>
      <w:r w:rsidR="00740B76" w:rsidRPr="00A45F80">
        <w:rPr>
          <w:spacing w:val="2"/>
        </w:rPr>
        <w:t xml:space="preserve">aggregate </w:t>
      </w:r>
      <w:r w:rsidRPr="00A45F80">
        <w:rPr>
          <w:spacing w:val="2"/>
        </w:rPr>
        <w:t>l</w:t>
      </w:r>
      <w:r w:rsidR="00007FCC" w:rsidRPr="00A45F80">
        <w:rPr>
          <w:spacing w:val="2"/>
        </w:rPr>
        <w:t xml:space="preserve">abour inputs </w:t>
      </w:r>
      <w:r w:rsidRPr="00A45F80">
        <w:rPr>
          <w:spacing w:val="2"/>
        </w:rPr>
        <w:t>of 2.6 per</w:t>
      </w:r>
      <w:r w:rsidR="00FD5727">
        <w:rPr>
          <w:spacing w:val="2"/>
        </w:rPr>
        <w:t> </w:t>
      </w:r>
      <w:r w:rsidRPr="00A45F80">
        <w:rPr>
          <w:spacing w:val="2"/>
        </w:rPr>
        <w:t>cent in 2017</w:t>
      </w:r>
      <w:r w:rsidRPr="00A45F80">
        <w:rPr>
          <w:spacing w:val="2"/>
        </w:rPr>
        <w:noBreakHyphen/>
        <w:t>18, the highest growth rate since 2010</w:t>
      </w:r>
      <w:r w:rsidRPr="00A45F80">
        <w:rPr>
          <w:spacing w:val="2"/>
        </w:rPr>
        <w:noBreakHyphen/>
        <w:t>11</w:t>
      </w:r>
      <w:r w:rsidR="00007FCC" w:rsidRPr="00A45F80">
        <w:rPr>
          <w:spacing w:val="2"/>
        </w:rPr>
        <w:t xml:space="preserve">. </w:t>
      </w:r>
      <w:r w:rsidRPr="00A45F80">
        <w:rPr>
          <w:spacing w:val="2"/>
        </w:rPr>
        <w:t>This reflected</w:t>
      </w:r>
      <w:r w:rsidR="00007FCC" w:rsidRPr="00A45F80">
        <w:rPr>
          <w:spacing w:val="2"/>
        </w:rPr>
        <w:t>:</w:t>
      </w:r>
    </w:p>
    <w:p w14:paraId="70362E0C" w14:textId="77777777" w:rsidR="00B92F7A" w:rsidRPr="00CD07D7" w:rsidRDefault="00B92F7A" w:rsidP="00007FCC">
      <w:pPr>
        <w:pStyle w:val="ListBullet"/>
        <w:rPr>
          <w:sz w:val="24"/>
          <w:szCs w:val="24"/>
        </w:rPr>
      </w:pPr>
      <w:r w:rsidRPr="00CD07D7">
        <w:rPr>
          <w:sz w:val="24"/>
          <w:szCs w:val="24"/>
        </w:rPr>
        <w:t>continued strong population growth</w:t>
      </w:r>
    </w:p>
    <w:p w14:paraId="69918675" w14:textId="7CFBD6E1" w:rsidR="00007FCC" w:rsidRPr="00CD07D7" w:rsidRDefault="00007FCC" w:rsidP="00007FCC">
      <w:pPr>
        <w:pStyle w:val="ListBullet"/>
        <w:rPr>
          <w:sz w:val="24"/>
        </w:rPr>
      </w:pPr>
      <w:r w:rsidRPr="00CD07D7">
        <w:rPr>
          <w:sz w:val="24"/>
        </w:rPr>
        <w:t>an increase in the labour force participation rate, from 64.7 per</w:t>
      </w:r>
      <w:r w:rsidR="006D5DEF">
        <w:rPr>
          <w:sz w:val="24"/>
        </w:rPr>
        <w:t> </w:t>
      </w:r>
      <w:r w:rsidRPr="00CD07D7">
        <w:rPr>
          <w:sz w:val="24"/>
        </w:rPr>
        <w:t>cent to 65.4 </w:t>
      </w:r>
      <w:r w:rsidR="006D5DEF" w:rsidRPr="00CD07D7">
        <w:rPr>
          <w:sz w:val="24"/>
        </w:rPr>
        <w:t>per</w:t>
      </w:r>
      <w:r w:rsidR="006D5DEF">
        <w:rPr>
          <w:sz w:val="24"/>
        </w:rPr>
        <w:t> </w:t>
      </w:r>
      <w:r w:rsidRPr="00CD07D7">
        <w:rPr>
          <w:sz w:val="24"/>
        </w:rPr>
        <w:t xml:space="preserve">cent </w:t>
      </w:r>
      <w:r w:rsidR="000459F5" w:rsidRPr="00CD07D7">
        <w:rPr>
          <w:sz w:val="24"/>
        </w:rPr>
        <w:t xml:space="preserve">(a change that </w:t>
      </w:r>
      <w:r w:rsidR="00707ED1" w:rsidRPr="00CD07D7">
        <w:rPr>
          <w:sz w:val="24"/>
        </w:rPr>
        <w:t xml:space="preserve">was disproportionately affected by </w:t>
      </w:r>
      <w:r w:rsidR="000459F5" w:rsidRPr="00CD07D7">
        <w:rPr>
          <w:sz w:val="24"/>
        </w:rPr>
        <w:t xml:space="preserve">the continued strong growth in female </w:t>
      </w:r>
      <w:r w:rsidR="00D570C7">
        <w:rPr>
          <w:sz w:val="24"/>
        </w:rPr>
        <w:t xml:space="preserve">and older age </w:t>
      </w:r>
      <w:r w:rsidR="000459F5" w:rsidRPr="00CD07D7">
        <w:rPr>
          <w:sz w:val="24"/>
        </w:rPr>
        <w:t>participation</w:t>
      </w:r>
      <w:r w:rsidR="00B92F7A" w:rsidRPr="00CD07D7">
        <w:rPr>
          <w:sz w:val="24"/>
        </w:rPr>
        <w:t>)</w:t>
      </w:r>
    </w:p>
    <w:p w14:paraId="0EE01956" w14:textId="239949E3" w:rsidR="00007FCC" w:rsidRPr="00CD07D7" w:rsidRDefault="00007FCC" w:rsidP="00007FCC">
      <w:pPr>
        <w:pStyle w:val="ListBullet"/>
        <w:rPr>
          <w:sz w:val="24"/>
        </w:rPr>
      </w:pPr>
      <w:r w:rsidRPr="00CD07D7">
        <w:rPr>
          <w:sz w:val="24"/>
        </w:rPr>
        <w:t>a fall in the unemployment rate fr</w:t>
      </w:r>
      <w:r w:rsidR="00B92F7A" w:rsidRPr="00CD07D7">
        <w:rPr>
          <w:sz w:val="24"/>
        </w:rPr>
        <w:t>om 5.7 per</w:t>
      </w:r>
      <w:r w:rsidR="006D5DEF">
        <w:rPr>
          <w:sz w:val="24"/>
        </w:rPr>
        <w:t> </w:t>
      </w:r>
      <w:r w:rsidR="00B92F7A" w:rsidRPr="00CD07D7">
        <w:rPr>
          <w:sz w:val="24"/>
        </w:rPr>
        <w:t>cent to 5.5 per</w:t>
      </w:r>
      <w:r w:rsidR="006D5DEF">
        <w:rPr>
          <w:sz w:val="24"/>
        </w:rPr>
        <w:t> </w:t>
      </w:r>
      <w:r w:rsidR="00B92F7A" w:rsidRPr="00CD07D7">
        <w:rPr>
          <w:sz w:val="24"/>
        </w:rPr>
        <w:t>cent (figure </w:t>
      </w:r>
      <w:r w:rsidR="00C3655D">
        <w:rPr>
          <w:sz w:val="24"/>
        </w:rPr>
        <w:t>1.</w:t>
      </w:r>
      <w:r w:rsidR="00CD07D7">
        <w:rPr>
          <w:sz w:val="24"/>
        </w:rPr>
        <w:t>3</w:t>
      </w:r>
      <w:r w:rsidR="00B92F7A" w:rsidRPr="00CD07D7">
        <w:rPr>
          <w:sz w:val="24"/>
        </w:rPr>
        <w:t>).</w:t>
      </w:r>
    </w:p>
    <w:p w14:paraId="4638C21F" w14:textId="77777777" w:rsidR="00182F36" w:rsidRDefault="00182F36" w:rsidP="006A6B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82F36" w14:paraId="7E3A02D1" w14:textId="77777777" w:rsidTr="006A6B40">
        <w:trPr>
          <w:tblHeader/>
        </w:trPr>
        <w:tc>
          <w:tcPr>
            <w:tcW w:w="5000" w:type="pct"/>
            <w:tcBorders>
              <w:top w:val="single" w:sz="6" w:space="0" w:color="78A22F"/>
              <w:left w:val="nil"/>
              <w:bottom w:val="nil"/>
              <w:right w:val="nil"/>
            </w:tcBorders>
            <w:shd w:val="clear" w:color="auto" w:fill="auto"/>
          </w:tcPr>
          <w:p w14:paraId="0A7BFCDA" w14:textId="77777777" w:rsidR="00182F36" w:rsidRDefault="00182F36" w:rsidP="006A6B40">
            <w:pPr>
              <w:pStyle w:val="FigureTitle"/>
            </w:pPr>
            <w:r w:rsidRPr="00784A05">
              <w:rPr>
                <w:b w:val="0"/>
              </w:rPr>
              <w:t xml:space="preserve">Figure </w:t>
            </w:r>
            <w:r w:rsidR="00567785">
              <w:rPr>
                <w:b w:val="0"/>
              </w:rPr>
              <w:t>1.</w:t>
            </w:r>
            <w:r w:rsidR="000C5977">
              <w:rPr>
                <w:b w:val="0"/>
              </w:rPr>
              <w:t>3</w:t>
            </w:r>
            <w:r>
              <w:tab/>
              <w:t>Contribution to labour input growth, 2017</w:t>
            </w:r>
            <w:r>
              <w:noBreakHyphen/>
              <w:t>18</w:t>
            </w:r>
          </w:p>
          <w:p w14:paraId="519FE5A6" w14:textId="77777777" w:rsidR="00182F36" w:rsidRPr="00176D3F" w:rsidRDefault="00182F36" w:rsidP="006A6B40">
            <w:pPr>
              <w:pStyle w:val="Subtitle"/>
            </w:pPr>
            <w:r>
              <w:t>Percentage points</w:t>
            </w:r>
            <w:r w:rsidRPr="00182F36">
              <w:rPr>
                <w:rStyle w:val="NoteLabel"/>
              </w:rPr>
              <w:t>a</w:t>
            </w:r>
          </w:p>
        </w:tc>
      </w:tr>
      <w:tr w:rsidR="00182F36" w14:paraId="756FD770" w14:textId="77777777" w:rsidTr="006A6B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82F36" w:rsidRPr="00B1465D" w14:paraId="7C6E3385" w14:textId="77777777" w:rsidTr="006A6B40">
              <w:trPr>
                <w:tblHeader/>
                <w:jc w:val="center"/>
              </w:trPr>
              <w:tc>
                <w:tcPr>
                  <w:tcW w:w="5000" w:type="pct"/>
                  <w:tcBorders>
                    <w:top w:val="nil"/>
                    <w:bottom w:val="nil"/>
                  </w:tcBorders>
                </w:tcPr>
                <w:p w14:paraId="128B1340" w14:textId="77777777" w:rsidR="00182F36" w:rsidRPr="00B1465D" w:rsidRDefault="00393109" w:rsidP="00393109">
                  <w:pPr>
                    <w:pStyle w:val="Figure"/>
                    <w:spacing w:before="60" w:after="60"/>
                    <w:jc w:val="left"/>
                    <w:rPr>
                      <w:rFonts w:ascii="Arial" w:hAnsi="Arial" w:cs="Arial"/>
                      <w:sz w:val="18"/>
                      <w:szCs w:val="18"/>
                    </w:rPr>
                  </w:pPr>
                  <w:r w:rsidRPr="00393109">
                    <w:rPr>
                      <w:rFonts w:ascii="Arial" w:hAnsi="Arial" w:cs="Arial"/>
                      <w:noProof/>
                      <w:sz w:val="18"/>
                      <w:szCs w:val="18"/>
                    </w:rPr>
                    <w:drawing>
                      <wp:inline distT="0" distB="0" distL="0" distR="0" wp14:anchorId="12C1D624" wp14:editId="3140EED5">
                        <wp:extent cx="5387047" cy="3143250"/>
                        <wp:effectExtent l="0" t="0" r="4445" b="0"/>
                        <wp:docPr id="13" name="Picture 13" descr="This figure identifies factors contributing to labour market buoyancy in 2017-18. The two most important contributors were: population growth (1.6 percentage points); and an increase in the labour market participation rate (1.1 percentage points). A fall in the unemployment rate and an increase in share of the population that is of working age also helped marginally (jointly contributing 0.3 percentage points). A fall in average hours worked partially offset this growth, making a negative contribution of 0.4 percentage points. Overall, labour inputs grew in 2017-18 by 2.6 percent." title="Figure 1.3 Contribution to labour input growth,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89907" cy="3144919"/>
                                </a:xfrm>
                                <a:prstGeom prst="rect">
                                  <a:avLst/>
                                </a:prstGeom>
                                <a:noFill/>
                                <a:ln>
                                  <a:noFill/>
                                </a:ln>
                              </pic:spPr>
                            </pic:pic>
                          </a:graphicData>
                        </a:graphic>
                      </wp:inline>
                    </w:drawing>
                  </w:r>
                </w:p>
              </w:tc>
            </w:tr>
          </w:tbl>
          <w:p w14:paraId="2ABB7B24" w14:textId="77777777" w:rsidR="00182F36" w:rsidRDefault="00182F36" w:rsidP="006A6B40">
            <w:pPr>
              <w:pStyle w:val="Figure"/>
            </w:pPr>
          </w:p>
        </w:tc>
      </w:tr>
      <w:tr w:rsidR="00182F36" w:rsidRPr="00176D3F" w14:paraId="0C2DC257" w14:textId="77777777" w:rsidTr="006A6B40">
        <w:tc>
          <w:tcPr>
            <w:tcW w:w="5000" w:type="pct"/>
            <w:tcBorders>
              <w:top w:val="nil"/>
              <w:left w:val="nil"/>
              <w:bottom w:val="nil"/>
              <w:right w:val="nil"/>
            </w:tcBorders>
            <w:shd w:val="clear" w:color="auto" w:fill="auto"/>
          </w:tcPr>
          <w:p w14:paraId="5EA8C8D7" w14:textId="77777777" w:rsidR="00182F36" w:rsidRPr="00176D3F" w:rsidRDefault="00182F36" w:rsidP="006A6B40">
            <w:pPr>
              <w:pStyle w:val="Note"/>
            </w:pPr>
            <w:r>
              <w:rPr>
                <w:rStyle w:val="NoteLabel"/>
              </w:rPr>
              <w:t>a</w:t>
            </w:r>
            <w:r>
              <w:t xml:space="preserve"> Share of population of working age is the share of population aged 15 years and over. Labour market participation is the share of the working</w:t>
            </w:r>
            <w:r>
              <w:noBreakHyphen/>
              <w:t>age population in the labour force. Employment share is share of the labour force that is employed. Labour inputs are total hours worked.</w:t>
            </w:r>
          </w:p>
        </w:tc>
      </w:tr>
      <w:tr w:rsidR="00182F36" w:rsidRPr="00176D3F" w14:paraId="5C5F89A2" w14:textId="77777777" w:rsidTr="006A6B40">
        <w:tc>
          <w:tcPr>
            <w:tcW w:w="5000" w:type="pct"/>
            <w:tcBorders>
              <w:top w:val="nil"/>
              <w:left w:val="nil"/>
              <w:bottom w:val="nil"/>
              <w:right w:val="nil"/>
            </w:tcBorders>
            <w:shd w:val="clear" w:color="auto" w:fill="auto"/>
          </w:tcPr>
          <w:p w14:paraId="52853C1A" w14:textId="13F99B38" w:rsidR="00182F36" w:rsidRPr="00176D3F" w:rsidRDefault="00182F36" w:rsidP="000B168A">
            <w:pPr>
              <w:pStyle w:val="Source"/>
            </w:pPr>
            <w:r>
              <w:rPr>
                <w:i/>
              </w:rPr>
              <w:t>S</w:t>
            </w:r>
            <w:r w:rsidRPr="00784A05">
              <w:rPr>
                <w:i/>
              </w:rPr>
              <w:t>ource</w:t>
            </w:r>
            <w:r w:rsidR="00CD07D7">
              <w:rPr>
                <w:i/>
              </w:rPr>
              <w:t>s</w:t>
            </w:r>
            <w:r w:rsidRPr="00176D3F">
              <w:t xml:space="preserve">: </w:t>
            </w:r>
            <w:r w:rsidR="000014C1" w:rsidRPr="000014C1">
              <w:t xml:space="preserve">ABS (2018, </w:t>
            </w:r>
            <w:r w:rsidR="000014C1" w:rsidRPr="000014C1">
              <w:rPr>
                <w:i/>
                <w:iCs/>
              </w:rPr>
              <w:t>Australian Demographic Statistics</w:t>
            </w:r>
            <w:r w:rsidR="000014C1" w:rsidRPr="000014C1">
              <w:t>, Jun 2018, Cat. no. 3101.0, table 59); ABS (2018, Australian System of National Accounts, 2017-18, Cat. no. 5204.0, table 1); and ABS (2018, Labour Force, Australia, Sep 2018, Cat. no. 6202.0, table 1).</w:t>
            </w:r>
          </w:p>
        </w:tc>
      </w:tr>
      <w:tr w:rsidR="00182F36" w14:paraId="4517B498" w14:textId="77777777" w:rsidTr="006A6B40">
        <w:tc>
          <w:tcPr>
            <w:tcW w:w="5000" w:type="pct"/>
            <w:tcBorders>
              <w:top w:val="nil"/>
              <w:left w:val="nil"/>
              <w:bottom w:val="single" w:sz="6" w:space="0" w:color="78A22F"/>
              <w:right w:val="nil"/>
            </w:tcBorders>
            <w:shd w:val="clear" w:color="auto" w:fill="auto"/>
          </w:tcPr>
          <w:p w14:paraId="58300409" w14:textId="77777777" w:rsidR="00182F36" w:rsidRDefault="00182F36" w:rsidP="006A6B40">
            <w:pPr>
              <w:pStyle w:val="Figurespace"/>
            </w:pPr>
          </w:p>
        </w:tc>
      </w:tr>
      <w:tr w:rsidR="00182F36" w:rsidRPr="000863A5" w14:paraId="4F2CE22D" w14:textId="77777777" w:rsidTr="006A6B40">
        <w:tc>
          <w:tcPr>
            <w:tcW w:w="5000" w:type="pct"/>
            <w:tcBorders>
              <w:top w:val="single" w:sz="6" w:space="0" w:color="78A22F"/>
              <w:left w:val="nil"/>
              <w:bottom w:val="nil"/>
              <w:right w:val="nil"/>
            </w:tcBorders>
          </w:tcPr>
          <w:p w14:paraId="39781791" w14:textId="77777777" w:rsidR="00182F36" w:rsidRPr="00626D32" w:rsidRDefault="00182F36" w:rsidP="006A6B40">
            <w:pPr>
              <w:pStyle w:val="BoxSpaceBelow"/>
            </w:pPr>
          </w:p>
        </w:tc>
      </w:tr>
    </w:tbl>
    <w:p w14:paraId="07EDC3A6" w14:textId="77777777" w:rsidR="009F7032" w:rsidRPr="00DA02B0" w:rsidRDefault="009F7032" w:rsidP="00DA02B0">
      <w:pPr>
        <w:pStyle w:val="Heading2"/>
        <w:rPr>
          <w:b w:val="0"/>
          <w:sz w:val="24"/>
          <w:szCs w:val="24"/>
        </w:rPr>
      </w:pPr>
      <w:r w:rsidRPr="00DA02B0">
        <w:rPr>
          <w:b w:val="0"/>
          <w:sz w:val="24"/>
          <w:szCs w:val="24"/>
        </w:rPr>
        <w:t>Labour productivity growth continues to be mediocre</w:t>
      </w:r>
    </w:p>
    <w:p w14:paraId="47776EFA" w14:textId="381DF9DA" w:rsidR="00F80BAF" w:rsidRDefault="00E0146B" w:rsidP="00F94BF7">
      <w:pPr>
        <w:pStyle w:val="BodyText"/>
      </w:pPr>
      <w:r>
        <w:t>Economy-wide</w:t>
      </w:r>
      <w:r w:rsidR="001C30D4">
        <w:t xml:space="preserve"> l</w:t>
      </w:r>
      <w:r w:rsidR="00F94BF7">
        <w:t>abour productivity growth has been weak</w:t>
      </w:r>
      <w:r w:rsidR="0015091D">
        <w:t xml:space="preserve"> and slowing</w:t>
      </w:r>
      <w:r w:rsidR="00F94BF7">
        <w:t xml:space="preserve"> </w:t>
      </w:r>
      <w:r w:rsidR="004C223E">
        <w:t xml:space="preserve">compared with recent years </w:t>
      </w:r>
      <w:r w:rsidR="00F94BF7">
        <w:t>— growing by only 0.2 per</w:t>
      </w:r>
      <w:r w:rsidR="008541EB">
        <w:t> </w:t>
      </w:r>
      <w:r w:rsidR="00F94BF7">
        <w:t>cent in 2017</w:t>
      </w:r>
      <w:r w:rsidR="00F94BF7">
        <w:noBreakHyphen/>
        <w:t>18 (</w:t>
      </w:r>
      <w:r w:rsidR="00C31858">
        <w:t>table 1</w:t>
      </w:r>
      <w:r w:rsidR="00F80BAF">
        <w:t xml:space="preserve"> and figure </w:t>
      </w:r>
      <w:r w:rsidR="00C3655D">
        <w:t>1.</w:t>
      </w:r>
      <w:r w:rsidR="00AA6D15">
        <w:t>4</w:t>
      </w:r>
      <w:r w:rsidR="00F94BF7">
        <w:t xml:space="preserve">) — in line with the </w:t>
      </w:r>
      <w:r w:rsidR="00F80BAF">
        <w:t xml:space="preserve">most recent </w:t>
      </w:r>
      <w:r w:rsidR="00F94BF7">
        <w:t xml:space="preserve">downward </w:t>
      </w:r>
      <w:r w:rsidR="00B72F75">
        <w:t xml:space="preserve">trend </w:t>
      </w:r>
      <w:r w:rsidR="00F94BF7">
        <w:t>that commenced in 2011</w:t>
      </w:r>
      <w:r w:rsidR="00F94BF7">
        <w:noBreakHyphen/>
        <w:t>12 and below the historical long</w:t>
      </w:r>
      <w:r w:rsidR="00F94BF7">
        <w:noBreakHyphen/>
        <w:t>term trend.</w:t>
      </w:r>
      <w:r w:rsidR="00F94BF7" w:rsidRPr="00182F36">
        <w:t xml:space="preserve"> </w:t>
      </w:r>
      <w:r w:rsidR="00941685">
        <w:t>Similarly,</w:t>
      </w:r>
      <w:r w:rsidR="00F80BAF">
        <w:t xml:space="preserve"> weak recent </w:t>
      </w:r>
      <w:r w:rsidR="009E55D5">
        <w:t>performance</w:t>
      </w:r>
      <w:r w:rsidR="00F80BAF">
        <w:t xml:space="preserve"> is apparent for </w:t>
      </w:r>
      <w:r w:rsidR="009E55D5">
        <w:t xml:space="preserve">the </w:t>
      </w:r>
      <w:r w:rsidR="00F80BAF">
        <w:t>more reliably estimated market sector productivity</w:t>
      </w:r>
      <w:r w:rsidR="009E55D5">
        <w:t xml:space="preserve"> rates</w:t>
      </w:r>
      <w:r w:rsidR="00F80BAF">
        <w:t>.</w:t>
      </w:r>
    </w:p>
    <w:p w14:paraId="4BE94516" w14:textId="77777777" w:rsidR="00F94BF7" w:rsidRPr="00FA7F14" w:rsidRDefault="00F80BAF" w:rsidP="002C752F">
      <w:pPr>
        <w:pStyle w:val="BodyText"/>
      </w:pPr>
      <w:r w:rsidRPr="00FA7F14">
        <w:t xml:space="preserve">Labour productivity growth </w:t>
      </w:r>
      <w:r w:rsidR="00F94BF7" w:rsidRPr="00FA7F14">
        <w:t>— or the increase in output per hour worked — reflects the change in the:</w:t>
      </w:r>
    </w:p>
    <w:p w14:paraId="4F0C35C8" w14:textId="77777777" w:rsidR="00F94BF7" w:rsidRPr="00FA7F14" w:rsidRDefault="00F94BF7" w:rsidP="009C1D11">
      <w:pPr>
        <w:pStyle w:val="ListBullet"/>
        <w:rPr>
          <w:sz w:val="24"/>
          <w:szCs w:val="24"/>
        </w:rPr>
      </w:pPr>
      <w:r w:rsidRPr="00FA7F14">
        <w:rPr>
          <w:sz w:val="24"/>
          <w:szCs w:val="24"/>
        </w:rPr>
        <w:t xml:space="preserve">capital–labour ratio — the quantity of capital inputs used per unit of labour input (referred to as </w:t>
      </w:r>
      <w:r w:rsidR="003104DC">
        <w:rPr>
          <w:sz w:val="24"/>
          <w:szCs w:val="24"/>
        </w:rPr>
        <w:t>‘</w:t>
      </w:r>
      <w:r w:rsidRPr="00FA7F14">
        <w:rPr>
          <w:sz w:val="24"/>
          <w:szCs w:val="24"/>
        </w:rPr>
        <w:t>the contribution from capital deepening</w:t>
      </w:r>
      <w:r w:rsidR="003104DC">
        <w:rPr>
          <w:sz w:val="24"/>
          <w:szCs w:val="24"/>
        </w:rPr>
        <w:t>’</w:t>
      </w:r>
      <w:r w:rsidRPr="00FA7F14">
        <w:rPr>
          <w:sz w:val="24"/>
          <w:szCs w:val="24"/>
        </w:rPr>
        <w:t>)</w:t>
      </w:r>
    </w:p>
    <w:p w14:paraId="22781CDD" w14:textId="77777777" w:rsidR="00F94BF7" w:rsidRPr="00FA7F14" w:rsidRDefault="00F94BF7" w:rsidP="009C1D11">
      <w:pPr>
        <w:pStyle w:val="ListBullet"/>
        <w:rPr>
          <w:sz w:val="24"/>
          <w:szCs w:val="24"/>
        </w:rPr>
      </w:pPr>
      <w:r w:rsidRPr="00FA7F14">
        <w:rPr>
          <w:sz w:val="24"/>
          <w:szCs w:val="24"/>
        </w:rPr>
        <w:t>efficiency with which value</w:t>
      </w:r>
      <w:r w:rsidRPr="00FA7F14">
        <w:rPr>
          <w:sz w:val="24"/>
          <w:szCs w:val="24"/>
        </w:rPr>
        <w:noBreakHyphen/>
        <w:t>adding inputs are used in production</w:t>
      </w:r>
      <w:r w:rsidR="003104DC">
        <w:rPr>
          <w:sz w:val="24"/>
          <w:szCs w:val="24"/>
        </w:rPr>
        <w:t xml:space="preserve"> (referred to as</w:t>
      </w:r>
      <w:r w:rsidR="00FE5B3D" w:rsidRPr="00FA7F14">
        <w:rPr>
          <w:sz w:val="24"/>
          <w:szCs w:val="24"/>
        </w:rPr>
        <w:t xml:space="preserve"> </w:t>
      </w:r>
      <w:r w:rsidR="003104DC">
        <w:rPr>
          <w:sz w:val="24"/>
          <w:szCs w:val="24"/>
        </w:rPr>
        <w:t>‘</w:t>
      </w:r>
      <w:r w:rsidRPr="00FA7F14">
        <w:rPr>
          <w:sz w:val="24"/>
          <w:szCs w:val="24"/>
        </w:rPr>
        <w:t>the contribution from multifactor productivity growth</w:t>
      </w:r>
      <w:r w:rsidR="003104DC">
        <w:rPr>
          <w:sz w:val="24"/>
          <w:szCs w:val="24"/>
        </w:rPr>
        <w:t>’)</w:t>
      </w:r>
      <w:r w:rsidR="00FE5B3D" w:rsidRPr="00FA7F14">
        <w:rPr>
          <w:sz w:val="24"/>
          <w:szCs w:val="24"/>
        </w:rPr>
        <w:t>.</w:t>
      </w:r>
    </w:p>
    <w:p w14:paraId="74F810A4" w14:textId="77777777" w:rsidR="009E1883" w:rsidRDefault="009E1883" w:rsidP="009E18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E1883" w14:paraId="68233B52" w14:textId="77777777" w:rsidTr="009E1883">
        <w:trPr>
          <w:tblHeader/>
        </w:trPr>
        <w:tc>
          <w:tcPr>
            <w:tcW w:w="5000" w:type="pct"/>
            <w:tcBorders>
              <w:top w:val="single" w:sz="6" w:space="0" w:color="78A22F"/>
              <w:left w:val="nil"/>
              <w:bottom w:val="nil"/>
              <w:right w:val="nil"/>
            </w:tcBorders>
            <w:shd w:val="clear" w:color="auto" w:fill="auto"/>
          </w:tcPr>
          <w:p w14:paraId="6BA352EB" w14:textId="6FAB7C65" w:rsidR="009E1883" w:rsidRDefault="009E1883" w:rsidP="009E1883">
            <w:pPr>
              <w:pStyle w:val="FigureTitle"/>
            </w:pPr>
            <w:r w:rsidRPr="00784A05">
              <w:rPr>
                <w:b w:val="0"/>
              </w:rPr>
              <w:t xml:space="preserve">Figure </w:t>
            </w:r>
            <w:r w:rsidR="00567785">
              <w:rPr>
                <w:b w:val="0"/>
              </w:rPr>
              <w:t>1.</w:t>
            </w:r>
            <w:r w:rsidR="00AA6D15">
              <w:rPr>
                <w:b w:val="0"/>
              </w:rPr>
              <w:t>4</w:t>
            </w:r>
            <w:r>
              <w:tab/>
              <w:t>Aggregate labour productivity</w:t>
            </w:r>
            <w:r w:rsidR="009045A5" w:rsidRPr="00750AAB">
              <w:rPr>
                <w:rStyle w:val="NoteLabel"/>
                <w:b/>
              </w:rPr>
              <w:t>a</w:t>
            </w:r>
          </w:p>
          <w:p w14:paraId="73B0FE93" w14:textId="60AB195D" w:rsidR="009E1883" w:rsidRPr="00176D3F" w:rsidRDefault="00C04290" w:rsidP="0082674F">
            <w:pPr>
              <w:pStyle w:val="Subtitle"/>
              <w:spacing w:line="200" w:lineRule="atLeast"/>
            </w:pPr>
            <w:r w:rsidRPr="009045A5">
              <w:t>Annual</w:t>
            </w:r>
            <w:r>
              <w:t xml:space="preserve"> growth rates</w:t>
            </w:r>
            <w:r w:rsidR="003104DC">
              <w:t>,</w:t>
            </w:r>
            <w:r>
              <w:t xml:space="preserve"> 1975</w:t>
            </w:r>
            <w:r>
              <w:noBreakHyphen/>
              <w:t>76</w:t>
            </w:r>
            <w:r w:rsidR="009E1883">
              <w:t xml:space="preserve"> to 2017</w:t>
            </w:r>
            <w:r w:rsidR="009E1883">
              <w:noBreakHyphen/>
              <w:t xml:space="preserve">18 </w:t>
            </w:r>
            <w:r w:rsidR="003104DC">
              <w:t>(</w:t>
            </w:r>
            <w:r w:rsidR="009E1883">
              <w:t>per cent</w:t>
            </w:r>
            <w:r w:rsidR="003104DC">
              <w:t>)</w:t>
            </w:r>
            <w:r w:rsidR="009045A5" w:rsidRPr="009045A5">
              <w:rPr>
                <w:rStyle w:val="NoteLabel"/>
              </w:rPr>
              <w:t>b</w:t>
            </w:r>
          </w:p>
        </w:tc>
      </w:tr>
      <w:tr w:rsidR="009E1883" w14:paraId="120E28BC" w14:textId="77777777" w:rsidTr="009E188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9E1883" w:rsidRPr="00B1465D" w14:paraId="77C9D00A" w14:textId="77777777" w:rsidTr="009E1883">
              <w:trPr>
                <w:tblHeader/>
                <w:jc w:val="center"/>
              </w:trPr>
              <w:tc>
                <w:tcPr>
                  <w:tcW w:w="2500" w:type="pct"/>
                  <w:tcBorders>
                    <w:top w:val="nil"/>
                    <w:bottom w:val="nil"/>
                  </w:tcBorders>
                </w:tcPr>
                <w:p w14:paraId="2AA7A49D" w14:textId="7106F875" w:rsidR="009E1883" w:rsidRPr="00B1465D" w:rsidRDefault="00E0146B" w:rsidP="009E1883">
                  <w:pPr>
                    <w:pStyle w:val="Figure"/>
                    <w:spacing w:before="60" w:after="60"/>
                    <w:rPr>
                      <w:rFonts w:ascii="Arial" w:hAnsi="Arial" w:cs="Arial"/>
                      <w:sz w:val="18"/>
                      <w:szCs w:val="18"/>
                    </w:rPr>
                  </w:pPr>
                  <w:r>
                    <w:rPr>
                      <w:rFonts w:ascii="Arial" w:hAnsi="Arial" w:cs="Arial"/>
                      <w:sz w:val="18"/>
                      <w:szCs w:val="18"/>
                    </w:rPr>
                    <w:t>Economy-wide</w:t>
                  </w:r>
                </w:p>
              </w:tc>
              <w:tc>
                <w:tcPr>
                  <w:tcW w:w="2500" w:type="pct"/>
                  <w:tcBorders>
                    <w:top w:val="nil"/>
                    <w:bottom w:val="nil"/>
                  </w:tcBorders>
                </w:tcPr>
                <w:p w14:paraId="7C62DD1E" w14:textId="77777777" w:rsidR="009E1883" w:rsidRPr="00B1465D" w:rsidRDefault="00B43E4B" w:rsidP="00B43E4B">
                  <w:pPr>
                    <w:pStyle w:val="Figure"/>
                    <w:spacing w:before="60" w:after="60"/>
                    <w:rPr>
                      <w:rFonts w:ascii="Arial" w:hAnsi="Arial" w:cs="Arial"/>
                      <w:sz w:val="18"/>
                      <w:szCs w:val="18"/>
                    </w:rPr>
                  </w:pPr>
                  <w:r>
                    <w:rPr>
                      <w:rFonts w:ascii="Arial" w:hAnsi="Arial" w:cs="Arial"/>
                      <w:sz w:val="18"/>
                      <w:szCs w:val="18"/>
                    </w:rPr>
                    <w:t>M</w:t>
                  </w:r>
                  <w:r w:rsidR="009E1883">
                    <w:rPr>
                      <w:rFonts w:ascii="Arial" w:hAnsi="Arial" w:cs="Arial"/>
                      <w:sz w:val="18"/>
                      <w:szCs w:val="18"/>
                    </w:rPr>
                    <w:t xml:space="preserve">arket </w:t>
                  </w:r>
                  <w:r>
                    <w:rPr>
                      <w:rFonts w:ascii="Arial" w:hAnsi="Arial" w:cs="Arial"/>
                      <w:sz w:val="18"/>
                      <w:szCs w:val="18"/>
                    </w:rPr>
                    <w:t>sectors</w:t>
                  </w:r>
                </w:p>
              </w:tc>
            </w:tr>
            <w:tr w:rsidR="009E1883" w:rsidRPr="00B1465D" w14:paraId="42C2F35D" w14:textId="77777777" w:rsidTr="009E1883">
              <w:trPr>
                <w:tblHeader/>
                <w:jc w:val="center"/>
              </w:trPr>
              <w:tc>
                <w:tcPr>
                  <w:tcW w:w="2500" w:type="pct"/>
                  <w:tcBorders>
                    <w:top w:val="nil"/>
                    <w:bottom w:val="nil"/>
                  </w:tcBorders>
                </w:tcPr>
                <w:p w14:paraId="143F117D" w14:textId="77777777" w:rsidR="009E1883" w:rsidRPr="00B1465D" w:rsidRDefault="00437856" w:rsidP="009E1883">
                  <w:pPr>
                    <w:pStyle w:val="Figure"/>
                    <w:spacing w:before="60" w:after="60"/>
                    <w:rPr>
                      <w:rFonts w:ascii="Arial" w:hAnsi="Arial" w:cs="Arial"/>
                      <w:sz w:val="18"/>
                      <w:szCs w:val="18"/>
                    </w:rPr>
                  </w:pPr>
                  <w:r>
                    <w:rPr>
                      <w:rFonts w:ascii="Arial" w:hAnsi="Arial" w:cs="Arial"/>
                      <w:sz w:val="18"/>
                      <w:szCs w:val="18"/>
                    </w:rPr>
                    <w:t xml:space="preserve"> </w:t>
                  </w:r>
                  <w:r w:rsidRPr="00437856">
                    <w:rPr>
                      <w:rFonts w:ascii="Arial" w:hAnsi="Arial" w:cs="Arial"/>
                      <w:noProof/>
                      <w:sz w:val="18"/>
                      <w:szCs w:val="18"/>
                    </w:rPr>
                    <w:drawing>
                      <wp:inline distT="0" distB="0" distL="0" distR="0" wp14:anchorId="23172D5C" wp14:editId="4B33DCF1">
                        <wp:extent cx="2667000" cy="2336800"/>
                        <wp:effectExtent l="0" t="0" r="0" b="6350"/>
                        <wp:docPr id="31" name="Picture 31" descr="This figure consists of two panels showing labour productivity growth from 1975-76 to 2017-18. The left-hand panel shows that the economywide growth has been weak and slowing compared with recent years and below the historical long term trend. " title="Economywide aggregate labou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bottom w:val="nil"/>
                  </w:tcBorders>
                </w:tcPr>
                <w:p w14:paraId="528E93A5" w14:textId="77777777" w:rsidR="009E1883" w:rsidRPr="00B1465D" w:rsidRDefault="00C04290" w:rsidP="009E1883">
                  <w:pPr>
                    <w:pStyle w:val="Figure"/>
                    <w:spacing w:before="60" w:after="60"/>
                    <w:rPr>
                      <w:rFonts w:ascii="Arial" w:hAnsi="Arial" w:cs="Arial"/>
                      <w:sz w:val="18"/>
                      <w:szCs w:val="18"/>
                    </w:rPr>
                  </w:pPr>
                  <w:r w:rsidRPr="00C04290">
                    <w:rPr>
                      <w:rFonts w:ascii="Arial" w:hAnsi="Arial" w:cs="Arial"/>
                      <w:noProof/>
                      <w:sz w:val="18"/>
                      <w:szCs w:val="18"/>
                    </w:rPr>
                    <w:drawing>
                      <wp:inline distT="0" distB="0" distL="0" distR="0" wp14:anchorId="1FAFDE12" wp14:editId="655FAB46">
                        <wp:extent cx="2661285" cy="2324100"/>
                        <wp:effectExtent l="0" t="0" r="5715" b="0"/>
                        <wp:docPr id="19" name="Picture 19" descr="This figure consists of two panels showing labour productivity growth from 1975-76 to 2017-18. The right-hand panel shows that the weak recent performance for the economy also applies to the market sector" title="Market sector aggregate labou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1285" cy="2324100"/>
                                </a:xfrm>
                                <a:prstGeom prst="rect">
                                  <a:avLst/>
                                </a:prstGeom>
                                <a:noFill/>
                                <a:ln>
                                  <a:noFill/>
                                </a:ln>
                              </pic:spPr>
                            </pic:pic>
                          </a:graphicData>
                        </a:graphic>
                      </wp:inline>
                    </w:drawing>
                  </w:r>
                </w:p>
              </w:tc>
            </w:tr>
          </w:tbl>
          <w:p w14:paraId="4BFF0922" w14:textId="77777777" w:rsidR="009E1883" w:rsidRDefault="009E1883" w:rsidP="009E1883">
            <w:pPr>
              <w:pStyle w:val="Figure"/>
            </w:pPr>
          </w:p>
        </w:tc>
      </w:tr>
      <w:tr w:rsidR="009C06C5" w:rsidRPr="00176D3F" w14:paraId="01363A74" w14:textId="77777777" w:rsidTr="009E1883">
        <w:tc>
          <w:tcPr>
            <w:tcW w:w="5000" w:type="pct"/>
            <w:tcBorders>
              <w:top w:val="nil"/>
              <w:left w:val="nil"/>
              <w:bottom w:val="nil"/>
              <w:right w:val="nil"/>
            </w:tcBorders>
            <w:shd w:val="clear" w:color="auto" w:fill="auto"/>
          </w:tcPr>
          <w:p w14:paraId="443D5D6F" w14:textId="7857C86D" w:rsidR="009C06C5" w:rsidRDefault="009045A5">
            <w:pPr>
              <w:pStyle w:val="Note"/>
            </w:pPr>
            <w:r w:rsidRPr="00474F66">
              <w:rPr>
                <w:rStyle w:val="NoteLabel"/>
              </w:rPr>
              <w:t>a</w:t>
            </w:r>
            <w:r>
              <w:t xml:space="preserve"> Labour productivity based on </w:t>
            </w:r>
            <w:proofErr w:type="spellStart"/>
            <w:r>
              <w:t>GVA</w:t>
            </w:r>
            <w:proofErr w:type="spellEnd"/>
            <w:r>
              <w:t xml:space="preserve">. </w:t>
            </w:r>
            <w:r w:rsidRPr="0082674F">
              <w:rPr>
                <w:rStyle w:val="NoteLabel"/>
              </w:rPr>
              <w:t>b</w:t>
            </w:r>
            <w:r>
              <w:t> </w:t>
            </w:r>
            <w:r w:rsidR="009C06C5">
              <w:t>The ABS growth cycle commences in 1973</w:t>
            </w:r>
            <w:r w:rsidR="009C06C5">
              <w:noBreakHyphen/>
              <w:t xml:space="preserve">74, but data </w:t>
            </w:r>
            <w:r w:rsidR="005918C6">
              <w:t>are</w:t>
            </w:r>
            <w:r w:rsidR="009C06C5">
              <w:t xml:space="preserve"> </w:t>
            </w:r>
            <w:r w:rsidR="005918C6">
              <w:t>only</w:t>
            </w:r>
            <w:r w:rsidR="009C06C5">
              <w:t xml:space="preserve"> uniformly available from </w:t>
            </w:r>
            <w:r w:rsidR="005918C6">
              <w:t>1974</w:t>
            </w:r>
            <w:r w:rsidR="005918C6">
              <w:noBreakHyphen/>
              <w:t>75</w:t>
            </w:r>
            <w:r w:rsidR="009C06C5">
              <w:t>. Accordingly</w:t>
            </w:r>
            <w:r w:rsidR="005918C6">
              <w:t>,</w:t>
            </w:r>
            <w:r w:rsidR="009C06C5">
              <w:t xml:space="preserve"> </w:t>
            </w:r>
            <w:r w:rsidR="005918C6">
              <w:t>the first growth rate</w:t>
            </w:r>
            <w:r w:rsidR="009C06C5">
              <w:t xml:space="preserve"> </w:t>
            </w:r>
            <w:r w:rsidR="005918C6">
              <w:t xml:space="preserve">is </w:t>
            </w:r>
            <w:r w:rsidR="00233008">
              <w:t>for</w:t>
            </w:r>
            <w:r w:rsidR="005918C6">
              <w:t xml:space="preserve"> 1974</w:t>
            </w:r>
            <w:r w:rsidR="005918C6">
              <w:noBreakHyphen/>
              <w:t>75 to 1975</w:t>
            </w:r>
            <w:r w:rsidR="005918C6">
              <w:noBreakHyphen/>
              <w:t>76.</w:t>
            </w:r>
          </w:p>
        </w:tc>
      </w:tr>
      <w:tr w:rsidR="009E1883" w:rsidRPr="00176D3F" w14:paraId="2D81B67D" w14:textId="77777777" w:rsidTr="009E1883">
        <w:tc>
          <w:tcPr>
            <w:tcW w:w="5000" w:type="pct"/>
            <w:tcBorders>
              <w:top w:val="nil"/>
              <w:left w:val="nil"/>
              <w:bottom w:val="nil"/>
              <w:right w:val="nil"/>
            </w:tcBorders>
            <w:shd w:val="clear" w:color="auto" w:fill="auto"/>
          </w:tcPr>
          <w:p w14:paraId="186D206D" w14:textId="28194602" w:rsidR="009E1883" w:rsidRPr="00176D3F" w:rsidRDefault="009E1883" w:rsidP="000014C1">
            <w:pPr>
              <w:pStyle w:val="Source"/>
            </w:pPr>
            <w:r>
              <w:rPr>
                <w:i/>
              </w:rPr>
              <w:t>S</w:t>
            </w:r>
            <w:r w:rsidRPr="00784A05">
              <w:rPr>
                <w:i/>
              </w:rPr>
              <w:t>ource</w:t>
            </w:r>
            <w:r w:rsidR="00D33627">
              <w:rPr>
                <w:i/>
              </w:rPr>
              <w:t>s</w:t>
            </w:r>
            <w:r w:rsidRPr="00176D3F">
              <w:t xml:space="preserve">: </w:t>
            </w:r>
            <w:r w:rsidR="00AD2B56" w:rsidRPr="00AD2B56">
              <w:t>Estimates for the economy (see annex);</w:t>
            </w:r>
            <w:r w:rsidR="00AD2B56">
              <w:t xml:space="preserve"> and </w:t>
            </w:r>
            <w:r w:rsidR="000014C1" w:rsidRPr="000014C1">
              <w:t xml:space="preserve">ABS (2018, </w:t>
            </w:r>
            <w:r w:rsidR="000014C1" w:rsidRPr="000014C1">
              <w:rPr>
                <w:i/>
                <w:iCs/>
              </w:rPr>
              <w:t>Estimates of Industry Multifactor Productivity</w:t>
            </w:r>
            <w:r w:rsidR="000014C1" w:rsidRPr="000014C1">
              <w:t>, 2017</w:t>
            </w:r>
            <w:r w:rsidR="000014C1" w:rsidRPr="000014C1">
              <w:noBreakHyphen/>
              <w:t>18, Cat. no. 5260.0.55.002, table</w:t>
            </w:r>
            <w:r w:rsidR="000014C1">
              <w:t> </w:t>
            </w:r>
            <w:r w:rsidR="000014C1" w:rsidRPr="000014C1">
              <w:t>6).</w:t>
            </w:r>
          </w:p>
        </w:tc>
      </w:tr>
      <w:tr w:rsidR="009E1883" w14:paraId="6B979A5E" w14:textId="77777777" w:rsidTr="009E1883">
        <w:tc>
          <w:tcPr>
            <w:tcW w:w="5000" w:type="pct"/>
            <w:tcBorders>
              <w:top w:val="nil"/>
              <w:left w:val="nil"/>
              <w:bottom w:val="single" w:sz="6" w:space="0" w:color="78A22F"/>
              <w:right w:val="nil"/>
            </w:tcBorders>
            <w:shd w:val="clear" w:color="auto" w:fill="auto"/>
          </w:tcPr>
          <w:p w14:paraId="6442A3ED" w14:textId="77777777" w:rsidR="009E1883" w:rsidRDefault="009E1883" w:rsidP="009E1883">
            <w:pPr>
              <w:pStyle w:val="Figurespace"/>
            </w:pPr>
          </w:p>
        </w:tc>
      </w:tr>
      <w:tr w:rsidR="009E1883" w:rsidRPr="000863A5" w14:paraId="42CD3A73" w14:textId="77777777" w:rsidTr="009E1883">
        <w:tc>
          <w:tcPr>
            <w:tcW w:w="5000" w:type="pct"/>
            <w:tcBorders>
              <w:top w:val="single" w:sz="6" w:space="0" w:color="78A22F"/>
              <w:left w:val="nil"/>
              <w:bottom w:val="nil"/>
              <w:right w:val="nil"/>
            </w:tcBorders>
          </w:tcPr>
          <w:p w14:paraId="3209F372" w14:textId="77777777" w:rsidR="009E1883" w:rsidRPr="00626D32" w:rsidRDefault="009E1883" w:rsidP="009E1883">
            <w:pPr>
              <w:pStyle w:val="BoxSpaceBelow"/>
            </w:pPr>
          </w:p>
        </w:tc>
      </w:tr>
    </w:tbl>
    <w:p w14:paraId="5648260B" w14:textId="4B88201C" w:rsidR="00A86F06" w:rsidRDefault="00A86F06" w:rsidP="00A86F06">
      <w:pPr>
        <w:pStyle w:val="BodyText"/>
      </w:pPr>
      <w:r>
        <w:t xml:space="preserve">The first of these is the </w:t>
      </w:r>
      <w:r w:rsidRPr="00F35723">
        <w:t>major factor</w:t>
      </w:r>
      <w:r>
        <w:t xml:space="preserve"> underlying Australia’s recent low labour productivity growth (figure 1.1). While Australia’s long</w:t>
      </w:r>
      <w:r>
        <w:noBreakHyphen/>
        <w:t>run economic development has been characterised by capital deepening, this engine of growth has faltered, with progressively slowing contributions from capital deepening over the current productivity cycle, partly a reflection of the end of the mining investment boom. Indeed, in 2017</w:t>
      </w:r>
      <w:r>
        <w:noBreakHyphen/>
        <w:t xml:space="preserve">18, the </w:t>
      </w:r>
      <w:r w:rsidR="00E0146B">
        <w:t>economy-wide</w:t>
      </w:r>
      <w:r>
        <w:t xml:space="preserve"> capital</w:t>
      </w:r>
      <w:r>
        <w:noBreakHyphen/>
        <w:t>labour share has fallen (‘capital shallowing’). This is not an artefact of the problems in constructing capital services for the whole economy because it is also apparent for the market sector, where capital services are better measured. In the 16 industry market sector, 2017</w:t>
      </w:r>
      <w:r>
        <w:noBreakHyphen/>
        <w:t>18 is the first year from the commencement of the series in 1994</w:t>
      </w:r>
      <w:r>
        <w:noBreakHyphen/>
        <w:t>95 that capital shallowing has occurred. The most recent data on private business gross fixed capital expenditure show that trend real spending has continued to drift down.</w:t>
      </w:r>
      <w:r w:rsidRPr="007A5DC9">
        <w:rPr>
          <w:rStyle w:val="FootnoteReference"/>
        </w:rPr>
        <w:footnoteReference w:id="4"/>
      </w:r>
    </w:p>
    <w:p w14:paraId="28E84CCA" w14:textId="4044A2B8" w:rsidR="00BB7254" w:rsidRPr="00EC5EF6" w:rsidRDefault="00382007" w:rsidP="004908F8">
      <w:pPr>
        <w:pStyle w:val="BodyText"/>
        <w:rPr>
          <w:spacing w:val="-2"/>
        </w:rPr>
      </w:pPr>
      <w:r w:rsidRPr="00EC5EF6">
        <w:rPr>
          <w:spacing w:val="-2"/>
        </w:rPr>
        <w:t xml:space="preserve">The </w:t>
      </w:r>
      <w:r w:rsidR="00756595" w:rsidRPr="00EC5EF6">
        <w:rPr>
          <w:spacing w:val="-2"/>
        </w:rPr>
        <w:t xml:space="preserve">weak growth in </w:t>
      </w:r>
      <w:r w:rsidR="00E0146B">
        <w:rPr>
          <w:spacing w:val="-2"/>
        </w:rPr>
        <w:t>economy-wide</w:t>
      </w:r>
      <w:r w:rsidR="00BB7254" w:rsidRPr="00EC5EF6">
        <w:rPr>
          <w:spacing w:val="-2"/>
        </w:rPr>
        <w:t xml:space="preserve"> </w:t>
      </w:r>
      <w:r w:rsidR="00756595" w:rsidRPr="00EC5EF6">
        <w:rPr>
          <w:spacing w:val="-2"/>
        </w:rPr>
        <w:t xml:space="preserve">labour productivity </w:t>
      </w:r>
      <w:r w:rsidR="00BB7254" w:rsidRPr="00EC5EF6">
        <w:rPr>
          <w:spacing w:val="-2"/>
        </w:rPr>
        <w:t xml:space="preserve">is not common across all industries, with </w:t>
      </w:r>
      <w:r w:rsidR="00E77244" w:rsidRPr="00EC5EF6">
        <w:rPr>
          <w:spacing w:val="-2"/>
        </w:rPr>
        <w:t>disproportionately</w:t>
      </w:r>
      <w:r w:rsidR="00BB7254" w:rsidRPr="00EC5EF6">
        <w:rPr>
          <w:spacing w:val="-2"/>
        </w:rPr>
        <w:t xml:space="preserve"> negative effects from some key market sector industries —</w:t>
      </w:r>
      <w:r w:rsidR="00D33627" w:rsidRPr="00EC5EF6">
        <w:rPr>
          <w:spacing w:val="-2"/>
        </w:rPr>
        <w:t xml:space="preserve"> </w:t>
      </w:r>
      <w:r w:rsidR="00756595" w:rsidRPr="00EC5EF6">
        <w:rPr>
          <w:i/>
          <w:spacing w:val="-2"/>
        </w:rPr>
        <w:t>agriculture, forestry and fishing</w:t>
      </w:r>
      <w:r w:rsidR="00756595" w:rsidRPr="00EC5EF6">
        <w:rPr>
          <w:spacing w:val="-2"/>
        </w:rPr>
        <w:t xml:space="preserve">, </w:t>
      </w:r>
      <w:r w:rsidR="00756595" w:rsidRPr="00EC5EF6">
        <w:rPr>
          <w:i/>
          <w:spacing w:val="-2"/>
        </w:rPr>
        <w:t>arts and recreation services</w:t>
      </w:r>
      <w:r w:rsidR="00756595" w:rsidRPr="00EC5EF6">
        <w:rPr>
          <w:spacing w:val="-2"/>
        </w:rPr>
        <w:t xml:space="preserve"> and </w:t>
      </w:r>
      <w:r w:rsidR="00756595" w:rsidRPr="00EC5EF6">
        <w:rPr>
          <w:i/>
          <w:spacing w:val="-2"/>
        </w:rPr>
        <w:t>electricity, gas, water and waste service</w:t>
      </w:r>
      <w:r w:rsidR="00CD07D7" w:rsidRPr="00EC5EF6">
        <w:rPr>
          <w:i/>
          <w:spacing w:val="-2"/>
        </w:rPr>
        <w:t>s</w:t>
      </w:r>
      <w:r w:rsidR="00CD07D7" w:rsidRPr="00EC5EF6">
        <w:rPr>
          <w:spacing w:val="-2"/>
        </w:rPr>
        <w:t xml:space="preserve"> (figure </w:t>
      </w:r>
      <w:r w:rsidR="00C3655D" w:rsidRPr="00EC5EF6">
        <w:rPr>
          <w:spacing w:val="-2"/>
        </w:rPr>
        <w:t>1.</w:t>
      </w:r>
      <w:r w:rsidR="00CD07D7" w:rsidRPr="00EC5EF6">
        <w:rPr>
          <w:spacing w:val="-2"/>
        </w:rPr>
        <w:t>5)</w:t>
      </w:r>
      <w:r w:rsidR="00756595" w:rsidRPr="00EC5EF6">
        <w:rPr>
          <w:spacing w:val="-2"/>
        </w:rPr>
        <w:t xml:space="preserve">. </w:t>
      </w:r>
      <w:r w:rsidR="00BB7254" w:rsidRPr="00EC5EF6">
        <w:rPr>
          <w:spacing w:val="-2"/>
        </w:rPr>
        <w:t>The outcome for the agricultural sector is surprising as it reflects the coincidence of</w:t>
      </w:r>
      <w:r w:rsidR="00CD07D7" w:rsidRPr="00EC5EF6">
        <w:rPr>
          <w:spacing w:val="-2"/>
        </w:rPr>
        <w:t xml:space="preserve"> apparently</w:t>
      </w:r>
      <w:r w:rsidR="00BB7254" w:rsidRPr="00EC5EF6">
        <w:rPr>
          <w:spacing w:val="-2"/>
        </w:rPr>
        <w:t xml:space="preserve"> </w:t>
      </w:r>
      <w:r w:rsidR="00BB7254" w:rsidRPr="00EC5EF6">
        <w:rPr>
          <w:i/>
          <w:spacing w:val="-2"/>
        </w:rPr>
        <w:t>increased</w:t>
      </w:r>
      <w:r w:rsidR="00BB7254" w:rsidRPr="00EC5EF6">
        <w:rPr>
          <w:spacing w:val="-2"/>
        </w:rPr>
        <w:t xml:space="preserve"> hours and reduced output. While </w:t>
      </w:r>
      <w:r w:rsidR="00E77244" w:rsidRPr="00EC5EF6">
        <w:rPr>
          <w:spacing w:val="-2"/>
        </w:rPr>
        <w:t xml:space="preserve">severe </w:t>
      </w:r>
      <w:r w:rsidR="00BB7254" w:rsidRPr="00EC5EF6">
        <w:rPr>
          <w:spacing w:val="-2"/>
        </w:rPr>
        <w:t xml:space="preserve">drought conditions </w:t>
      </w:r>
      <w:r w:rsidR="00E77244" w:rsidRPr="00EC5EF6">
        <w:rPr>
          <w:spacing w:val="-2"/>
        </w:rPr>
        <w:t xml:space="preserve">affecting large areas of farmland </w:t>
      </w:r>
      <w:r w:rsidR="00BB7254" w:rsidRPr="00EC5EF6">
        <w:rPr>
          <w:spacing w:val="-2"/>
        </w:rPr>
        <w:t>can explain the latter</w:t>
      </w:r>
      <w:r w:rsidR="0006226B" w:rsidRPr="00EC5EF6">
        <w:rPr>
          <w:spacing w:val="-2"/>
        </w:rPr>
        <w:t xml:space="preserve"> </w:t>
      </w:r>
      <w:r w:rsidR="004A036D" w:rsidRPr="00EC5EF6">
        <w:rPr>
          <w:spacing w:val="-2"/>
          <w:szCs w:val="24"/>
        </w:rPr>
        <w:t>(Hatfield</w:t>
      </w:r>
      <w:r w:rsidR="006A0FED" w:rsidRPr="00EC5EF6">
        <w:rPr>
          <w:spacing w:val="-2"/>
          <w:szCs w:val="24"/>
        </w:rPr>
        <w:noBreakHyphen/>
      </w:r>
      <w:proofErr w:type="spellStart"/>
      <w:r w:rsidR="004A036D" w:rsidRPr="00EC5EF6">
        <w:rPr>
          <w:spacing w:val="-2"/>
          <w:szCs w:val="24"/>
        </w:rPr>
        <w:t>Dodds</w:t>
      </w:r>
      <w:proofErr w:type="spellEnd"/>
      <w:r w:rsidR="004A036D" w:rsidRPr="00EC5EF6">
        <w:rPr>
          <w:spacing w:val="-2"/>
          <w:szCs w:val="24"/>
        </w:rPr>
        <w:t xml:space="preserve"> et al. 2018)</w:t>
      </w:r>
      <w:r w:rsidR="00BB7254" w:rsidRPr="00EC5EF6">
        <w:rPr>
          <w:spacing w:val="-2"/>
        </w:rPr>
        <w:t xml:space="preserve">, it cannot explain why farms did not </w:t>
      </w:r>
      <w:r w:rsidR="00416860" w:rsidRPr="00EC5EF6">
        <w:rPr>
          <w:spacing w:val="-2"/>
        </w:rPr>
        <w:t>reduce labour input</w:t>
      </w:r>
      <w:r w:rsidR="00BB7254" w:rsidRPr="00EC5EF6">
        <w:rPr>
          <w:spacing w:val="-2"/>
        </w:rPr>
        <w:t>.</w:t>
      </w:r>
      <w:r w:rsidR="00884056" w:rsidRPr="00EC5EF6">
        <w:rPr>
          <w:spacing w:val="-2"/>
        </w:rPr>
        <w:t xml:space="preserve"> </w:t>
      </w:r>
      <w:r w:rsidR="008D1538" w:rsidRPr="00EC5EF6">
        <w:rPr>
          <w:spacing w:val="-2"/>
        </w:rPr>
        <w:t>Data errors may be present.</w:t>
      </w:r>
    </w:p>
    <w:p w14:paraId="72D69E39" w14:textId="77777777" w:rsidR="00817CBB" w:rsidRDefault="00817CBB" w:rsidP="00817CB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17CBB" w14:paraId="56440D1D" w14:textId="77777777" w:rsidTr="00817CBB">
        <w:trPr>
          <w:tblHeader/>
        </w:trPr>
        <w:tc>
          <w:tcPr>
            <w:tcW w:w="5000" w:type="pct"/>
            <w:tcBorders>
              <w:top w:val="single" w:sz="6" w:space="0" w:color="78A22F"/>
              <w:left w:val="nil"/>
              <w:bottom w:val="nil"/>
              <w:right w:val="nil"/>
            </w:tcBorders>
            <w:shd w:val="clear" w:color="auto" w:fill="auto"/>
          </w:tcPr>
          <w:p w14:paraId="2E80DD6E" w14:textId="77777777" w:rsidR="00817CBB" w:rsidRDefault="00817CBB" w:rsidP="00817CBB">
            <w:pPr>
              <w:pStyle w:val="FigureTitle"/>
            </w:pPr>
            <w:r w:rsidRPr="00784A05">
              <w:rPr>
                <w:b w:val="0"/>
              </w:rPr>
              <w:t xml:space="preserve">Figure </w:t>
            </w:r>
            <w:r w:rsidR="00567785">
              <w:rPr>
                <w:b w:val="0"/>
              </w:rPr>
              <w:t>1.</w:t>
            </w:r>
            <w:r w:rsidR="00CD07D7">
              <w:rPr>
                <w:b w:val="0"/>
              </w:rPr>
              <w:t>5</w:t>
            </w:r>
            <w:r>
              <w:tab/>
              <w:t>Labour productivity growth by industry</w:t>
            </w:r>
          </w:p>
          <w:p w14:paraId="20BB8E05" w14:textId="77777777" w:rsidR="00817CBB" w:rsidRPr="00176D3F" w:rsidRDefault="00817CBB" w:rsidP="00817CBB">
            <w:pPr>
              <w:pStyle w:val="Subtitle"/>
            </w:pPr>
            <w:r>
              <w:t>Per cent per year</w:t>
            </w:r>
          </w:p>
        </w:tc>
      </w:tr>
      <w:tr w:rsidR="00817CBB" w14:paraId="1687F9C0" w14:textId="77777777" w:rsidTr="00817CBB">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17CBB" w:rsidRPr="00B1465D" w14:paraId="2A185030" w14:textId="77777777" w:rsidTr="00817CBB">
              <w:trPr>
                <w:tblHeader/>
                <w:jc w:val="center"/>
              </w:trPr>
              <w:tc>
                <w:tcPr>
                  <w:tcW w:w="5000" w:type="pct"/>
                  <w:tcBorders>
                    <w:top w:val="nil"/>
                    <w:bottom w:val="nil"/>
                  </w:tcBorders>
                </w:tcPr>
                <w:p w14:paraId="0BB7ED53" w14:textId="77777777" w:rsidR="00817CBB" w:rsidRPr="00B1465D" w:rsidRDefault="00ED19D2" w:rsidP="00817CBB">
                  <w:pPr>
                    <w:pStyle w:val="Figure"/>
                    <w:spacing w:before="60" w:after="60"/>
                    <w:rPr>
                      <w:rFonts w:ascii="Arial" w:hAnsi="Arial" w:cs="Arial"/>
                      <w:sz w:val="18"/>
                      <w:szCs w:val="18"/>
                    </w:rPr>
                  </w:pPr>
                  <w:r w:rsidRPr="00ED19D2">
                    <w:rPr>
                      <w:rFonts w:ascii="Arial" w:hAnsi="Arial" w:cs="Arial"/>
                      <w:noProof/>
                      <w:sz w:val="18"/>
                      <w:szCs w:val="18"/>
                    </w:rPr>
                    <w:drawing>
                      <wp:inline distT="0" distB="0" distL="0" distR="0" wp14:anchorId="17E38C28" wp14:editId="0F848E29">
                        <wp:extent cx="5472000" cy="5472000"/>
                        <wp:effectExtent l="0" t="0" r="0" b="0"/>
                        <wp:docPr id="47" name="Picture 47" descr="This figure shows industry labour productivity growth in 2017-18 as well as across two productivity cycles from 2003 04 to 2011 12 and from 2011 12 to 2017 18. It shows labour productivity growth varied across industry and across time." title="Figure 1.5 Labour productivity growth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912"/>
                                <a:stretch/>
                              </pic:blipFill>
                              <pic:spPr bwMode="auto">
                                <a:xfrm>
                                  <a:off x="0" y="0"/>
                                  <a:ext cx="5472000" cy="5472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1C8FC69" w14:textId="77777777" w:rsidR="00817CBB" w:rsidRDefault="00817CBB" w:rsidP="00817CBB">
            <w:pPr>
              <w:pStyle w:val="Figure"/>
            </w:pPr>
          </w:p>
        </w:tc>
      </w:tr>
      <w:tr w:rsidR="00817CBB" w:rsidRPr="00176D3F" w14:paraId="7D1E3F72" w14:textId="77777777" w:rsidTr="00817CBB">
        <w:tc>
          <w:tcPr>
            <w:tcW w:w="5000" w:type="pct"/>
            <w:tcBorders>
              <w:top w:val="nil"/>
              <w:left w:val="nil"/>
              <w:bottom w:val="nil"/>
              <w:right w:val="nil"/>
            </w:tcBorders>
            <w:shd w:val="clear" w:color="auto" w:fill="auto"/>
          </w:tcPr>
          <w:p w14:paraId="7984F7AA" w14:textId="3F621990" w:rsidR="00817CBB" w:rsidRPr="00176D3F" w:rsidRDefault="00817CBB" w:rsidP="000014C1">
            <w:pPr>
              <w:pStyle w:val="Source"/>
            </w:pPr>
            <w:r>
              <w:rPr>
                <w:i/>
              </w:rPr>
              <w:t>S</w:t>
            </w:r>
            <w:r w:rsidRPr="00784A05">
              <w:rPr>
                <w:i/>
              </w:rPr>
              <w:t>ource</w:t>
            </w:r>
            <w:r w:rsidR="00C52398">
              <w:rPr>
                <w:i/>
              </w:rPr>
              <w:t>s</w:t>
            </w:r>
            <w:r w:rsidRPr="00176D3F">
              <w:t xml:space="preserve">: </w:t>
            </w:r>
            <w:r w:rsidR="000014C1" w:rsidRPr="000014C1">
              <w:t xml:space="preserve">ABS (2018, </w:t>
            </w:r>
            <w:r w:rsidR="000014C1" w:rsidRPr="000014C1">
              <w:rPr>
                <w:i/>
                <w:iCs/>
              </w:rPr>
              <w:t>Australian System of National Account</w:t>
            </w:r>
            <w:r w:rsidR="000014C1" w:rsidRPr="000014C1">
              <w:t>s, 2017</w:t>
            </w:r>
            <w:r w:rsidR="000014C1" w:rsidRPr="000014C1">
              <w:noBreakHyphen/>
              <w:t>18, Cat. no. 5204.0, tables</w:t>
            </w:r>
            <w:r w:rsidR="000014C1">
              <w:t> </w:t>
            </w:r>
            <w:r w:rsidR="000014C1" w:rsidRPr="000014C1">
              <w:t xml:space="preserve">1, 5 and 15) and ABS (2018, </w:t>
            </w:r>
            <w:r w:rsidR="000014C1" w:rsidRPr="00AD2B56">
              <w:rPr>
                <w:i/>
              </w:rPr>
              <w:t>Labour Force, Australia</w:t>
            </w:r>
            <w:r w:rsidR="000014C1" w:rsidRPr="000014C1">
              <w:t>,</w:t>
            </w:r>
            <w:r w:rsidR="000014C1" w:rsidRPr="00AD2B56">
              <w:rPr>
                <w:i/>
              </w:rPr>
              <w:t xml:space="preserve"> Detailed, Quarterly</w:t>
            </w:r>
            <w:r w:rsidR="000014C1" w:rsidRPr="000014C1">
              <w:t>, Aug 2018, Cat. no. 6291.0.55.003, table</w:t>
            </w:r>
            <w:r w:rsidR="000014C1">
              <w:t> </w:t>
            </w:r>
            <w:r w:rsidR="000014C1" w:rsidRPr="000014C1">
              <w:t>11).</w:t>
            </w:r>
          </w:p>
        </w:tc>
      </w:tr>
      <w:tr w:rsidR="00817CBB" w14:paraId="7FB488A8" w14:textId="77777777" w:rsidTr="00817CBB">
        <w:tc>
          <w:tcPr>
            <w:tcW w:w="5000" w:type="pct"/>
            <w:tcBorders>
              <w:top w:val="nil"/>
              <w:left w:val="nil"/>
              <w:bottom w:val="single" w:sz="6" w:space="0" w:color="78A22F"/>
              <w:right w:val="nil"/>
            </w:tcBorders>
            <w:shd w:val="clear" w:color="auto" w:fill="auto"/>
          </w:tcPr>
          <w:p w14:paraId="0C750103" w14:textId="77777777" w:rsidR="00817CBB" w:rsidRDefault="00817CBB" w:rsidP="00817CBB">
            <w:pPr>
              <w:pStyle w:val="Figurespace"/>
            </w:pPr>
          </w:p>
        </w:tc>
      </w:tr>
      <w:tr w:rsidR="00817CBB" w:rsidRPr="000863A5" w14:paraId="28950770" w14:textId="77777777" w:rsidTr="00817CBB">
        <w:tc>
          <w:tcPr>
            <w:tcW w:w="5000" w:type="pct"/>
            <w:tcBorders>
              <w:top w:val="single" w:sz="6" w:space="0" w:color="78A22F"/>
              <w:left w:val="nil"/>
              <w:bottom w:val="nil"/>
              <w:right w:val="nil"/>
            </w:tcBorders>
          </w:tcPr>
          <w:p w14:paraId="4BEB9A8E" w14:textId="77777777" w:rsidR="00817CBB" w:rsidRPr="00626D32" w:rsidRDefault="00817CBB" w:rsidP="00817CBB">
            <w:pPr>
              <w:pStyle w:val="BoxSpaceBelow"/>
            </w:pPr>
          </w:p>
        </w:tc>
      </w:tr>
    </w:tbl>
    <w:p w14:paraId="784B22F5" w14:textId="77777777" w:rsidR="00572ABF" w:rsidRPr="00DA02B0" w:rsidRDefault="00572ABF" w:rsidP="00DA02B0">
      <w:pPr>
        <w:pStyle w:val="Heading2"/>
        <w:rPr>
          <w:b w:val="0"/>
          <w:sz w:val="24"/>
          <w:szCs w:val="24"/>
        </w:rPr>
      </w:pPr>
      <w:r w:rsidRPr="00DA02B0">
        <w:rPr>
          <w:b w:val="0"/>
          <w:sz w:val="24"/>
          <w:szCs w:val="24"/>
        </w:rPr>
        <w:t xml:space="preserve">Multifactor productivity growth </w:t>
      </w:r>
      <w:r w:rsidR="0006226B" w:rsidRPr="00DA02B0">
        <w:rPr>
          <w:b w:val="0"/>
          <w:sz w:val="24"/>
          <w:szCs w:val="24"/>
        </w:rPr>
        <w:t>has been</w:t>
      </w:r>
      <w:r w:rsidRPr="00DA02B0">
        <w:rPr>
          <w:b w:val="0"/>
          <w:sz w:val="24"/>
          <w:szCs w:val="24"/>
        </w:rPr>
        <w:t xml:space="preserve"> weaker than the </w:t>
      </w:r>
      <w:r w:rsidR="0006226B" w:rsidRPr="00DA02B0">
        <w:rPr>
          <w:b w:val="0"/>
          <w:sz w:val="24"/>
          <w:szCs w:val="24"/>
        </w:rPr>
        <w:t>previous</w:t>
      </w:r>
      <w:r w:rsidRPr="00DA02B0">
        <w:rPr>
          <w:b w:val="0"/>
          <w:sz w:val="24"/>
          <w:szCs w:val="24"/>
        </w:rPr>
        <w:t xml:space="preserve"> few years</w:t>
      </w:r>
    </w:p>
    <w:p w14:paraId="758917F2" w14:textId="77777777" w:rsidR="008B3B7E" w:rsidRDefault="004F1657" w:rsidP="008B3B7E">
      <w:pPr>
        <w:pStyle w:val="BodyText"/>
      </w:pPr>
      <w:r>
        <w:t xml:space="preserve">Labour and capital inputs explain much, but not all, of the economy’s growth in output. </w:t>
      </w:r>
      <w:r w:rsidR="008B3B7E">
        <w:t>The residual source of growth —</w:t>
      </w:r>
      <w:r>
        <w:t xml:space="preserve"> </w:t>
      </w:r>
      <w:r w:rsidR="008B3B7E">
        <w:t>MFP — captures all other factors that influence output, including improvements in dynamic efficiency</w:t>
      </w:r>
      <w:r>
        <w:t>, measurement error, and structural changes in the economy</w:t>
      </w:r>
      <w:r w:rsidR="008B3B7E">
        <w:t xml:space="preserve">. </w:t>
      </w:r>
    </w:p>
    <w:p w14:paraId="2768A45D" w14:textId="242350CD" w:rsidR="008B3B7E" w:rsidRPr="00DA02B0" w:rsidRDefault="00E0146B" w:rsidP="008B3B7E">
      <w:pPr>
        <w:pStyle w:val="BodyText"/>
        <w:rPr>
          <w:spacing w:val="-2"/>
        </w:rPr>
      </w:pPr>
      <w:r>
        <w:rPr>
          <w:spacing w:val="-2"/>
        </w:rPr>
        <w:lastRenderedPageBreak/>
        <w:t>Economy-wide</w:t>
      </w:r>
      <w:r w:rsidR="00F20149" w:rsidRPr="00DA02B0">
        <w:rPr>
          <w:spacing w:val="-2"/>
        </w:rPr>
        <w:t xml:space="preserve"> </w:t>
      </w:r>
      <w:r w:rsidR="008B3B7E" w:rsidRPr="00DA02B0">
        <w:rPr>
          <w:spacing w:val="-2"/>
        </w:rPr>
        <w:t xml:space="preserve">MFP grew by </w:t>
      </w:r>
      <w:r w:rsidR="00F20149" w:rsidRPr="00DA02B0">
        <w:rPr>
          <w:spacing w:val="-2"/>
        </w:rPr>
        <w:t xml:space="preserve">just </w:t>
      </w:r>
      <w:r w:rsidR="008B3B7E" w:rsidRPr="00DA02B0">
        <w:rPr>
          <w:spacing w:val="-2"/>
        </w:rPr>
        <w:t>0.4 per</w:t>
      </w:r>
      <w:r w:rsidR="00981F8A">
        <w:rPr>
          <w:spacing w:val="-2"/>
        </w:rPr>
        <w:t> </w:t>
      </w:r>
      <w:r w:rsidR="008B3B7E" w:rsidRPr="00DA02B0">
        <w:rPr>
          <w:spacing w:val="-2"/>
        </w:rPr>
        <w:t>cent in 2017</w:t>
      </w:r>
      <w:r w:rsidR="008B3B7E" w:rsidRPr="00DA02B0">
        <w:rPr>
          <w:spacing w:val="-2"/>
        </w:rPr>
        <w:noBreakHyphen/>
        <w:t>18 (</w:t>
      </w:r>
      <w:r w:rsidR="00CD07D7" w:rsidRPr="00DA02B0">
        <w:rPr>
          <w:spacing w:val="-2"/>
        </w:rPr>
        <w:t>table</w:t>
      </w:r>
      <w:r w:rsidR="00D33627" w:rsidRPr="00DA02B0">
        <w:rPr>
          <w:spacing w:val="-2"/>
        </w:rPr>
        <w:t> </w:t>
      </w:r>
      <w:r w:rsidR="00CD07D7" w:rsidRPr="00DA02B0">
        <w:rPr>
          <w:spacing w:val="-2"/>
        </w:rPr>
        <w:t xml:space="preserve">1 and </w:t>
      </w:r>
      <w:r w:rsidR="008B3B7E" w:rsidRPr="00DA02B0">
        <w:rPr>
          <w:spacing w:val="-2"/>
        </w:rPr>
        <w:t>figure </w:t>
      </w:r>
      <w:r w:rsidR="00C3655D" w:rsidRPr="00DA02B0">
        <w:rPr>
          <w:spacing w:val="-2"/>
        </w:rPr>
        <w:t>1.</w:t>
      </w:r>
      <w:r w:rsidR="00CD07D7" w:rsidRPr="00DA02B0">
        <w:rPr>
          <w:spacing w:val="-2"/>
        </w:rPr>
        <w:t>6</w:t>
      </w:r>
      <w:r w:rsidR="008B3B7E" w:rsidRPr="00DA02B0">
        <w:rPr>
          <w:spacing w:val="-2"/>
        </w:rPr>
        <w:t xml:space="preserve">). This rate of growth is </w:t>
      </w:r>
      <w:r w:rsidR="00F20149" w:rsidRPr="00DA02B0">
        <w:rPr>
          <w:spacing w:val="-2"/>
        </w:rPr>
        <w:t>the lowest since 2010</w:t>
      </w:r>
      <w:r w:rsidR="00F20149" w:rsidRPr="00DA02B0">
        <w:rPr>
          <w:spacing w:val="-2"/>
        </w:rPr>
        <w:noBreakHyphen/>
        <w:t>11</w:t>
      </w:r>
      <w:r w:rsidR="008B3B7E" w:rsidRPr="00DA02B0">
        <w:rPr>
          <w:spacing w:val="-2"/>
        </w:rPr>
        <w:t>. It is, however, above the average rate for the last complete cycle</w:t>
      </w:r>
      <w:r w:rsidR="004F1657" w:rsidRPr="00DA02B0">
        <w:rPr>
          <w:spacing w:val="-2"/>
        </w:rPr>
        <w:t xml:space="preserve"> from </w:t>
      </w:r>
      <w:r w:rsidR="002274FC" w:rsidRPr="00DA02B0">
        <w:rPr>
          <w:spacing w:val="-2"/>
        </w:rPr>
        <w:t>2003</w:t>
      </w:r>
      <w:r w:rsidR="002274FC" w:rsidRPr="00DA02B0">
        <w:rPr>
          <w:spacing w:val="-2"/>
        </w:rPr>
        <w:noBreakHyphen/>
        <w:t xml:space="preserve">04 </w:t>
      </w:r>
      <w:r w:rsidR="004F1657" w:rsidRPr="00DA02B0">
        <w:rPr>
          <w:spacing w:val="-2"/>
        </w:rPr>
        <w:t xml:space="preserve">to </w:t>
      </w:r>
      <w:r w:rsidR="002274FC" w:rsidRPr="00DA02B0">
        <w:rPr>
          <w:spacing w:val="-2"/>
        </w:rPr>
        <w:t>2011</w:t>
      </w:r>
      <w:r w:rsidR="002274FC" w:rsidRPr="00DA02B0">
        <w:rPr>
          <w:spacing w:val="-2"/>
        </w:rPr>
        <w:noBreakHyphen/>
        <w:t>12</w:t>
      </w:r>
      <w:r w:rsidR="008B3B7E" w:rsidRPr="00DA02B0">
        <w:rPr>
          <w:spacing w:val="-2"/>
        </w:rPr>
        <w:t>.</w:t>
      </w:r>
      <w:r w:rsidR="004F1657" w:rsidRPr="00DA02B0">
        <w:rPr>
          <w:spacing w:val="-2"/>
        </w:rPr>
        <w:t xml:space="preserve"> Of bigger concern is that it is well below the rates achieved in the ‘golden’ productivity era between </w:t>
      </w:r>
      <w:r w:rsidR="002B43EA" w:rsidRPr="00DA02B0">
        <w:rPr>
          <w:spacing w:val="-2"/>
        </w:rPr>
        <w:t>1993</w:t>
      </w:r>
      <w:r w:rsidR="002B43EA" w:rsidRPr="00DA02B0">
        <w:rPr>
          <w:spacing w:val="-2"/>
        </w:rPr>
        <w:noBreakHyphen/>
        <w:t>94</w:t>
      </w:r>
      <w:r w:rsidR="004F1657" w:rsidRPr="00DA02B0">
        <w:rPr>
          <w:spacing w:val="-2"/>
        </w:rPr>
        <w:t xml:space="preserve"> and </w:t>
      </w:r>
      <w:r w:rsidR="002B43EA" w:rsidRPr="00DA02B0">
        <w:rPr>
          <w:spacing w:val="-2"/>
        </w:rPr>
        <w:t>1998</w:t>
      </w:r>
      <w:r w:rsidR="002B43EA" w:rsidRPr="00DA02B0">
        <w:rPr>
          <w:spacing w:val="-2"/>
        </w:rPr>
        <w:noBreakHyphen/>
        <w:t>99</w:t>
      </w:r>
      <w:r w:rsidR="004F1657" w:rsidRPr="00DA02B0">
        <w:rPr>
          <w:spacing w:val="-2"/>
        </w:rPr>
        <w:t>.</w:t>
      </w:r>
      <w:r w:rsidR="009C1DC1" w:rsidRPr="00DA02B0">
        <w:rPr>
          <w:spacing w:val="-2"/>
        </w:rPr>
        <w:t xml:space="preserve"> As </w:t>
      </w:r>
      <w:r w:rsidR="00234912" w:rsidRPr="00DA02B0">
        <w:rPr>
          <w:spacing w:val="-2"/>
        </w:rPr>
        <w:t>was the case for</w:t>
      </w:r>
      <w:r w:rsidR="009C1DC1" w:rsidRPr="00DA02B0">
        <w:rPr>
          <w:spacing w:val="-2"/>
        </w:rPr>
        <w:t xml:space="preserve"> labour productivity, the MFP performance of the market sectors have also been relatively poor.</w:t>
      </w:r>
    </w:p>
    <w:p w14:paraId="74764A97" w14:textId="77777777" w:rsidR="00BD641C" w:rsidRDefault="00BD641C" w:rsidP="00BD641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D641C" w14:paraId="7ACA7C4B" w14:textId="77777777" w:rsidTr="009E1883">
        <w:trPr>
          <w:tblHeader/>
        </w:trPr>
        <w:tc>
          <w:tcPr>
            <w:tcW w:w="5000" w:type="pct"/>
            <w:tcBorders>
              <w:top w:val="single" w:sz="6" w:space="0" w:color="78A22F"/>
              <w:left w:val="nil"/>
              <w:bottom w:val="nil"/>
              <w:right w:val="nil"/>
            </w:tcBorders>
            <w:shd w:val="clear" w:color="auto" w:fill="auto"/>
          </w:tcPr>
          <w:p w14:paraId="791875A4" w14:textId="77777777" w:rsidR="00BD641C" w:rsidRDefault="00BD641C" w:rsidP="009E1883">
            <w:pPr>
              <w:pStyle w:val="FigureTitle"/>
            </w:pPr>
            <w:r w:rsidRPr="00784A05">
              <w:rPr>
                <w:b w:val="0"/>
              </w:rPr>
              <w:t xml:space="preserve">Figure </w:t>
            </w:r>
            <w:r w:rsidR="00567785">
              <w:rPr>
                <w:b w:val="0"/>
              </w:rPr>
              <w:t>1.</w:t>
            </w:r>
            <w:r w:rsidR="00CD07D7">
              <w:rPr>
                <w:b w:val="0"/>
              </w:rPr>
              <w:t>6</w:t>
            </w:r>
            <w:r>
              <w:tab/>
              <w:t>Multifactor productivity rates are entering the doldrums again</w:t>
            </w:r>
          </w:p>
          <w:p w14:paraId="3A661F45" w14:textId="5A6D4ECF" w:rsidR="00BD641C" w:rsidRPr="00176D3F" w:rsidRDefault="00026020" w:rsidP="000B168A">
            <w:pPr>
              <w:pStyle w:val="Subtitle"/>
            </w:pPr>
            <w:r>
              <w:t>Annual growth rates</w:t>
            </w:r>
            <w:r w:rsidR="005C0A7A">
              <w:t>,</w:t>
            </w:r>
            <w:r>
              <w:t xml:space="preserve"> 1975</w:t>
            </w:r>
            <w:r>
              <w:noBreakHyphen/>
              <w:t>76 to 2017</w:t>
            </w:r>
            <w:r>
              <w:noBreakHyphen/>
            </w:r>
            <w:r w:rsidRPr="00026020">
              <w:t xml:space="preserve">18 </w:t>
            </w:r>
            <w:r w:rsidR="005C0A7A">
              <w:t>(</w:t>
            </w:r>
            <w:r w:rsidRPr="00026020">
              <w:t>per</w:t>
            </w:r>
            <w:r w:rsidR="000B168A">
              <w:t> </w:t>
            </w:r>
            <w:r w:rsidRPr="00026020">
              <w:t>cent</w:t>
            </w:r>
            <w:r w:rsidR="005C0A7A">
              <w:t>)</w:t>
            </w:r>
            <w:r w:rsidR="00C84307" w:rsidRPr="00C84307">
              <w:rPr>
                <w:rStyle w:val="NoteLabel"/>
              </w:rPr>
              <w:t>a</w:t>
            </w:r>
          </w:p>
        </w:tc>
      </w:tr>
      <w:tr w:rsidR="00BD641C" w14:paraId="08E121BE" w14:textId="77777777" w:rsidTr="009E188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BD641C" w:rsidRPr="00B1465D" w14:paraId="404F9595" w14:textId="77777777" w:rsidTr="009E1883">
              <w:trPr>
                <w:tblHeader/>
                <w:jc w:val="center"/>
              </w:trPr>
              <w:tc>
                <w:tcPr>
                  <w:tcW w:w="2500" w:type="pct"/>
                  <w:tcBorders>
                    <w:top w:val="nil"/>
                    <w:bottom w:val="nil"/>
                  </w:tcBorders>
                </w:tcPr>
                <w:p w14:paraId="450F4E78" w14:textId="79DF87C9" w:rsidR="00BD641C" w:rsidRPr="00B1465D" w:rsidRDefault="00E0146B" w:rsidP="00E84705">
                  <w:pPr>
                    <w:pStyle w:val="Figure"/>
                    <w:spacing w:before="60" w:after="60"/>
                    <w:rPr>
                      <w:rFonts w:ascii="Arial" w:hAnsi="Arial" w:cs="Arial"/>
                      <w:sz w:val="18"/>
                      <w:szCs w:val="18"/>
                    </w:rPr>
                  </w:pPr>
                  <w:r>
                    <w:rPr>
                      <w:rFonts w:ascii="Arial" w:hAnsi="Arial" w:cs="Arial"/>
                      <w:sz w:val="18"/>
                      <w:szCs w:val="18"/>
                    </w:rPr>
                    <w:t>Economy-wide</w:t>
                  </w:r>
                </w:p>
              </w:tc>
              <w:tc>
                <w:tcPr>
                  <w:tcW w:w="2500" w:type="pct"/>
                  <w:tcBorders>
                    <w:top w:val="nil"/>
                    <w:bottom w:val="nil"/>
                  </w:tcBorders>
                </w:tcPr>
                <w:p w14:paraId="774229EE" w14:textId="77777777" w:rsidR="00BD641C" w:rsidRPr="00B1465D" w:rsidRDefault="00E84705" w:rsidP="004417C9">
                  <w:pPr>
                    <w:pStyle w:val="Figure"/>
                    <w:spacing w:before="60" w:after="60"/>
                    <w:rPr>
                      <w:rFonts w:ascii="Arial" w:hAnsi="Arial" w:cs="Arial"/>
                      <w:sz w:val="18"/>
                      <w:szCs w:val="18"/>
                    </w:rPr>
                  </w:pPr>
                  <w:r>
                    <w:rPr>
                      <w:rFonts w:ascii="Arial" w:hAnsi="Arial" w:cs="Arial"/>
                      <w:sz w:val="18"/>
                      <w:szCs w:val="18"/>
                    </w:rPr>
                    <w:t>Market sector</w:t>
                  </w:r>
                  <w:r w:rsidR="00B43E4B">
                    <w:rPr>
                      <w:rFonts w:ascii="Arial" w:hAnsi="Arial" w:cs="Arial"/>
                      <w:sz w:val="18"/>
                      <w:szCs w:val="18"/>
                    </w:rPr>
                    <w:t>s</w:t>
                  </w:r>
                </w:p>
              </w:tc>
            </w:tr>
            <w:tr w:rsidR="00BD641C" w:rsidRPr="00B1465D" w14:paraId="022F6DB9" w14:textId="77777777" w:rsidTr="009E1883">
              <w:trPr>
                <w:tblHeader/>
                <w:jc w:val="center"/>
              </w:trPr>
              <w:tc>
                <w:tcPr>
                  <w:tcW w:w="2500" w:type="pct"/>
                  <w:tcBorders>
                    <w:top w:val="nil"/>
                    <w:bottom w:val="nil"/>
                  </w:tcBorders>
                </w:tcPr>
                <w:p w14:paraId="482A545D" w14:textId="77777777" w:rsidR="00BD641C" w:rsidRPr="00B1465D" w:rsidRDefault="009605E7" w:rsidP="009E1883">
                  <w:pPr>
                    <w:pStyle w:val="Figure"/>
                    <w:spacing w:before="60" w:after="60"/>
                    <w:rPr>
                      <w:rFonts w:ascii="Arial" w:hAnsi="Arial" w:cs="Arial"/>
                      <w:sz w:val="18"/>
                      <w:szCs w:val="18"/>
                    </w:rPr>
                  </w:pPr>
                  <w:r w:rsidRPr="009605E7">
                    <w:rPr>
                      <w:rFonts w:ascii="Arial" w:hAnsi="Arial" w:cs="Arial"/>
                      <w:noProof/>
                      <w:sz w:val="18"/>
                      <w:szCs w:val="18"/>
                    </w:rPr>
                    <w:drawing>
                      <wp:inline distT="0" distB="0" distL="0" distR="0" wp14:anchorId="6B4E7423" wp14:editId="3BCA5A3A">
                        <wp:extent cx="2661285" cy="2340610"/>
                        <wp:effectExtent l="0" t="0" r="5715" b="2540"/>
                        <wp:docPr id="29" name="Picture 29" descr="The left panel in this figure shows that the growth in economywide multifactor productivity in recent years has been relatively weak compared to its historical average between 1974-75 to 2017-18. " title="Economywide multifacto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1285" cy="2340610"/>
                                </a:xfrm>
                                <a:prstGeom prst="rect">
                                  <a:avLst/>
                                </a:prstGeom>
                                <a:noFill/>
                                <a:ln>
                                  <a:noFill/>
                                </a:ln>
                              </pic:spPr>
                            </pic:pic>
                          </a:graphicData>
                        </a:graphic>
                      </wp:inline>
                    </w:drawing>
                  </w:r>
                </w:p>
              </w:tc>
              <w:tc>
                <w:tcPr>
                  <w:tcW w:w="2500" w:type="pct"/>
                  <w:tcBorders>
                    <w:top w:val="nil"/>
                    <w:bottom w:val="nil"/>
                  </w:tcBorders>
                </w:tcPr>
                <w:p w14:paraId="1AF34875" w14:textId="77777777" w:rsidR="00BD641C" w:rsidRPr="00B1465D" w:rsidRDefault="009605E7" w:rsidP="009E1883">
                  <w:pPr>
                    <w:pStyle w:val="Figure"/>
                    <w:spacing w:before="60" w:after="60"/>
                    <w:rPr>
                      <w:rFonts w:ascii="Arial" w:hAnsi="Arial" w:cs="Arial"/>
                      <w:sz w:val="18"/>
                      <w:szCs w:val="18"/>
                    </w:rPr>
                  </w:pPr>
                  <w:r w:rsidRPr="009605E7">
                    <w:rPr>
                      <w:rFonts w:ascii="Arial" w:hAnsi="Arial" w:cs="Arial"/>
                      <w:noProof/>
                      <w:sz w:val="18"/>
                      <w:szCs w:val="18"/>
                    </w:rPr>
                    <w:drawing>
                      <wp:inline distT="0" distB="0" distL="0" distR="0" wp14:anchorId="5CF4321E" wp14:editId="1F339AF1">
                        <wp:extent cx="2661285" cy="2324100"/>
                        <wp:effectExtent l="0" t="0" r="5715" b="0"/>
                        <wp:docPr id="22" name="Picture 22" descr="The right panel in this figure shows that the growth in market sector multifactor productivity in recent years has been relatively weak compared to its historical average between 1974-75 to 2017-18. " title="Market sector multifacto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1285" cy="2324100"/>
                                </a:xfrm>
                                <a:prstGeom prst="rect">
                                  <a:avLst/>
                                </a:prstGeom>
                                <a:noFill/>
                                <a:ln>
                                  <a:noFill/>
                                </a:ln>
                              </pic:spPr>
                            </pic:pic>
                          </a:graphicData>
                        </a:graphic>
                      </wp:inline>
                    </w:drawing>
                  </w:r>
                </w:p>
              </w:tc>
            </w:tr>
          </w:tbl>
          <w:p w14:paraId="7091150A" w14:textId="77777777" w:rsidR="00BD641C" w:rsidRDefault="00BD641C" w:rsidP="009E1883">
            <w:pPr>
              <w:pStyle w:val="Figure"/>
            </w:pPr>
          </w:p>
        </w:tc>
      </w:tr>
      <w:tr w:rsidR="00C84307" w:rsidRPr="00176D3F" w14:paraId="603EC1E1" w14:textId="77777777" w:rsidTr="009E1883">
        <w:tc>
          <w:tcPr>
            <w:tcW w:w="5000" w:type="pct"/>
            <w:tcBorders>
              <w:top w:val="nil"/>
              <w:left w:val="nil"/>
              <w:bottom w:val="nil"/>
              <w:right w:val="nil"/>
            </w:tcBorders>
            <w:shd w:val="clear" w:color="auto" w:fill="auto"/>
          </w:tcPr>
          <w:p w14:paraId="3FD818DE" w14:textId="4FF28921" w:rsidR="00C84307" w:rsidRDefault="009045A5">
            <w:pPr>
              <w:pStyle w:val="Note"/>
            </w:pPr>
            <w:r w:rsidRPr="00474F66">
              <w:rPr>
                <w:rStyle w:val="NoteLabel"/>
              </w:rPr>
              <w:t>a</w:t>
            </w:r>
            <w:r>
              <w:t xml:space="preserve"> Multifactor productivity based on </w:t>
            </w:r>
            <w:proofErr w:type="spellStart"/>
            <w:r>
              <w:t>GVA</w:t>
            </w:r>
            <w:proofErr w:type="spellEnd"/>
            <w:r>
              <w:t>.</w:t>
            </w:r>
          </w:p>
        </w:tc>
      </w:tr>
      <w:tr w:rsidR="00BD641C" w:rsidRPr="00176D3F" w14:paraId="4E247E16" w14:textId="77777777" w:rsidTr="009E1883">
        <w:tc>
          <w:tcPr>
            <w:tcW w:w="5000" w:type="pct"/>
            <w:tcBorders>
              <w:top w:val="nil"/>
              <w:left w:val="nil"/>
              <w:bottom w:val="nil"/>
              <w:right w:val="nil"/>
            </w:tcBorders>
            <w:shd w:val="clear" w:color="auto" w:fill="auto"/>
          </w:tcPr>
          <w:p w14:paraId="62A0CEA5" w14:textId="10A0E188" w:rsidR="00BD641C" w:rsidRPr="00176D3F" w:rsidRDefault="00BD641C" w:rsidP="000014C1">
            <w:pPr>
              <w:pStyle w:val="Source"/>
            </w:pPr>
            <w:r>
              <w:rPr>
                <w:i/>
              </w:rPr>
              <w:t>S</w:t>
            </w:r>
            <w:r w:rsidRPr="00784A05">
              <w:rPr>
                <w:i/>
              </w:rPr>
              <w:t>ource</w:t>
            </w:r>
            <w:r w:rsidR="00093DA6">
              <w:rPr>
                <w:i/>
              </w:rPr>
              <w:t>s</w:t>
            </w:r>
            <w:r w:rsidRPr="00176D3F">
              <w:t xml:space="preserve">: </w:t>
            </w:r>
            <w:r w:rsidR="000014C1" w:rsidRPr="000014C1">
              <w:t xml:space="preserve">Estimates for the economy (see annex); and ABS (2018, </w:t>
            </w:r>
            <w:r w:rsidR="000014C1" w:rsidRPr="000014C1">
              <w:rPr>
                <w:i/>
                <w:iCs/>
              </w:rPr>
              <w:t>Estimates of Industry Multifactor Productivity</w:t>
            </w:r>
            <w:r w:rsidR="000014C1" w:rsidRPr="000014C1">
              <w:t>, 2017</w:t>
            </w:r>
            <w:r w:rsidR="000014C1" w:rsidRPr="000014C1">
              <w:noBreakHyphen/>
              <w:t>18, Cat. no. 5260.0.55.002, table</w:t>
            </w:r>
            <w:r w:rsidR="000014C1">
              <w:t> </w:t>
            </w:r>
            <w:r w:rsidR="000014C1" w:rsidRPr="000014C1">
              <w:t>1).</w:t>
            </w:r>
          </w:p>
        </w:tc>
      </w:tr>
      <w:tr w:rsidR="00BD641C" w14:paraId="23465B47" w14:textId="77777777" w:rsidTr="009E1883">
        <w:tc>
          <w:tcPr>
            <w:tcW w:w="5000" w:type="pct"/>
            <w:tcBorders>
              <w:top w:val="nil"/>
              <w:left w:val="nil"/>
              <w:bottom w:val="single" w:sz="6" w:space="0" w:color="78A22F"/>
              <w:right w:val="nil"/>
            </w:tcBorders>
            <w:shd w:val="clear" w:color="auto" w:fill="auto"/>
          </w:tcPr>
          <w:p w14:paraId="6905EC47" w14:textId="77777777" w:rsidR="00BD641C" w:rsidRDefault="00BD641C" w:rsidP="009E1883">
            <w:pPr>
              <w:pStyle w:val="Figurespace"/>
            </w:pPr>
          </w:p>
        </w:tc>
      </w:tr>
      <w:tr w:rsidR="00BD641C" w:rsidRPr="000863A5" w14:paraId="73E21FF9" w14:textId="77777777" w:rsidTr="009E1883">
        <w:tc>
          <w:tcPr>
            <w:tcW w:w="5000" w:type="pct"/>
            <w:tcBorders>
              <w:top w:val="single" w:sz="6" w:space="0" w:color="78A22F"/>
              <w:left w:val="nil"/>
              <w:bottom w:val="nil"/>
              <w:right w:val="nil"/>
            </w:tcBorders>
          </w:tcPr>
          <w:p w14:paraId="5D287374" w14:textId="77777777" w:rsidR="00BD641C" w:rsidRPr="00626D32" w:rsidRDefault="00BD641C" w:rsidP="009E1883">
            <w:pPr>
              <w:pStyle w:val="BoxSpaceBelow"/>
            </w:pPr>
          </w:p>
        </w:tc>
      </w:tr>
    </w:tbl>
    <w:p w14:paraId="44F196CE" w14:textId="22EDA048" w:rsidR="00D1162E" w:rsidRPr="004A3151" w:rsidRDefault="00F33366" w:rsidP="00D1162E">
      <w:pPr>
        <w:pStyle w:val="BodyText"/>
        <w:rPr>
          <w:spacing w:val="2"/>
        </w:rPr>
      </w:pPr>
      <w:r w:rsidRPr="004A3151">
        <w:rPr>
          <w:spacing w:val="2"/>
        </w:rPr>
        <w:t xml:space="preserve">At the individual industry level, almost </w:t>
      </w:r>
      <w:r w:rsidR="00D1162E" w:rsidRPr="004A3151">
        <w:rPr>
          <w:spacing w:val="2"/>
        </w:rPr>
        <w:t>half recorded MFP growth in 2017</w:t>
      </w:r>
      <w:r w:rsidR="00D1162E" w:rsidRPr="004A3151">
        <w:rPr>
          <w:spacing w:val="2"/>
        </w:rPr>
        <w:noBreakHyphen/>
        <w:t>18 (figure </w:t>
      </w:r>
      <w:r w:rsidR="00C3655D" w:rsidRPr="004A3151">
        <w:rPr>
          <w:spacing w:val="2"/>
        </w:rPr>
        <w:t>1.</w:t>
      </w:r>
      <w:r w:rsidR="00CD07D7" w:rsidRPr="004A3151">
        <w:rPr>
          <w:spacing w:val="2"/>
        </w:rPr>
        <w:t>7</w:t>
      </w:r>
      <w:r w:rsidR="00D1162E" w:rsidRPr="004A3151">
        <w:rPr>
          <w:spacing w:val="2"/>
        </w:rPr>
        <w:t xml:space="preserve">). </w:t>
      </w:r>
      <w:r w:rsidR="00D1162E" w:rsidRPr="004A3151">
        <w:rPr>
          <w:i/>
          <w:spacing w:val="2"/>
        </w:rPr>
        <w:t>Administrative and support services</w:t>
      </w:r>
      <w:r w:rsidR="00D1162E" w:rsidRPr="004A3151">
        <w:rPr>
          <w:spacing w:val="2"/>
        </w:rPr>
        <w:t xml:space="preserve"> recorded the strongest growth (8.0 per</w:t>
      </w:r>
      <w:r w:rsidR="000B168A">
        <w:rPr>
          <w:spacing w:val="2"/>
        </w:rPr>
        <w:t> </w:t>
      </w:r>
      <w:r w:rsidR="00D1162E" w:rsidRPr="004A3151">
        <w:rPr>
          <w:spacing w:val="2"/>
        </w:rPr>
        <w:t xml:space="preserve">cent). Four industries recorded strong growth of </w:t>
      </w:r>
      <w:r w:rsidR="007C1D5B" w:rsidRPr="004A3151">
        <w:rPr>
          <w:spacing w:val="2"/>
        </w:rPr>
        <w:t>about</w:t>
      </w:r>
      <w:r w:rsidR="00D1162E" w:rsidRPr="004A3151">
        <w:rPr>
          <w:spacing w:val="2"/>
        </w:rPr>
        <w:t xml:space="preserve"> 3 to 4 per</w:t>
      </w:r>
      <w:r w:rsidR="000B168A">
        <w:rPr>
          <w:spacing w:val="2"/>
        </w:rPr>
        <w:t> </w:t>
      </w:r>
      <w:r w:rsidR="00D1162E" w:rsidRPr="004A3151">
        <w:rPr>
          <w:spacing w:val="2"/>
        </w:rPr>
        <w:t xml:space="preserve">cent: </w:t>
      </w:r>
      <w:r w:rsidR="00AF2D94" w:rsidRPr="004A3151">
        <w:rPr>
          <w:i/>
          <w:spacing w:val="2"/>
        </w:rPr>
        <w:t>accommodation</w:t>
      </w:r>
      <w:r w:rsidR="00D1162E" w:rsidRPr="004A3151">
        <w:rPr>
          <w:i/>
          <w:spacing w:val="2"/>
        </w:rPr>
        <w:t xml:space="preserve"> and food services</w:t>
      </w:r>
      <w:r w:rsidR="00D1162E" w:rsidRPr="004A3151">
        <w:rPr>
          <w:spacing w:val="2"/>
        </w:rPr>
        <w:t xml:space="preserve">, </w:t>
      </w:r>
      <w:r w:rsidR="00AF2D94" w:rsidRPr="004A3151">
        <w:rPr>
          <w:i/>
          <w:spacing w:val="2"/>
        </w:rPr>
        <w:t>professional</w:t>
      </w:r>
      <w:r w:rsidR="00D1162E" w:rsidRPr="004A3151">
        <w:rPr>
          <w:i/>
          <w:spacing w:val="2"/>
        </w:rPr>
        <w:t>, scientific and technical services</w:t>
      </w:r>
      <w:r w:rsidR="00D1162E" w:rsidRPr="004A3151">
        <w:rPr>
          <w:spacing w:val="2"/>
        </w:rPr>
        <w:t xml:space="preserve">, </w:t>
      </w:r>
      <w:r w:rsidR="00AF2D94" w:rsidRPr="004A3151">
        <w:rPr>
          <w:i/>
          <w:spacing w:val="2"/>
        </w:rPr>
        <w:t>finance</w:t>
      </w:r>
      <w:r w:rsidR="00D1162E" w:rsidRPr="004A3151">
        <w:rPr>
          <w:i/>
          <w:spacing w:val="2"/>
        </w:rPr>
        <w:t xml:space="preserve"> and insurance services</w:t>
      </w:r>
      <w:r w:rsidR="00D1162E" w:rsidRPr="004A3151">
        <w:rPr>
          <w:spacing w:val="2"/>
        </w:rPr>
        <w:t xml:space="preserve">, and </w:t>
      </w:r>
      <w:r w:rsidR="00AF2D94" w:rsidRPr="004A3151">
        <w:rPr>
          <w:i/>
          <w:spacing w:val="2"/>
        </w:rPr>
        <w:t>manufacturing</w:t>
      </w:r>
      <w:r w:rsidR="00D1162E" w:rsidRPr="004A3151">
        <w:rPr>
          <w:spacing w:val="2"/>
        </w:rPr>
        <w:t>.</w:t>
      </w:r>
    </w:p>
    <w:p w14:paraId="033346B7" w14:textId="77777777" w:rsidR="00D1162E" w:rsidRDefault="00D1162E" w:rsidP="00D1162E">
      <w:pPr>
        <w:pStyle w:val="BodyText"/>
      </w:pPr>
      <w:r>
        <w:t xml:space="preserve">The </w:t>
      </w:r>
      <w:r w:rsidRPr="00E7598A">
        <w:rPr>
          <w:i/>
        </w:rPr>
        <w:t>construction</w:t>
      </w:r>
      <w:r>
        <w:t xml:space="preserve"> industry</w:t>
      </w:r>
      <w:r w:rsidRPr="00C544EE">
        <w:t xml:space="preserve"> </w:t>
      </w:r>
      <w:r>
        <w:t>recorded its fourth consecutive year of negative multifactor productivity growth (</w:t>
      </w:r>
      <w:r w:rsidR="00043F2E">
        <w:t>figure</w:t>
      </w:r>
      <w:r>
        <w:t> </w:t>
      </w:r>
      <w:r w:rsidR="00043F2E">
        <w:t>1.7</w:t>
      </w:r>
      <w:r w:rsidR="00ED051B">
        <w:t>).</w:t>
      </w:r>
    </w:p>
    <w:p w14:paraId="612C80D8" w14:textId="77777777" w:rsidR="00D1162E" w:rsidRDefault="00D1162E" w:rsidP="00D1162E">
      <w:pPr>
        <w:pStyle w:val="BodyText"/>
      </w:pPr>
      <w:r w:rsidRPr="00393F15">
        <w:t>Of all industries, the</w:t>
      </w:r>
      <w:r>
        <w:rPr>
          <w:i/>
        </w:rPr>
        <w:t xml:space="preserve"> </w:t>
      </w:r>
      <w:r w:rsidR="003104DC">
        <w:rPr>
          <w:i/>
        </w:rPr>
        <w:t>a</w:t>
      </w:r>
      <w:r w:rsidR="003104DC" w:rsidRPr="00E7598A">
        <w:rPr>
          <w:i/>
        </w:rPr>
        <w:t>griculture</w:t>
      </w:r>
      <w:r w:rsidRPr="00E7598A">
        <w:rPr>
          <w:i/>
        </w:rPr>
        <w:t>, forestry and fishing</w:t>
      </w:r>
      <w:r>
        <w:t xml:space="preserve"> and </w:t>
      </w:r>
      <w:r w:rsidR="003104DC">
        <w:rPr>
          <w:i/>
        </w:rPr>
        <w:t>a</w:t>
      </w:r>
      <w:r w:rsidR="003104DC" w:rsidRPr="00E7598A">
        <w:rPr>
          <w:i/>
        </w:rPr>
        <w:t xml:space="preserve">rts </w:t>
      </w:r>
      <w:r w:rsidRPr="00E7598A">
        <w:rPr>
          <w:i/>
        </w:rPr>
        <w:t xml:space="preserve">and recreation services </w:t>
      </w:r>
      <w:r>
        <w:t>recorded the largest falls in multifactor productivity growth in 2017</w:t>
      </w:r>
      <w:r>
        <w:noBreakHyphen/>
        <w:t>18. In the former case, rainfall conditions are probably the culprit as existing capital cannot be used as productively when there are drought conditions. It is unlikely that there has been any change in the inherent efficiency of the industry or its technical progress</w:t>
      </w:r>
      <w:r w:rsidR="005656CB">
        <w:t>.</w:t>
      </w:r>
      <w:r>
        <w:t xml:space="preserve"> Indeed, farmers’ adaptations to manage drought conditions would, if correctly measured, represent technical progress.</w:t>
      </w:r>
    </w:p>
    <w:p w14:paraId="0357B850" w14:textId="77777777" w:rsidR="00D1162E" w:rsidRDefault="00D1162E" w:rsidP="00D1162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1162E" w14:paraId="4A6F8994" w14:textId="77777777" w:rsidTr="0063744D">
        <w:trPr>
          <w:tblHeader/>
        </w:trPr>
        <w:tc>
          <w:tcPr>
            <w:tcW w:w="5000" w:type="pct"/>
            <w:tcBorders>
              <w:top w:val="single" w:sz="6" w:space="0" w:color="78A22F"/>
              <w:left w:val="nil"/>
              <w:bottom w:val="nil"/>
              <w:right w:val="nil"/>
            </w:tcBorders>
            <w:shd w:val="clear" w:color="auto" w:fill="auto"/>
          </w:tcPr>
          <w:p w14:paraId="5746975F" w14:textId="77777777" w:rsidR="00D1162E" w:rsidRDefault="00D1162E" w:rsidP="0063744D">
            <w:pPr>
              <w:pStyle w:val="FigureTitle"/>
            </w:pPr>
            <w:r w:rsidRPr="00784A05">
              <w:rPr>
                <w:b w:val="0"/>
              </w:rPr>
              <w:t xml:space="preserve">Figure </w:t>
            </w:r>
            <w:r w:rsidR="00567785">
              <w:rPr>
                <w:b w:val="0"/>
              </w:rPr>
              <w:t>1.</w:t>
            </w:r>
            <w:r w:rsidR="00CD07D7">
              <w:rPr>
                <w:b w:val="0"/>
              </w:rPr>
              <w:t>7</w:t>
            </w:r>
            <w:r>
              <w:tab/>
              <w:t>Multifactor productivity growth</w:t>
            </w:r>
            <w:r w:rsidR="00F23F6D">
              <w:t xml:space="preserve"> by industry</w:t>
            </w:r>
          </w:p>
          <w:p w14:paraId="4A2A0E33" w14:textId="2E46BAFC" w:rsidR="00D1162E" w:rsidRPr="00176D3F" w:rsidRDefault="00D1162E" w:rsidP="00F35723">
            <w:pPr>
              <w:pStyle w:val="Subtitle"/>
            </w:pPr>
            <w:r>
              <w:t>Per cent per</w:t>
            </w:r>
            <w:r w:rsidR="000B168A">
              <w:t> </w:t>
            </w:r>
            <w:r>
              <w:t>year</w:t>
            </w:r>
          </w:p>
        </w:tc>
      </w:tr>
      <w:tr w:rsidR="00D1162E" w14:paraId="1A651C4F" w14:textId="77777777" w:rsidTr="0063744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1162E" w:rsidRPr="00B1465D" w14:paraId="287FE06D" w14:textId="77777777" w:rsidTr="0063744D">
              <w:trPr>
                <w:tblHeader/>
                <w:jc w:val="center"/>
              </w:trPr>
              <w:tc>
                <w:tcPr>
                  <w:tcW w:w="5000" w:type="pct"/>
                  <w:tcBorders>
                    <w:top w:val="nil"/>
                    <w:bottom w:val="nil"/>
                  </w:tcBorders>
                </w:tcPr>
                <w:p w14:paraId="33FDBE72" w14:textId="77777777" w:rsidR="00D1162E" w:rsidRPr="00B1465D" w:rsidRDefault="002B10B5" w:rsidP="0063744D">
                  <w:pPr>
                    <w:pStyle w:val="Figure"/>
                    <w:spacing w:before="60" w:after="60"/>
                    <w:rPr>
                      <w:rFonts w:ascii="Arial" w:hAnsi="Arial" w:cs="Arial"/>
                      <w:sz w:val="18"/>
                      <w:szCs w:val="18"/>
                    </w:rPr>
                  </w:pPr>
                  <w:r w:rsidRPr="002B10B5">
                    <w:rPr>
                      <w:rFonts w:ascii="Arial" w:hAnsi="Arial" w:cs="Arial"/>
                      <w:noProof/>
                      <w:sz w:val="18"/>
                      <w:szCs w:val="18"/>
                    </w:rPr>
                    <w:drawing>
                      <wp:inline distT="0" distB="0" distL="0" distR="0" wp14:anchorId="19CBD490" wp14:editId="3BA656F4">
                        <wp:extent cx="5418000" cy="5028977"/>
                        <wp:effectExtent l="0" t="0" r="0" b="0"/>
                        <wp:docPr id="49" name="Picture 49" descr="This figure shows industry multifactor productivity growth in 2017-18 as well as across two productivity cycles from 2003-04 to 2011-12 and from 2011-12 to 2017-18. As in the case of labour productivity growth, multifactor productivity growth also varied across industry and across time." title="Multifactor productivity growth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2580"/>
                                <a:stretch/>
                              </pic:blipFill>
                              <pic:spPr bwMode="auto">
                                <a:xfrm>
                                  <a:off x="0" y="0"/>
                                  <a:ext cx="5418000" cy="50289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D1743D" w14:textId="77777777" w:rsidR="00D1162E" w:rsidRDefault="00D1162E" w:rsidP="0063744D">
            <w:pPr>
              <w:pStyle w:val="Figure"/>
            </w:pPr>
          </w:p>
        </w:tc>
      </w:tr>
      <w:tr w:rsidR="00D1162E" w:rsidRPr="00176D3F" w14:paraId="5A6ECF2F" w14:textId="77777777" w:rsidTr="0063744D">
        <w:tc>
          <w:tcPr>
            <w:tcW w:w="5000" w:type="pct"/>
            <w:tcBorders>
              <w:top w:val="nil"/>
              <w:left w:val="nil"/>
              <w:bottom w:val="nil"/>
              <w:right w:val="nil"/>
            </w:tcBorders>
            <w:shd w:val="clear" w:color="auto" w:fill="auto"/>
          </w:tcPr>
          <w:p w14:paraId="33FBB580" w14:textId="0AC17770" w:rsidR="00D1162E" w:rsidRPr="00176D3F" w:rsidRDefault="00D1162E" w:rsidP="000014C1">
            <w:pPr>
              <w:pStyle w:val="Source"/>
            </w:pPr>
            <w:r>
              <w:rPr>
                <w:i/>
              </w:rPr>
              <w:t>S</w:t>
            </w:r>
            <w:r w:rsidRPr="00784A05">
              <w:rPr>
                <w:i/>
              </w:rPr>
              <w:t>ource</w:t>
            </w:r>
            <w:r w:rsidRPr="00176D3F">
              <w:t xml:space="preserve">: </w:t>
            </w:r>
            <w:r w:rsidR="000014C1" w:rsidRPr="000014C1">
              <w:t xml:space="preserve">ABS (2018, </w:t>
            </w:r>
            <w:r w:rsidR="000014C1" w:rsidRPr="000014C1">
              <w:rPr>
                <w:i/>
                <w:iCs/>
              </w:rPr>
              <w:t>Estimates of Industry Multifactor Productivity</w:t>
            </w:r>
            <w:r w:rsidR="000014C1" w:rsidRPr="000014C1">
              <w:t>, 2017</w:t>
            </w:r>
            <w:r w:rsidR="000014C1" w:rsidRPr="000014C1">
              <w:noBreakHyphen/>
              <w:t>18, Cat. no. 5260.0.55.002, table</w:t>
            </w:r>
            <w:r w:rsidR="000014C1">
              <w:t> </w:t>
            </w:r>
            <w:r w:rsidR="000014C1" w:rsidRPr="000014C1">
              <w:t>1).</w:t>
            </w:r>
          </w:p>
        </w:tc>
      </w:tr>
      <w:tr w:rsidR="00D1162E" w14:paraId="25D320A8" w14:textId="77777777" w:rsidTr="0063744D">
        <w:tc>
          <w:tcPr>
            <w:tcW w:w="5000" w:type="pct"/>
            <w:tcBorders>
              <w:top w:val="nil"/>
              <w:left w:val="nil"/>
              <w:bottom w:val="single" w:sz="6" w:space="0" w:color="78A22F"/>
              <w:right w:val="nil"/>
            </w:tcBorders>
            <w:shd w:val="clear" w:color="auto" w:fill="auto"/>
          </w:tcPr>
          <w:p w14:paraId="680F1630" w14:textId="77777777" w:rsidR="00D1162E" w:rsidRDefault="00D1162E" w:rsidP="0063744D">
            <w:pPr>
              <w:pStyle w:val="Figurespace"/>
            </w:pPr>
          </w:p>
        </w:tc>
      </w:tr>
      <w:tr w:rsidR="00D1162E" w:rsidRPr="000863A5" w14:paraId="0B2A4E83" w14:textId="77777777" w:rsidTr="0063744D">
        <w:tc>
          <w:tcPr>
            <w:tcW w:w="5000" w:type="pct"/>
            <w:tcBorders>
              <w:top w:val="single" w:sz="6" w:space="0" w:color="78A22F"/>
              <w:left w:val="nil"/>
              <w:bottom w:val="nil"/>
              <w:right w:val="nil"/>
            </w:tcBorders>
          </w:tcPr>
          <w:p w14:paraId="2F98921E" w14:textId="77777777" w:rsidR="00D1162E" w:rsidRPr="00626D32" w:rsidRDefault="00D1162E" w:rsidP="0063744D">
            <w:pPr>
              <w:pStyle w:val="BoxSpaceBelow"/>
            </w:pPr>
          </w:p>
        </w:tc>
      </w:tr>
    </w:tbl>
    <w:p w14:paraId="7112A13F" w14:textId="77777777" w:rsidR="001A4817" w:rsidRPr="00DA02B0" w:rsidRDefault="001A4817" w:rsidP="002B10B5">
      <w:pPr>
        <w:pStyle w:val="Heading2"/>
        <w:spacing w:line="320" w:lineRule="exact"/>
        <w:ind w:left="0" w:firstLine="0"/>
        <w:rPr>
          <w:b w:val="0"/>
          <w:sz w:val="24"/>
          <w:szCs w:val="24"/>
        </w:rPr>
      </w:pPr>
      <w:r w:rsidRPr="00DA02B0">
        <w:rPr>
          <w:b w:val="0"/>
          <w:sz w:val="24"/>
          <w:szCs w:val="24"/>
        </w:rPr>
        <w:t>Growing educational attainment — an important wrinkle in the multifactor productivity story</w:t>
      </w:r>
    </w:p>
    <w:p w14:paraId="72C0EDC9" w14:textId="77777777" w:rsidR="001A4817" w:rsidRDefault="00E22E6B" w:rsidP="008B3B7E">
      <w:pPr>
        <w:pStyle w:val="BodyText"/>
      </w:pPr>
      <w:r>
        <w:t xml:space="preserve">Australians have become increasingly educated, with the recognition that greater skills can improve productivity, wages and job satisfaction. </w:t>
      </w:r>
      <w:r w:rsidR="002C26E4">
        <w:t>Because of this, the sum of hours worked does not adequately cater for the changes in the composition of labour over time. The consequence will be that multifactor productivity will include an improvement in output that reflects the investment in education.</w:t>
      </w:r>
      <w:r w:rsidR="004A3A97">
        <w:t xml:space="preserve"> </w:t>
      </w:r>
    </w:p>
    <w:p w14:paraId="6E6F3A9E" w14:textId="77777777" w:rsidR="00E458B0" w:rsidRPr="004A3151" w:rsidRDefault="00E458B0" w:rsidP="008B3B7E">
      <w:pPr>
        <w:pStyle w:val="BodyText"/>
        <w:rPr>
          <w:spacing w:val="-2"/>
        </w:rPr>
      </w:pPr>
      <w:r w:rsidRPr="004A3151">
        <w:rPr>
          <w:spacing w:val="-2"/>
        </w:rPr>
        <w:t>While the ABS does not publish quality</w:t>
      </w:r>
      <w:r w:rsidRPr="004A3151">
        <w:rPr>
          <w:spacing w:val="-2"/>
        </w:rPr>
        <w:noBreakHyphen/>
        <w:t xml:space="preserve">adjusted measures of labour for the economy as a whole, it does do so for market sector industries. </w:t>
      </w:r>
      <w:r w:rsidR="002C26E4" w:rsidRPr="004A3151">
        <w:rPr>
          <w:spacing w:val="-2"/>
        </w:rPr>
        <w:t xml:space="preserve">Quality improvements in labour make a large </w:t>
      </w:r>
      <w:r w:rsidR="002C26E4" w:rsidRPr="004A3151">
        <w:rPr>
          <w:spacing w:val="-2"/>
        </w:rPr>
        <w:lastRenderedPageBreak/>
        <w:t>difference to the effective growth in labour inputs</w:t>
      </w:r>
      <w:r w:rsidR="004A201F" w:rsidRPr="004A3151">
        <w:rPr>
          <w:spacing w:val="-2"/>
        </w:rPr>
        <w:t xml:space="preserve"> </w:t>
      </w:r>
      <w:r w:rsidR="002C26E4" w:rsidRPr="004A3151">
        <w:rPr>
          <w:spacing w:val="-2"/>
        </w:rPr>
        <w:t xml:space="preserve">and these </w:t>
      </w:r>
      <w:r w:rsidRPr="004A3151">
        <w:rPr>
          <w:spacing w:val="-2"/>
        </w:rPr>
        <w:t xml:space="preserve">improvements </w:t>
      </w:r>
      <w:r w:rsidR="002C26E4" w:rsidRPr="004A3151">
        <w:rPr>
          <w:spacing w:val="-2"/>
        </w:rPr>
        <w:t xml:space="preserve">vary considerably by industry. </w:t>
      </w:r>
      <w:r w:rsidRPr="004A3151">
        <w:rPr>
          <w:spacing w:val="-2"/>
        </w:rPr>
        <w:t xml:space="preserve">Over the </w:t>
      </w:r>
      <w:r w:rsidR="00567785" w:rsidRPr="004A3151">
        <w:rPr>
          <w:spacing w:val="-2"/>
        </w:rPr>
        <w:t>last business cycle</w:t>
      </w:r>
      <w:r w:rsidRPr="004A3151">
        <w:rPr>
          <w:spacing w:val="-2"/>
        </w:rPr>
        <w:t xml:space="preserve">, </w:t>
      </w:r>
      <w:r w:rsidR="00851E10" w:rsidRPr="004A3151">
        <w:rPr>
          <w:spacing w:val="-2"/>
        </w:rPr>
        <w:t>about</w:t>
      </w:r>
      <w:r w:rsidRPr="004A3151">
        <w:rPr>
          <w:spacing w:val="-2"/>
        </w:rPr>
        <w:t xml:space="preserve"> one third of the growth in quality</w:t>
      </w:r>
      <w:r w:rsidRPr="004A3151">
        <w:rPr>
          <w:spacing w:val="-2"/>
        </w:rPr>
        <w:noBreakHyphen/>
        <w:t>adjusted labour inputs i</w:t>
      </w:r>
      <w:r w:rsidR="004A201F" w:rsidRPr="004A3151">
        <w:rPr>
          <w:spacing w:val="-2"/>
        </w:rPr>
        <w:t>n the 12 and 16 industry market</w:t>
      </w:r>
      <w:r w:rsidRPr="004A3151">
        <w:rPr>
          <w:spacing w:val="-2"/>
        </w:rPr>
        <w:t xml:space="preserve"> sectors reflect changes in human capital, rather than hours worked (figure </w:t>
      </w:r>
      <w:r w:rsidR="00C047F7" w:rsidRPr="004A3151">
        <w:rPr>
          <w:spacing w:val="-2"/>
        </w:rPr>
        <w:t>1.</w:t>
      </w:r>
      <w:r w:rsidR="00567785" w:rsidRPr="004A3151">
        <w:rPr>
          <w:spacing w:val="-2"/>
        </w:rPr>
        <w:t>8</w:t>
      </w:r>
      <w:r w:rsidRPr="004A3151">
        <w:rPr>
          <w:spacing w:val="-2"/>
        </w:rPr>
        <w:t xml:space="preserve">). </w:t>
      </w:r>
      <w:r w:rsidR="00567785" w:rsidRPr="004A3151">
        <w:rPr>
          <w:spacing w:val="-2"/>
        </w:rPr>
        <w:t>MFP growth rates that take into account inputs of quality</w:t>
      </w:r>
      <w:r w:rsidR="00567785" w:rsidRPr="004A3151">
        <w:rPr>
          <w:spacing w:val="-2"/>
        </w:rPr>
        <w:noBreakHyphen/>
        <w:t>adjusted labour are lower than those that only take into account hours (figure </w:t>
      </w:r>
      <w:r w:rsidR="00C047F7" w:rsidRPr="004A3151">
        <w:rPr>
          <w:spacing w:val="-2"/>
        </w:rPr>
        <w:t>1.</w:t>
      </w:r>
      <w:r w:rsidR="00567785" w:rsidRPr="004A3151">
        <w:rPr>
          <w:spacing w:val="-2"/>
        </w:rPr>
        <w:t>9)</w:t>
      </w:r>
      <w:r w:rsidR="004A201F" w:rsidRPr="004A3151">
        <w:rPr>
          <w:spacing w:val="-2"/>
        </w:rPr>
        <w:t xml:space="preserve">. </w:t>
      </w:r>
    </w:p>
    <w:p w14:paraId="3C28B051" w14:textId="77777777" w:rsidR="0033678D" w:rsidRDefault="0033678D" w:rsidP="006A6B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3678D" w14:paraId="4A0DCA23" w14:textId="77777777" w:rsidTr="006A6B40">
        <w:trPr>
          <w:tblHeader/>
        </w:trPr>
        <w:tc>
          <w:tcPr>
            <w:tcW w:w="5000" w:type="pct"/>
            <w:tcBorders>
              <w:top w:val="single" w:sz="6" w:space="0" w:color="78A22F"/>
              <w:left w:val="nil"/>
              <w:bottom w:val="nil"/>
              <w:right w:val="nil"/>
            </w:tcBorders>
            <w:shd w:val="clear" w:color="auto" w:fill="auto"/>
          </w:tcPr>
          <w:p w14:paraId="0000E314" w14:textId="77777777" w:rsidR="0033678D" w:rsidRDefault="0033678D" w:rsidP="006A6B40">
            <w:pPr>
              <w:pStyle w:val="FigureTitle"/>
            </w:pPr>
            <w:r w:rsidRPr="00784A05">
              <w:rPr>
                <w:b w:val="0"/>
              </w:rPr>
              <w:t xml:space="preserve">Figure </w:t>
            </w:r>
            <w:r w:rsidR="00C047F7">
              <w:rPr>
                <w:b w:val="0"/>
              </w:rPr>
              <w:t>1.</w:t>
            </w:r>
            <w:r w:rsidR="00A900CF">
              <w:rPr>
                <w:b w:val="0"/>
              </w:rPr>
              <w:t>8</w:t>
            </w:r>
            <w:r>
              <w:tab/>
              <w:t>The importance of skill — a workforce is more than just hours worked</w:t>
            </w:r>
          </w:p>
          <w:p w14:paraId="3D142CF7" w14:textId="77777777" w:rsidR="0033678D" w:rsidRPr="00176D3F" w:rsidRDefault="0063744D" w:rsidP="0063744D">
            <w:pPr>
              <w:pStyle w:val="Subtitle"/>
            </w:pPr>
            <w:r>
              <w:t>Annual l</w:t>
            </w:r>
            <w:r w:rsidR="00810267">
              <w:t>og</w:t>
            </w:r>
            <w:r w:rsidR="0033678D">
              <w:t xml:space="preserve"> changes</w:t>
            </w:r>
            <w:r w:rsidR="00D93B66" w:rsidRPr="00D93B66">
              <w:rPr>
                <w:rStyle w:val="NoteLabel"/>
              </w:rPr>
              <w:t>a</w:t>
            </w:r>
          </w:p>
        </w:tc>
      </w:tr>
      <w:tr w:rsidR="0033678D" w14:paraId="5A9928BE" w14:textId="77777777" w:rsidTr="006A6B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33678D" w:rsidRPr="00B1465D" w14:paraId="60F61D90" w14:textId="77777777" w:rsidTr="0033678D">
              <w:trPr>
                <w:tblHeader/>
                <w:jc w:val="center"/>
              </w:trPr>
              <w:tc>
                <w:tcPr>
                  <w:tcW w:w="2500" w:type="pct"/>
                  <w:tcBorders>
                    <w:top w:val="nil"/>
                    <w:bottom w:val="nil"/>
                  </w:tcBorders>
                </w:tcPr>
                <w:p w14:paraId="0E107024" w14:textId="77777777" w:rsidR="0033678D" w:rsidRPr="00B1465D" w:rsidRDefault="007D5ACC" w:rsidP="007D5ACC">
                  <w:pPr>
                    <w:pStyle w:val="Figure"/>
                    <w:spacing w:before="60" w:after="60"/>
                    <w:rPr>
                      <w:rFonts w:ascii="Arial" w:hAnsi="Arial" w:cs="Arial"/>
                      <w:sz w:val="18"/>
                      <w:szCs w:val="18"/>
                    </w:rPr>
                  </w:pPr>
                  <w:r>
                    <w:rPr>
                      <w:rFonts w:ascii="Arial" w:hAnsi="Arial" w:cs="Arial"/>
                      <w:sz w:val="18"/>
                      <w:szCs w:val="18"/>
                    </w:rPr>
                    <w:t>Longer</w:t>
                  </w:r>
                  <w:r>
                    <w:rPr>
                      <w:rFonts w:ascii="Arial" w:hAnsi="Arial" w:cs="Arial"/>
                      <w:sz w:val="18"/>
                      <w:szCs w:val="18"/>
                    </w:rPr>
                    <w:noBreakHyphen/>
                  </w:r>
                  <w:r w:rsidR="0033678D">
                    <w:rPr>
                      <w:rFonts w:ascii="Arial" w:hAnsi="Arial" w:cs="Arial"/>
                      <w:sz w:val="18"/>
                      <w:szCs w:val="18"/>
                    </w:rPr>
                    <w:t>run growth in labour input</w:t>
                  </w:r>
                  <w:r>
                    <w:rPr>
                      <w:rFonts w:ascii="Arial" w:hAnsi="Arial" w:cs="Arial"/>
                      <w:sz w:val="18"/>
                      <w:szCs w:val="18"/>
                    </w:rPr>
                    <w:t xml:space="preserve"> use</w:t>
                  </w:r>
                  <w:r>
                    <w:rPr>
                      <w:rFonts w:ascii="Arial" w:hAnsi="Arial" w:cs="Arial"/>
                      <w:sz w:val="18"/>
                      <w:szCs w:val="18"/>
                    </w:rPr>
                    <w:br/>
                  </w:r>
                  <w:r w:rsidR="0033678D">
                    <w:rPr>
                      <w:rFonts w:ascii="Arial" w:hAnsi="Arial" w:cs="Arial"/>
                      <w:sz w:val="18"/>
                      <w:szCs w:val="18"/>
                    </w:rPr>
                    <w:t>(</w:t>
                  </w:r>
                  <w:r w:rsidR="00662AC9">
                    <w:rPr>
                      <w:rFonts w:ascii="Arial" w:hAnsi="Arial" w:cs="Arial"/>
                      <w:sz w:val="18"/>
                      <w:szCs w:val="18"/>
                    </w:rPr>
                    <w:t>2003</w:t>
                  </w:r>
                  <w:r w:rsidR="00662AC9">
                    <w:rPr>
                      <w:rFonts w:ascii="Arial" w:hAnsi="Arial" w:cs="Arial"/>
                      <w:sz w:val="18"/>
                      <w:szCs w:val="18"/>
                    </w:rPr>
                    <w:noBreakHyphen/>
                    <w:t>04</w:t>
                  </w:r>
                  <w:r w:rsidR="0033678D">
                    <w:rPr>
                      <w:rFonts w:ascii="Arial" w:hAnsi="Arial" w:cs="Arial"/>
                      <w:sz w:val="18"/>
                      <w:szCs w:val="18"/>
                    </w:rPr>
                    <w:t xml:space="preserve"> to 2017</w:t>
                  </w:r>
                  <w:r w:rsidR="0033678D">
                    <w:rPr>
                      <w:rFonts w:ascii="Arial" w:hAnsi="Arial" w:cs="Arial"/>
                      <w:sz w:val="18"/>
                      <w:szCs w:val="18"/>
                    </w:rPr>
                    <w:noBreakHyphen/>
                    <w:t>18)</w:t>
                  </w:r>
                  <w:r w:rsidR="0063744D">
                    <w:rPr>
                      <w:rFonts w:ascii="Arial" w:hAnsi="Arial" w:cs="Arial"/>
                      <w:sz w:val="18"/>
                      <w:szCs w:val="18"/>
                    </w:rPr>
                    <w:t xml:space="preserve"> </w:t>
                  </w:r>
                </w:p>
              </w:tc>
              <w:tc>
                <w:tcPr>
                  <w:tcW w:w="2500" w:type="pct"/>
                  <w:tcBorders>
                    <w:top w:val="nil"/>
                    <w:bottom w:val="nil"/>
                  </w:tcBorders>
                </w:tcPr>
                <w:p w14:paraId="27AADD3C" w14:textId="77777777" w:rsidR="0033678D" w:rsidRPr="00B1465D" w:rsidRDefault="0033678D" w:rsidP="006A6B40">
                  <w:pPr>
                    <w:pStyle w:val="Figure"/>
                    <w:spacing w:before="60" w:after="60"/>
                    <w:rPr>
                      <w:rFonts w:ascii="Arial" w:hAnsi="Arial" w:cs="Arial"/>
                      <w:sz w:val="18"/>
                      <w:szCs w:val="18"/>
                    </w:rPr>
                  </w:pPr>
                  <w:r>
                    <w:rPr>
                      <w:rFonts w:ascii="Arial" w:hAnsi="Arial" w:cs="Arial"/>
                      <w:sz w:val="18"/>
                      <w:szCs w:val="18"/>
                    </w:rPr>
                    <w:t>2017</w:t>
                  </w:r>
                  <w:r>
                    <w:rPr>
                      <w:rFonts w:ascii="Arial" w:hAnsi="Arial" w:cs="Arial"/>
                      <w:sz w:val="18"/>
                      <w:szCs w:val="18"/>
                    </w:rPr>
                    <w:noBreakHyphen/>
                    <w:t>18</w:t>
                  </w:r>
                </w:p>
              </w:tc>
            </w:tr>
            <w:tr w:rsidR="0033678D" w:rsidRPr="00B1465D" w14:paraId="079B5E79" w14:textId="77777777" w:rsidTr="0033678D">
              <w:trPr>
                <w:tblHeader/>
                <w:jc w:val="center"/>
              </w:trPr>
              <w:tc>
                <w:tcPr>
                  <w:tcW w:w="2500" w:type="pct"/>
                  <w:tcBorders>
                    <w:top w:val="nil"/>
                    <w:bottom w:val="nil"/>
                  </w:tcBorders>
                </w:tcPr>
                <w:p w14:paraId="5CD90430" w14:textId="77777777" w:rsidR="0033678D" w:rsidRPr="00B1465D" w:rsidRDefault="00662AC9" w:rsidP="006A6B40">
                  <w:pPr>
                    <w:pStyle w:val="Figure"/>
                    <w:spacing w:before="60" w:after="60"/>
                    <w:rPr>
                      <w:rFonts w:ascii="Arial" w:hAnsi="Arial" w:cs="Arial"/>
                      <w:sz w:val="18"/>
                      <w:szCs w:val="18"/>
                    </w:rPr>
                  </w:pPr>
                  <w:r w:rsidRPr="00662AC9">
                    <w:rPr>
                      <w:rFonts w:ascii="Arial" w:hAnsi="Arial" w:cs="Arial"/>
                      <w:noProof/>
                      <w:sz w:val="18"/>
                      <w:szCs w:val="18"/>
                    </w:rPr>
                    <w:drawing>
                      <wp:inline distT="0" distB="0" distL="0" distR="0" wp14:anchorId="7762A2C8" wp14:editId="1E0BD230">
                        <wp:extent cx="2650490" cy="2329815"/>
                        <wp:effectExtent l="0" t="0" r="0" b="0"/>
                        <wp:docPr id="70" name="Picture 70" descr="This figure shows the effect of quality improvement in the growth in labour inputs used. The left-hand panel indicates that quality improvement between 2003-04 and 2017-18 increased total effective labour inputs by 45 per cent in the 12 industry market sector, as shown in the left panel. For the 16 industry sector, the total contribution was 38 per cent " title="Longer run growth in labour input use (2003-04 to 2017-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50490" cy="2329815"/>
                                </a:xfrm>
                                <a:prstGeom prst="rect">
                                  <a:avLst/>
                                </a:prstGeom>
                                <a:noFill/>
                                <a:ln>
                                  <a:noFill/>
                                </a:ln>
                              </pic:spPr>
                            </pic:pic>
                          </a:graphicData>
                        </a:graphic>
                      </wp:inline>
                    </w:drawing>
                  </w:r>
                </w:p>
              </w:tc>
              <w:tc>
                <w:tcPr>
                  <w:tcW w:w="2500" w:type="pct"/>
                  <w:tcBorders>
                    <w:top w:val="nil"/>
                    <w:bottom w:val="nil"/>
                  </w:tcBorders>
                </w:tcPr>
                <w:p w14:paraId="0C828E57" w14:textId="77777777" w:rsidR="0033678D" w:rsidRPr="00B1465D" w:rsidRDefault="00A50D20" w:rsidP="006A6B40">
                  <w:pPr>
                    <w:pStyle w:val="Figure"/>
                    <w:spacing w:before="60" w:after="60"/>
                    <w:rPr>
                      <w:rFonts w:ascii="Arial" w:hAnsi="Arial" w:cs="Arial"/>
                      <w:sz w:val="18"/>
                      <w:szCs w:val="18"/>
                    </w:rPr>
                  </w:pPr>
                  <w:r w:rsidRPr="00A50D20">
                    <w:rPr>
                      <w:rFonts w:ascii="Arial" w:hAnsi="Arial" w:cs="Arial"/>
                      <w:noProof/>
                      <w:sz w:val="18"/>
                      <w:szCs w:val="18"/>
                    </w:rPr>
                    <w:drawing>
                      <wp:inline distT="0" distB="0" distL="0" distR="0" wp14:anchorId="468B34E8" wp14:editId="65798E55">
                        <wp:extent cx="2650490" cy="2329815"/>
                        <wp:effectExtent l="0" t="0" r="0" b="0"/>
                        <wp:docPr id="18" name="Picture 18" descr="This figure shows the effect of quality improvement in the growth in labour inputs used. The right-hand panel indicates that quality improvement increased effective labour input use in 2017-18 by relatively more in the 16 industry market sector (26 per cent) than in the 12 industry sector (19 per cent)." title="Labour input use growth, 2017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0490" cy="2329815"/>
                                </a:xfrm>
                                <a:prstGeom prst="rect">
                                  <a:avLst/>
                                </a:prstGeom>
                                <a:noFill/>
                                <a:ln>
                                  <a:noFill/>
                                </a:ln>
                              </pic:spPr>
                            </pic:pic>
                          </a:graphicData>
                        </a:graphic>
                      </wp:inline>
                    </w:drawing>
                  </w:r>
                </w:p>
              </w:tc>
            </w:tr>
          </w:tbl>
          <w:p w14:paraId="6E840AA4" w14:textId="77777777" w:rsidR="0033678D" w:rsidRDefault="0033678D" w:rsidP="006A6B40">
            <w:pPr>
              <w:pStyle w:val="Figure"/>
            </w:pPr>
          </w:p>
        </w:tc>
      </w:tr>
      <w:tr w:rsidR="00810267" w:rsidRPr="00176D3F" w14:paraId="293355CD" w14:textId="77777777" w:rsidTr="00D640FC">
        <w:tc>
          <w:tcPr>
            <w:tcW w:w="5000" w:type="pct"/>
            <w:tcBorders>
              <w:top w:val="nil"/>
              <w:left w:val="nil"/>
              <w:bottom w:val="nil"/>
              <w:right w:val="nil"/>
            </w:tcBorders>
            <w:shd w:val="clear" w:color="auto" w:fill="auto"/>
          </w:tcPr>
          <w:p w14:paraId="40BCE1E8" w14:textId="77777777" w:rsidR="00810267" w:rsidRPr="004A3151" w:rsidRDefault="00810267" w:rsidP="007D5ACC">
            <w:pPr>
              <w:pStyle w:val="Note"/>
              <w:rPr>
                <w:spacing w:val="-2"/>
              </w:rPr>
            </w:pPr>
            <w:r w:rsidRPr="004A3151">
              <w:rPr>
                <w:rStyle w:val="NoteLabel"/>
                <w:spacing w:val="-2"/>
              </w:rPr>
              <w:t>a</w:t>
            </w:r>
            <w:r w:rsidRPr="004A3151">
              <w:rPr>
                <w:spacing w:val="-2"/>
              </w:rPr>
              <w:t xml:space="preserve"> Growth rates are calculated as </w:t>
            </w:r>
            <w:proofErr w:type="spellStart"/>
            <w:r w:rsidRPr="004A3151">
              <w:rPr>
                <w:spacing w:val="-2"/>
              </w:rPr>
              <w:t>100.</w:t>
            </w:r>
            <w:r w:rsidRPr="004A3151">
              <w:rPr>
                <w:rFonts w:ascii="Symbol" w:hAnsi="Symbol"/>
                <w:spacing w:val="-2"/>
              </w:rPr>
              <w:t></w:t>
            </w:r>
            <w:r w:rsidRPr="004A3151">
              <w:rPr>
                <w:spacing w:val="-2"/>
              </w:rPr>
              <w:t>log</w:t>
            </w:r>
            <w:proofErr w:type="spellEnd"/>
            <w:r w:rsidRPr="004A3151">
              <w:rPr>
                <w:spacing w:val="-2"/>
              </w:rPr>
              <w:t>(</w:t>
            </w:r>
            <w:r w:rsidR="007D5ACC" w:rsidRPr="004A3151">
              <w:rPr>
                <w:spacing w:val="-2"/>
              </w:rPr>
              <w:t>Hours worked</w:t>
            </w:r>
            <w:r w:rsidRPr="004A3151">
              <w:rPr>
                <w:spacing w:val="-2"/>
              </w:rPr>
              <w:t>)</w:t>
            </w:r>
            <w:r w:rsidR="0063744D" w:rsidRPr="004A3151">
              <w:rPr>
                <w:spacing w:val="-2"/>
              </w:rPr>
              <w:t>/T</w:t>
            </w:r>
            <w:r w:rsidRPr="004A3151">
              <w:rPr>
                <w:spacing w:val="-2"/>
              </w:rPr>
              <w:t xml:space="preserve"> </w:t>
            </w:r>
            <w:r w:rsidR="0063744D" w:rsidRPr="004A3151">
              <w:rPr>
                <w:spacing w:val="-2"/>
              </w:rPr>
              <w:t xml:space="preserve">and </w:t>
            </w:r>
            <w:proofErr w:type="spellStart"/>
            <w:r w:rsidR="0063744D" w:rsidRPr="004A3151">
              <w:rPr>
                <w:spacing w:val="-2"/>
              </w:rPr>
              <w:t>100.</w:t>
            </w:r>
            <w:r w:rsidR="0063744D" w:rsidRPr="004A3151">
              <w:rPr>
                <w:rFonts w:ascii="Symbol" w:hAnsi="Symbol"/>
                <w:spacing w:val="-2"/>
              </w:rPr>
              <w:t></w:t>
            </w:r>
            <w:r w:rsidR="0063744D" w:rsidRPr="004A3151">
              <w:rPr>
                <w:spacing w:val="-2"/>
              </w:rPr>
              <w:t>log</w:t>
            </w:r>
            <w:proofErr w:type="spellEnd"/>
            <w:r w:rsidR="0063744D" w:rsidRPr="004A3151">
              <w:rPr>
                <w:spacing w:val="-2"/>
              </w:rPr>
              <w:t>(Labour quality)/T where T is the relevant period</w:t>
            </w:r>
            <w:r w:rsidRPr="004A3151">
              <w:rPr>
                <w:spacing w:val="-2"/>
              </w:rPr>
              <w:t xml:space="preserve">, noting that </w:t>
            </w:r>
            <w:r w:rsidR="0063744D" w:rsidRPr="004A3151">
              <w:rPr>
                <w:spacing w:val="-2"/>
              </w:rPr>
              <w:t>log changes in hours and quality sums to the total change in quality adjusted hours only if the calculations are expressed in log form. The values approximate to percentage changes annually.</w:t>
            </w:r>
          </w:p>
        </w:tc>
      </w:tr>
      <w:tr w:rsidR="0033678D" w:rsidRPr="00176D3F" w14:paraId="1B069CFB" w14:textId="77777777" w:rsidTr="006A6B40">
        <w:tc>
          <w:tcPr>
            <w:tcW w:w="5000" w:type="pct"/>
            <w:tcBorders>
              <w:top w:val="nil"/>
              <w:left w:val="nil"/>
              <w:bottom w:val="nil"/>
              <w:right w:val="nil"/>
            </w:tcBorders>
            <w:shd w:val="clear" w:color="auto" w:fill="auto"/>
          </w:tcPr>
          <w:p w14:paraId="316F6F1E" w14:textId="60F57854" w:rsidR="0033678D" w:rsidRPr="00176D3F" w:rsidRDefault="0033678D" w:rsidP="000014C1">
            <w:pPr>
              <w:pStyle w:val="Source"/>
            </w:pPr>
            <w:r>
              <w:rPr>
                <w:i/>
              </w:rPr>
              <w:t>S</w:t>
            </w:r>
            <w:r w:rsidRPr="00784A05">
              <w:rPr>
                <w:i/>
              </w:rPr>
              <w:t>ource</w:t>
            </w:r>
            <w:r w:rsidRPr="00176D3F">
              <w:t xml:space="preserve">: </w:t>
            </w:r>
            <w:r w:rsidR="000014C1" w:rsidRPr="000014C1">
              <w:t xml:space="preserve">ABS (2018, </w:t>
            </w:r>
            <w:r w:rsidR="000014C1" w:rsidRPr="000014C1">
              <w:rPr>
                <w:i/>
                <w:iCs/>
              </w:rPr>
              <w:t>Estimates of Industry Multifactor Productivity</w:t>
            </w:r>
            <w:r w:rsidR="000014C1" w:rsidRPr="000014C1">
              <w:t>, 2017</w:t>
            </w:r>
            <w:r w:rsidR="000014C1" w:rsidRPr="000014C1">
              <w:noBreakHyphen/>
              <w:t>18, Cat. no. 5260.0.55.002, table</w:t>
            </w:r>
            <w:r w:rsidR="000014C1">
              <w:t> </w:t>
            </w:r>
            <w:r w:rsidR="000014C1" w:rsidRPr="000014C1">
              <w:t>1).</w:t>
            </w:r>
          </w:p>
        </w:tc>
      </w:tr>
      <w:tr w:rsidR="0033678D" w14:paraId="71AF70CE" w14:textId="77777777" w:rsidTr="006A6B40">
        <w:tc>
          <w:tcPr>
            <w:tcW w:w="5000" w:type="pct"/>
            <w:tcBorders>
              <w:top w:val="nil"/>
              <w:left w:val="nil"/>
              <w:bottom w:val="single" w:sz="6" w:space="0" w:color="78A22F"/>
              <w:right w:val="nil"/>
            </w:tcBorders>
            <w:shd w:val="clear" w:color="auto" w:fill="auto"/>
          </w:tcPr>
          <w:p w14:paraId="67C0FCCF" w14:textId="77777777" w:rsidR="0033678D" w:rsidRDefault="0033678D" w:rsidP="006A6B40">
            <w:pPr>
              <w:pStyle w:val="Figurespace"/>
            </w:pPr>
          </w:p>
        </w:tc>
      </w:tr>
      <w:tr w:rsidR="0033678D" w:rsidRPr="000863A5" w14:paraId="5439D361" w14:textId="77777777" w:rsidTr="006A6B40">
        <w:tc>
          <w:tcPr>
            <w:tcW w:w="5000" w:type="pct"/>
            <w:tcBorders>
              <w:top w:val="single" w:sz="6" w:space="0" w:color="78A22F"/>
              <w:left w:val="nil"/>
              <w:bottom w:val="nil"/>
              <w:right w:val="nil"/>
            </w:tcBorders>
          </w:tcPr>
          <w:p w14:paraId="72878658" w14:textId="77777777" w:rsidR="0033678D" w:rsidRPr="00626D32" w:rsidRDefault="0033678D" w:rsidP="006A6B40">
            <w:pPr>
              <w:pStyle w:val="BoxSpaceBelow"/>
            </w:pPr>
          </w:p>
        </w:tc>
      </w:tr>
    </w:tbl>
    <w:p w14:paraId="496F225B" w14:textId="77777777" w:rsidR="00D67E52" w:rsidRDefault="00D67E52" w:rsidP="006A6B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67E52" w14:paraId="70498FAF" w14:textId="77777777" w:rsidTr="006A6B40">
        <w:trPr>
          <w:tblHeader/>
        </w:trPr>
        <w:tc>
          <w:tcPr>
            <w:tcW w:w="5000" w:type="pct"/>
            <w:tcBorders>
              <w:top w:val="single" w:sz="6" w:space="0" w:color="78A22F"/>
              <w:left w:val="nil"/>
              <w:bottom w:val="nil"/>
              <w:right w:val="nil"/>
            </w:tcBorders>
            <w:shd w:val="clear" w:color="auto" w:fill="auto"/>
          </w:tcPr>
          <w:p w14:paraId="4785C909" w14:textId="77777777" w:rsidR="00D67E52" w:rsidRDefault="00D67E52" w:rsidP="006A6B40">
            <w:pPr>
              <w:pStyle w:val="FigureTitle"/>
            </w:pPr>
            <w:r w:rsidRPr="00784A05">
              <w:rPr>
                <w:b w:val="0"/>
              </w:rPr>
              <w:t xml:space="preserve">Figure </w:t>
            </w:r>
            <w:r w:rsidR="00C047F7">
              <w:rPr>
                <w:b w:val="0"/>
              </w:rPr>
              <w:t>1.</w:t>
            </w:r>
            <w:r w:rsidR="00567785">
              <w:rPr>
                <w:b w:val="0"/>
              </w:rPr>
              <w:t>9</w:t>
            </w:r>
            <w:r>
              <w:tab/>
              <w:t>Multifactor productivity with and without skill</w:t>
            </w:r>
            <w:r>
              <w:noBreakHyphen/>
              <w:t>augmented labour inputs</w:t>
            </w:r>
          </w:p>
          <w:p w14:paraId="727E3F26" w14:textId="3B0BAA50" w:rsidR="00D67E52" w:rsidRPr="00176D3F" w:rsidRDefault="007D5ACC" w:rsidP="007D5ACC">
            <w:pPr>
              <w:pStyle w:val="Subtitle"/>
            </w:pPr>
            <w:r>
              <w:t>P</w:t>
            </w:r>
            <w:r w:rsidR="001E218F">
              <w:t>er</w:t>
            </w:r>
            <w:r>
              <w:t> </w:t>
            </w:r>
            <w:r w:rsidR="001E218F">
              <w:t xml:space="preserve">cent </w:t>
            </w:r>
            <w:r>
              <w:t>per</w:t>
            </w:r>
            <w:r w:rsidR="000B168A">
              <w:t> </w:t>
            </w:r>
            <w:r>
              <w:t>year</w:t>
            </w:r>
            <w:r w:rsidRPr="00CE742D">
              <w:rPr>
                <w:rStyle w:val="NoteLabel"/>
              </w:rPr>
              <w:t>a</w:t>
            </w:r>
          </w:p>
        </w:tc>
      </w:tr>
      <w:tr w:rsidR="00D67E52" w14:paraId="32C0DA5D" w14:textId="77777777" w:rsidTr="006A6B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D67E52" w:rsidRPr="00B1465D" w14:paraId="0285561E" w14:textId="77777777" w:rsidTr="00D67E52">
              <w:trPr>
                <w:tblHeader/>
                <w:jc w:val="center"/>
              </w:trPr>
              <w:tc>
                <w:tcPr>
                  <w:tcW w:w="2500" w:type="pct"/>
                  <w:tcBorders>
                    <w:top w:val="nil"/>
                    <w:bottom w:val="nil"/>
                  </w:tcBorders>
                </w:tcPr>
                <w:p w14:paraId="511A2894" w14:textId="77777777" w:rsidR="00D67E52" w:rsidRPr="00B1465D" w:rsidRDefault="00D67E52" w:rsidP="007D5ACC">
                  <w:pPr>
                    <w:pStyle w:val="Figure"/>
                    <w:spacing w:before="60" w:after="60"/>
                    <w:rPr>
                      <w:rFonts w:ascii="Arial" w:hAnsi="Arial" w:cs="Arial"/>
                      <w:sz w:val="18"/>
                      <w:szCs w:val="18"/>
                    </w:rPr>
                  </w:pPr>
                  <w:r>
                    <w:rPr>
                      <w:rFonts w:ascii="Arial" w:hAnsi="Arial" w:cs="Arial"/>
                      <w:sz w:val="18"/>
                      <w:szCs w:val="18"/>
                    </w:rPr>
                    <w:t>Long</w:t>
                  </w:r>
                  <w:r w:rsidR="007D5ACC">
                    <w:rPr>
                      <w:rFonts w:ascii="Arial" w:hAnsi="Arial" w:cs="Arial"/>
                      <w:sz w:val="18"/>
                      <w:szCs w:val="18"/>
                    </w:rPr>
                    <w:t>er</w:t>
                  </w:r>
                  <w:r w:rsidR="00D33627">
                    <w:rPr>
                      <w:rFonts w:ascii="Arial" w:hAnsi="Arial" w:cs="Arial"/>
                      <w:sz w:val="18"/>
                      <w:szCs w:val="18"/>
                    </w:rPr>
                    <w:noBreakHyphen/>
                  </w:r>
                  <w:r>
                    <w:rPr>
                      <w:rFonts w:ascii="Arial" w:hAnsi="Arial" w:cs="Arial"/>
                      <w:sz w:val="18"/>
                      <w:szCs w:val="18"/>
                    </w:rPr>
                    <w:t xml:space="preserve">run </w:t>
                  </w:r>
                  <w:r w:rsidR="00662AC9">
                    <w:rPr>
                      <w:rFonts w:ascii="Arial" w:hAnsi="Arial" w:cs="Arial"/>
                      <w:sz w:val="18"/>
                      <w:szCs w:val="18"/>
                    </w:rPr>
                    <w:t xml:space="preserve">average </w:t>
                  </w:r>
                  <w:r w:rsidR="007D5ACC">
                    <w:rPr>
                      <w:rFonts w:ascii="Arial" w:hAnsi="Arial" w:cs="Arial"/>
                      <w:sz w:val="18"/>
                      <w:szCs w:val="18"/>
                    </w:rPr>
                    <w:t>growth</w:t>
                  </w:r>
                  <w:r w:rsidR="007D5ACC">
                    <w:rPr>
                      <w:rFonts w:ascii="Arial" w:hAnsi="Arial" w:cs="Arial"/>
                      <w:sz w:val="18"/>
                      <w:szCs w:val="18"/>
                    </w:rPr>
                    <w:br/>
                  </w:r>
                  <w:r w:rsidR="00CE742D">
                    <w:rPr>
                      <w:rFonts w:ascii="Arial" w:hAnsi="Arial" w:cs="Arial"/>
                      <w:sz w:val="18"/>
                      <w:szCs w:val="18"/>
                    </w:rPr>
                    <w:t>(</w:t>
                  </w:r>
                  <w:r w:rsidR="00662AC9">
                    <w:rPr>
                      <w:rFonts w:ascii="Arial" w:hAnsi="Arial" w:cs="Arial"/>
                      <w:sz w:val="18"/>
                      <w:szCs w:val="18"/>
                    </w:rPr>
                    <w:t>2003</w:t>
                  </w:r>
                  <w:r w:rsidR="00662AC9">
                    <w:rPr>
                      <w:rFonts w:ascii="Arial" w:hAnsi="Arial" w:cs="Arial"/>
                      <w:sz w:val="18"/>
                      <w:szCs w:val="18"/>
                    </w:rPr>
                    <w:noBreakHyphen/>
                    <w:t>04</w:t>
                  </w:r>
                  <w:r w:rsidR="00CE742D">
                    <w:rPr>
                      <w:rFonts w:ascii="Arial" w:hAnsi="Arial" w:cs="Arial"/>
                      <w:sz w:val="18"/>
                      <w:szCs w:val="18"/>
                    </w:rPr>
                    <w:t xml:space="preserve"> to 2017</w:t>
                  </w:r>
                  <w:r w:rsidR="00CE742D">
                    <w:rPr>
                      <w:rFonts w:ascii="Arial" w:hAnsi="Arial" w:cs="Arial"/>
                      <w:sz w:val="18"/>
                      <w:szCs w:val="18"/>
                    </w:rPr>
                    <w:noBreakHyphen/>
                    <w:t>18)</w:t>
                  </w:r>
                </w:p>
              </w:tc>
              <w:tc>
                <w:tcPr>
                  <w:tcW w:w="2500" w:type="pct"/>
                  <w:tcBorders>
                    <w:top w:val="nil"/>
                    <w:bottom w:val="nil"/>
                  </w:tcBorders>
                </w:tcPr>
                <w:p w14:paraId="7393A747" w14:textId="77777777" w:rsidR="00D67E52" w:rsidRPr="00B1465D" w:rsidRDefault="00D67E52" w:rsidP="006A6B40">
                  <w:pPr>
                    <w:pStyle w:val="Figure"/>
                    <w:spacing w:before="60" w:after="60"/>
                    <w:rPr>
                      <w:rFonts w:ascii="Arial" w:hAnsi="Arial" w:cs="Arial"/>
                      <w:sz w:val="18"/>
                      <w:szCs w:val="18"/>
                    </w:rPr>
                  </w:pPr>
                  <w:r>
                    <w:rPr>
                      <w:rFonts w:ascii="Arial" w:hAnsi="Arial" w:cs="Arial"/>
                      <w:sz w:val="18"/>
                      <w:szCs w:val="18"/>
                    </w:rPr>
                    <w:t>2017</w:t>
                  </w:r>
                  <w:r>
                    <w:rPr>
                      <w:rFonts w:ascii="Arial" w:hAnsi="Arial" w:cs="Arial"/>
                      <w:sz w:val="18"/>
                      <w:szCs w:val="18"/>
                    </w:rPr>
                    <w:noBreakHyphen/>
                    <w:t>18</w:t>
                  </w:r>
                </w:p>
              </w:tc>
            </w:tr>
            <w:tr w:rsidR="00D67E52" w:rsidRPr="00B1465D" w14:paraId="2E8AACA1" w14:textId="77777777" w:rsidTr="00D67E52">
              <w:trPr>
                <w:tblHeader/>
                <w:jc w:val="center"/>
              </w:trPr>
              <w:tc>
                <w:tcPr>
                  <w:tcW w:w="2500" w:type="pct"/>
                  <w:tcBorders>
                    <w:top w:val="nil"/>
                    <w:bottom w:val="nil"/>
                  </w:tcBorders>
                </w:tcPr>
                <w:p w14:paraId="5045722C" w14:textId="77777777" w:rsidR="00D67E52" w:rsidRPr="00B1465D" w:rsidRDefault="00742F96" w:rsidP="006A6B40">
                  <w:pPr>
                    <w:pStyle w:val="Figure"/>
                    <w:spacing w:before="60" w:after="60"/>
                    <w:rPr>
                      <w:rFonts w:ascii="Arial" w:hAnsi="Arial" w:cs="Arial"/>
                      <w:sz w:val="18"/>
                      <w:szCs w:val="18"/>
                    </w:rPr>
                  </w:pPr>
                  <w:r w:rsidRPr="00742F96">
                    <w:rPr>
                      <w:rFonts w:ascii="Arial" w:hAnsi="Arial" w:cs="Arial"/>
                      <w:noProof/>
                      <w:sz w:val="18"/>
                      <w:szCs w:val="18"/>
                    </w:rPr>
                    <w:drawing>
                      <wp:inline distT="0" distB="0" distL="0" distR="0" wp14:anchorId="03563BDC" wp14:editId="1E430665">
                        <wp:extent cx="2661285" cy="2340610"/>
                        <wp:effectExtent l="0" t="0" r="5715" b="2540"/>
                        <wp:docPr id="77" name="Picture 77" descr="The left panel shows the impact of labour quality improvement on multifactor productivity growth in the market sectors. The growth is always substantially smaller when quality adjusted labour is considered. For both market sectors, averaged over the longer run, multifactor productivity almost disappears when quality adjusted labour is used, although the effect is proportionately slightly less for the 16 industry sector" title="Longer run average growth multifactor productivity with and without skill augmented labour in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1285" cy="2340610"/>
                                </a:xfrm>
                                <a:prstGeom prst="rect">
                                  <a:avLst/>
                                </a:prstGeom>
                                <a:noFill/>
                                <a:ln>
                                  <a:noFill/>
                                </a:ln>
                              </pic:spPr>
                            </pic:pic>
                          </a:graphicData>
                        </a:graphic>
                      </wp:inline>
                    </w:drawing>
                  </w:r>
                </w:p>
              </w:tc>
              <w:tc>
                <w:tcPr>
                  <w:tcW w:w="2500" w:type="pct"/>
                  <w:tcBorders>
                    <w:top w:val="nil"/>
                    <w:bottom w:val="nil"/>
                  </w:tcBorders>
                </w:tcPr>
                <w:p w14:paraId="1339E173" w14:textId="77777777" w:rsidR="00D67E52" w:rsidRPr="00B1465D" w:rsidRDefault="00742F96" w:rsidP="006A6B40">
                  <w:pPr>
                    <w:pStyle w:val="Figure"/>
                    <w:spacing w:before="60" w:after="60"/>
                    <w:rPr>
                      <w:rFonts w:ascii="Arial" w:hAnsi="Arial" w:cs="Arial"/>
                      <w:sz w:val="18"/>
                      <w:szCs w:val="18"/>
                    </w:rPr>
                  </w:pPr>
                  <w:r w:rsidRPr="00742F96">
                    <w:rPr>
                      <w:rFonts w:ascii="Arial" w:hAnsi="Arial" w:cs="Arial"/>
                      <w:noProof/>
                      <w:sz w:val="18"/>
                      <w:szCs w:val="18"/>
                    </w:rPr>
                    <w:drawing>
                      <wp:inline distT="0" distB="0" distL="0" distR="0" wp14:anchorId="0C590F43" wp14:editId="4FAB2427">
                        <wp:extent cx="2661285" cy="2340610"/>
                        <wp:effectExtent l="0" t="0" r="5715" b="2540"/>
                        <wp:docPr id="78" name="Picture 78" descr="The right hand panel shows that the impact of labour quality improvement on multifactor productivity growth in 2017-18 is broadly similar to its longer run trend." title="2017-18 average growth multifactor productivity with and without skill augmented labour in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1285" cy="2340610"/>
                                </a:xfrm>
                                <a:prstGeom prst="rect">
                                  <a:avLst/>
                                </a:prstGeom>
                                <a:noFill/>
                                <a:ln>
                                  <a:noFill/>
                                </a:ln>
                              </pic:spPr>
                            </pic:pic>
                          </a:graphicData>
                        </a:graphic>
                      </wp:inline>
                    </w:drawing>
                  </w:r>
                </w:p>
              </w:tc>
            </w:tr>
          </w:tbl>
          <w:p w14:paraId="190D6AA4" w14:textId="77777777" w:rsidR="00D67E52" w:rsidRDefault="00D67E52" w:rsidP="006A6B40">
            <w:pPr>
              <w:pStyle w:val="Figure"/>
            </w:pPr>
          </w:p>
        </w:tc>
      </w:tr>
      <w:tr w:rsidR="00D67E52" w:rsidRPr="00176D3F" w14:paraId="4C9D4B9C" w14:textId="77777777" w:rsidTr="006A6B40">
        <w:tc>
          <w:tcPr>
            <w:tcW w:w="5000" w:type="pct"/>
            <w:tcBorders>
              <w:top w:val="nil"/>
              <w:left w:val="nil"/>
              <w:bottom w:val="nil"/>
              <w:right w:val="nil"/>
            </w:tcBorders>
            <w:shd w:val="clear" w:color="auto" w:fill="auto"/>
          </w:tcPr>
          <w:p w14:paraId="2B85F1E3" w14:textId="77777777" w:rsidR="00D67E52" w:rsidRPr="00176D3F" w:rsidRDefault="00D67E52" w:rsidP="007D5ACC">
            <w:pPr>
              <w:pStyle w:val="Note"/>
            </w:pPr>
            <w:proofErr w:type="spellStart"/>
            <w:r>
              <w:rPr>
                <w:rStyle w:val="NoteLabel"/>
              </w:rPr>
              <w:t>a</w:t>
            </w:r>
            <w:proofErr w:type="spellEnd"/>
            <w:r>
              <w:t xml:space="preserve"> </w:t>
            </w:r>
            <w:r w:rsidR="00DA2E7C">
              <w:t xml:space="preserve">The </w:t>
            </w:r>
            <w:r w:rsidR="00CE742D">
              <w:t xml:space="preserve">chart is intended to show the difference between MFP rates with and without labour quality adjustment, not to isolate the underlying MFP growth rate that takes account of the </w:t>
            </w:r>
            <w:r w:rsidR="00FC4081">
              <w:t>business cycle</w:t>
            </w:r>
            <w:r>
              <w:t>.</w:t>
            </w:r>
            <w:r w:rsidR="00DA2E7C">
              <w:t xml:space="preserve"> </w:t>
            </w:r>
          </w:p>
        </w:tc>
      </w:tr>
      <w:tr w:rsidR="00D67E52" w:rsidRPr="00176D3F" w14:paraId="147F6B5E" w14:textId="77777777" w:rsidTr="006A6B40">
        <w:tc>
          <w:tcPr>
            <w:tcW w:w="5000" w:type="pct"/>
            <w:tcBorders>
              <w:top w:val="nil"/>
              <w:left w:val="nil"/>
              <w:bottom w:val="nil"/>
              <w:right w:val="nil"/>
            </w:tcBorders>
            <w:shd w:val="clear" w:color="auto" w:fill="auto"/>
          </w:tcPr>
          <w:p w14:paraId="496A77B6" w14:textId="4A39FCD0" w:rsidR="00D67E52" w:rsidRPr="00176D3F" w:rsidRDefault="00DD2720" w:rsidP="000014C1">
            <w:pPr>
              <w:pStyle w:val="Source"/>
            </w:pPr>
            <w:r>
              <w:rPr>
                <w:i/>
              </w:rPr>
              <w:t>S</w:t>
            </w:r>
            <w:r w:rsidR="00D67E52" w:rsidRPr="00784A05">
              <w:rPr>
                <w:i/>
              </w:rPr>
              <w:t>ource</w:t>
            </w:r>
            <w:r w:rsidR="00D67E52" w:rsidRPr="00176D3F">
              <w:t xml:space="preserve">: </w:t>
            </w:r>
            <w:r w:rsidR="000014C1" w:rsidRPr="000014C1">
              <w:t xml:space="preserve">ABS (2018, </w:t>
            </w:r>
            <w:r w:rsidR="000014C1" w:rsidRPr="000014C1">
              <w:rPr>
                <w:i/>
                <w:iCs/>
              </w:rPr>
              <w:t>Estimates of Industry Multifactor Productivity</w:t>
            </w:r>
            <w:r w:rsidR="000014C1" w:rsidRPr="000014C1">
              <w:t>, 2017</w:t>
            </w:r>
            <w:r w:rsidR="000014C1" w:rsidRPr="000014C1">
              <w:noBreakHyphen/>
              <w:t>18, Cat. no. 5260.0.55.002, table</w:t>
            </w:r>
            <w:r w:rsidR="000014C1">
              <w:t> </w:t>
            </w:r>
            <w:r w:rsidR="000014C1" w:rsidRPr="000014C1">
              <w:t>1).</w:t>
            </w:r>
          </w:p>
        </w:tc>
      </w:tr>
      <w:tr w:rsidR="00D67E52" w14:paraId="70016E4A" w14:textId="77777777" w:rsidTr="006A6B40">
        <w:tc>
          <w:tcPr>
            <w:tcW w:w="5000" w:type="pct"/>
            <w:tcBorders>
              <w:top w:val="nil"/>
              <w:left w:val="nil"/>
              <w:bottom w:val="single" w:sz="6" w:space="0" w:color="78A22F"/>
              <w:right w:val="nil"/>
            </w:tcBorders>
            <w:shd w:val="clear" w:color="auto" w:fill="auto"/>
          </w:tcPr>
          <w:p w14:paraId="7746BE5A" w14:textId="77777777" w:rsidR="00D67E52" w:rsidRDefault="00D67E52" w:rsidP="006A6B40">
            <w:pPr>
              <w:pStyle w:val="Figurespace"/>
            </w:pPr>
          </w:p>
        </w:tc>
      </w:tr>
      <w:tr w:rsidR="00D67E52" w:rsidRPr="000863A5" w14:paraId="169E619B" w14:textId="77777777" w:rsidTr="006A6B40">
        <w:tc>
          <w:tcPr>
            <w:tcW w:w="5000" w:type="pct"/>
            <w:tcBorders>
              <w:top w:val="single" w:sz="6" w:space="0" w:color="78A22F"/>
              <w:left w:val="nil"/>
              <w:bottom w:val="nil"/>
              <w:right w:val="nil"/>
            </w:tcBorders>
          </w:tcPr>
          <w:p w14:paraId="01F106CC" w14:textId="77777777" w:rsidR="00D67E52" w:rsidRPr="00626D32" w:rsidRDefault="00D67E52" w:rsidP="006A6B40">
            <w:pPr>
              <w:pStyle w:val="BoxSpaceBelow"/>
            </w:pPr>
          </w:p>
        </w:tc>
      </w:tr>
    </w:tbl>
    <w:p w14:paraId="55133234" w14:textId="77777777" w:rsidR="001A4817" w:rsidRPr="00DA02B0" w:rsidRDefault="001A4817" w:rsidP="00DA02B0">
      <w:pPr>
        <w:pStyle w:val="Heading2"/>
        <w:rPr>
          <w:b w:val="0"/>
          <w:sz w:val="24"/>
          <w:szCs w:val="24"/>
        </w:rPr>
      </w:pPr>
      <w:r w:rsidRPr="00DA02B0">
        <w:rPr>
          <w:b w:val="0"/>
          <w:sz w:val="24"/>
          <w:szCs w:val="24"/>
        </w:rPr>
        <w:t>Another wrinkle — revisions, revisions, revisions</w:t>
      </w:r>
    </w:p>
    <w:p w14:paraId="5C79DCE4" w14:textId="77777777" w:rsidR="008B3B7E" w:rsidRDefault="008B3B7E" w:rsidP="008B3B7E">
      <w:pPr>
        <w:pStyle w:val="BodyText"/>
      </w:pPr>
      <w:r>
        <w:t xml:space="preserve">While each year of additional </w:t>
      </w:r>
      <w:r w:rsidR="00EF48EB">
        <w:t xml:space="preserve">information helps to identify </w:t>
      </w:r>
      <w:r>
        <w:t xml:space="preserve">emerging trends, conclusions need to be tempered by </w:t>
      </w:r>
      <w:r w:rsidR="00D07F99">
        <w:t>revisions</w:t>
      </w:r>
      <w:r w:rsidR="00CC0AD6">
        <w:t xml:space="preserve"> </w:t>
      </w:r>
      <w:r w:rsidR="00D07F99">
        <w:t>to</w:t>
      </w:r>
      <w:r>
        <w:t xml:space="preserve"> MFP estimates</w:t>
      </w:r>
      <w:r w:rsidR="00CC0AD6">
        <w:t xml:space="preserve"> </w:t>
      </w:r>
      <w:r>
        <w:t>(figure </w:t>
      </w:r>
      <w:r w:rsidR="00C047F7">
        <w:t>1.</w:t>
      </w:r>
      <w:r w:rsidR="00567785">
        <w:t>10</w:t>
      </w:r>
      <w:r>
        <w:t xml:space="preserve">). </w:t>
      </w:r>
      <w:r w:rsidR="00CC0AD6">
        <w:t>The ABS routinely revisit their historical estimates in the National Accounts to ensure that they incorporate the most accurate data sources</w:t>
      </w:r>
      <w:r w:rsidR="00B03800">
        <w:t xml:space="preserve"> available</w:t>
      </w:r>
      <w:r w:rsidR="00CC0AD6">
        <w:t xml:space="preserve">. </w:t>
      </w:r>
      <w:r w:rsidR="00B03800">
        <w:t xml:space="preserve">Annual </w:t>
      </w:r>
      <w:r w:rsidR="00CC0AD6">
        <w:t xml:space="preserve">revisions are generally small, but </w:t>
      </w:r>
      <w:r w:rsidR="00B03800">
        <w:t xml:space="preserve">periodic historical revisions </w:t>
      </w:r>
      <w:r w:rsidR="00CC0AD6">
        <w:t>may be more substantive</w:t>
      </w:r>
      <w:r w:rsidR="00B03800">
        <w:t xml:space="preserve">. </w:t>
      </w:r>
      <w:r w:rsidR="00D07F99">
        <w:t xml:space="preserve">For example, MFP growth for </w:t>
      </w:r>
      <w:r w:rsidR="00D07F99">
        <w:rPr>
          <w:i/>
        </w:rPr>
        <w:t>f</w:t>
      </w:r>
      <w:r w:rsidR="00D07F99" w:rsidRPr="00393F15">
        <w:rPr>
          <w:i/>
        </w:rPr>
        <w:t xml:space="preserve">inancial and </w:t>
      </w:r>
      <w:r w:rsidR="00D07F99">
        <w:rPr>
          <w:i/>
        </w:rPr>
        <w:t>i</w:t>
      </w:r>
      <w:r w:rsidR="00D07F99" w:rsidRPr="00393F15">
        <w:rPr>
          <w:i/>
        </w:rPr>
        <w:t xml:space="preserve">nsurance </w:t>
      </w:r>
      <w:r w:rsidR="00D07F99">
        <w:rPr>
          <w:i/>
        </w:rPr>
        <w:t>s</w:t>
      </w:r>
      <w:r w:rsidR="00D07F99" w:rsidRPr="00393F15">
        <w:rPr>
          <w:i/>
        </w:rPr>
        <w:t>ervices</w:t>
      </w:r>
      <w:r w:rsidR="00D07F99">
        <w:t xml:space="preserve"> in 2013</w:t>
      </w:r>
      <w:r w:rsidR="00D07F99">
        <w:noBreakHyphen/>
        <w:t>14 was 3.38 per cent</w:t>
      </w:r>
      <w:r w:rsidR="00D07F99" w:rsidRPr="00B03800">
        <w:t xml:space="preserve"> </w:t>
      </w:r>
      <w:r w:rsidR="00D07F99">
        <w:t>when originally published. The revisions to output growth meant that the estimate for 2013</w:t>
      </w:r>
      <w:r w:rsidR="00D07F99">
        <w:noBreakHyphen/>
        <w:t>14</w:t>
      </w:r>
      <w:r w:rsidR="00D07F99" w:rsidRPr="00CC0AD6">
        <w:t xml:space="preserve"> </w:t>
      </w:r>
      <w:r w:rsidR="00D07F99">
        <w:t>had fallen to 1.35 per cent</w:t>
      </w:r>
      <w:r w:rsidR="00D07F99" w:rsidRPr="00B03800">
        <w:t xml:space="preserve"> </w:t>
      </w:r>
      <w:r w:rsidR="00D07F99">
        <w:t>in the 2017</w:t>
      </w:r>
      <w:r w:rsidR="00D07F99">
        <w:noBreakHyphen/>
        <w:t>18</w:t>
      </w:r>
      <w:r w:rsidR="00D07F99" w:rsidRPr="00CC0AD6">
        <w:t xml:space="preserve"> </w:t>
      </w:r>
      <w:r w:rsidR="00D07F99">
        <w:t xml:space="preserve">dataset, </w:t>
      </w:r>
      <w:r w:rsidR="007C1D5B">
        <w:t>about</w:t>
      </w:r>
      <w:r w:rsidR="00D07F99">
        <w:t xml:space="preserve"> one third of the initial estimate.</w:t>
      </w:r>
      <w:r w:rsidR="00D07F99">
        <w:rPr>
          <w:rStyle w:val="FootnoteReference"/>
        </w:rPr>
        <w:footnoteReference w:id="5"/>
      </w:r>
      <w:r w:rsidR="00D07F99">
        <w:t xml:space="preserve"> </w:t>
      </w:r>
      <w:r>
        <w:t xml:space="preserve">Fortunately, </w:t>
      </w:r>
      <w:r w:rsidR="00D07F99">
        <w:t xml:space="preserve">revisions are relatively small </w:t>
      </w:r>
      <w:r>
        <w:t>for aggregates such as the 12 and 16 industry sectors</w:t>
      </w:r>
      <w:r w:rsidR="00D07F99">
        <w:t>.</w:t>
      </w:r>
      <w:r>
        <w:t xml:space="preserve"> </w:t>
      </w:r>
    </w:p>
    <w:p w14:paraId="4A1BF52A" w14:textId="77777777" w:rsidR="008B3B7E" w:rsidRDefault="008B3B7E" w:rsidP="008B3B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B3B7E" w14:paraId="4392531B" w14:textId="77777777" w:rsidTr="008B3B7E">
        <w:trPr>
          <w:tblHeader/>
        </w:trPr>
        <w:tc>
          <w:tcPr>
            <w:tcW w:w="5000" w:type="pct"/>
            <w:tcBorders>
              <w:top w:val="single" w:sz="6" w:space="0" w:color="78A22F"/>
              <w:left w:val="nil"/>
              <w:bottom w:val="nil"/>
              <w:right w:val="nil"/>
            </w:tcBorders>
            <w:shd w:val="clear" w:color="auto" w:fill="auto"/>
          </w:tcPr>
          <w:p w14:paraId="2D991A09" w14:textId="7FAE8F44" w:rsidR="008B3B7E" w:rsidRDefault="008B3B7E" w:rsidP="008B3B7E">
            <w:pPr>
              <w:pStyle w:val="FigureTitle"/>
            </w:pPr>
            <w:r w:rsidRPr="00784A05">
              <w:rPr>
                <w:b w:val="0"/>
              </w:rPr>
              <w:t xml:space="preserve">Figure </w:t>
            </w:r>
            <w:r w:rsidR="00C047F7">
              <w:rPr>
                <w:b w:val="0"/>
              </w:rPr>
              <w:t>1.10</w:t>
            </w:r>
            <w:r>
              <w:tab/>
              <w:t xml:space="preserve">There can be </w:t>
            </w:r>
            <w:proofErr w:type="spellStart"/>
            <w:r>
              <w:t>sizeable</w:t>
            </w:r>
            <w:proofErr w:type="spellEnd"/>
            <w:r>
              <w:t xml:space="preserve"> variations between initial and subsequent estimates of productivity</w:t>
            </w:r>
            <w:r w:rsidR="008738E7">
              <w:t xml:space="preserve"> by industry</w:t>
            </w:r>
            <w:r w:rsidR="00F35723" w:rsidRPr="00B303BD">
              <w:rPr>
                <w:rStyle w:val="NoteLabel"/>
              </w:rPr>
              <w:t>a</w:t>
            </w:r>
          </w:p>
          <w:p w14:paraId="65889393" w14:textId="77777777" w:rsidR="008B3B7E" w:rsidRPr="00176D3F" w:rsidRDefault="008B3B7E" w:rsidP="00462F5F">
            <w:pPr>
              <w:pStyle w:val="Subtitle"/>
            </w:pPr>
            <w:r>
              <w:t xml:space="preserve">Percentage </w:t>
            </w:r>
            <w:r w:rsidR="00462F5F">
              <w:t xml:space="preserve">growth in </w:t>
            </w:r>
            <w:r>
              <w:t>2013</w:t>
            </w:r>
            <w:r>
              <w:noBreakHyphen/>
            </w:r>
            <w:r w:rsidR="00462F5F">
              <w:t>1</w:t>
            </w:r>
            <w:r>
              <w:t>4</w:t>
            </w:r>
          </w:p>
        </w:tc>
      </w:tr>
      <w:tr w:rsidR="008B3B7E" w14:paraId="4CCB8378" w14:textId="77777777" w:rsidTr="008B3B7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3"/>
            </w:tblGrid>
            <w:tr w:rsidR="008B3B7E" w:rsidRPr="00B1465D" w14:paraId="41CC8236" w14:textId="77777777" w:rsidTr="008B3B7E">
              <w:trPr>
                <w:tblHeader/>
                <w:jc w:val="center"/>
              </w:trPr>
              <w:tc>
                <w:tcPr>
                  <w:tcW w:w="2500" w:type="pct"/>
                  <w:tcBorders>
                    <w:top w:val="nil"/>
                    <w:bottom w:val="nil"/>
                  </w:tcBorders>
                </w:tcPr>
                <w:p w14:paraId="5F8B1171" w14:textId="77777777" w:rsidR="008B3B7E" w:rsidRPr="00B1465D" w:rsidRDefault="008B3B7E" w:rsidP="008B3B7E">
                  <w:pPr>
                    <w:pStyle w:val="Figure"/>
                    <w:spacing w:before="60" w:after="60"/>
                    <w:rPr>
                      <w:rFonts w:ascii="Arial" w:hAnsi="Arial" w:cs="Arial"/>
                      <w:sz w:val="18"/>
                      <w:szCs w:val="18"/>
                    </w:rPr>
                  </w:pPr>
                  <w:r>
                    <w:rPr>
                      <w:rFonts w:ascii="Arial" w:hAnsi="Arial" w:cs="Arial"/>
                      <w:sz w:val="18"/>
                      <w:szCs w:val="18"/>
                    </w:rPr>
                    <w:t>MFP growth</w:t>
                  </w:r>
                </w:p>
              </w:tc>
              <w:tc>
                <w:tcPr>
                  <w:tcW w:w="2500" w:type="pct"/>
                  <w:tcBorders>
                    <w:top w:val="nil"/>
                    <w:bottom w:val="nil"/>
                  </w:tcBorders>
                </w:tcPr>
                <w:p w14:paraId="752905B2" w14:textId="77777777" w:rsidR="008B3B7E" w:rsidRPr="00B1465D" w:rsidRDefault="008B3B7E" w:rsidP="008B3B7E">
                  <w:pPr>
                    <w:pStyle w:val="Figure"/>
                    <w:spacing w:before="60" w:after="60"/>
                    <w:rPr>
                      <w:rFonts w:ascii="Arial" w:hAnsi="Arial" w:cs="Arial"/>
                      <w:sz w:val="18"/>
                      <w:szCs w:val="18"/>
                    </w:rPr>
                  </w:pPr>
                  <w:r>
                    <w:rPr>
                      <w:rFonts w:ascii="Arial" w:hAnsi="Arial" w:cs="Arial"/>
                      <w:sz w:val="18"/>
                      <w:szCs w:val="18"/>
                    </w:rPr>
                    <w:t>Labour productivity growth</w:t>
                  </w:r>
                </w:p>
              </w:tc>
            </w:tr>
            <w:tr w:rsidR="008B3B7E" w:rsidRPr="00B1465D" w14:paraId="350BB697" w14:textId="77777777" w:rsidTr="008B3B7E">
              <w:trPr>
                <w:tblHeader/>
                <w:jc w:val="center"/>
              </w:trPr>
              <w:tc>
                <w:tcPr>
                  <w:tcW w:w="2500" w:type="pct"/>
                  <w:tcBorders>
                    <w:top w:val="nil"/>
                    <w:bottom w:val="nil"/>
                  </w:tcBorders>
                </w:tcPr>
                <w:p w14:paraId="5DAC37E5" w14:textId="77777777" w:rsidR="008B3B7E" w:rsidRPr="00B1465D" w:rsidRDefault="002E274E" w:rsidP="008B3B7E">
                  <w:pPr>
                    <w:pStyle w:val="Figure"/>
                    <w:spacing w:before="60" w:after="60"/>
                    <w:rPr>
                      <w:rFonts w:ascii="Arial" w:hAnsi="Arial" w:cs="Arial"/>
                      <w:sz w:val="18"/>
                      <w:szCs w:val="18"/>
                    </w:rPr>
                  </w:pPr>
                  <w:r w:rsidRPr="002E274E">
                    <w:rPr>
                      <w:rFonts w:ascii="Arial" w:hAnsi="Arial" w:cs="Arial"/>
                      <w:noProof/>
                      <w:sz w:val="18"/>
                      <w:szCs w:val="18"/>
                    </w:rPr>
                    <w:drawing>
                      <wp:inline distT="0" distB="0" distL="0" distR="0" wp14:anchorId="7396C973" wp14:editId="7ABB4672">
                        <wp:extent cx="2711450" cy="2433320"/>
                        <wp:effectExtent l="0" t="0" r="0" b="5080"/>
                        <wp:docPr id="69" name="Picture 69" descr="The left hand panel in the figure shows that ABS revisions have affected estimates of multifactor productivity growth in 2013-14. The effect of these revisions were smaller on sectoral aggregates." title="MFP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11450" cy="2433320"/>
                                </a:xfrm>
                                <a:prstGeom prst="rect">
                                  <a:avLst/>
                                </a:prstGeom>
                                <a:noFill/>
                                <a:ln>
                                  <a:noFill/>
                                </a:ln>
                              </pic:spPr>
                            </pic:pic>
                          </a:graphicData>
                        </a:graphic>
                      </wp:inline>
                    </w:drawing>
                  </w:r>
                </w:p>
              </w:tc>
              <w:tc>
                <w:tcPr>
                  <w:tcW w:w="2500" w:type="pct"/>
                  <w:tcBorders>
                    <w:top w:val="nil"/>
                    <w:bottom w:val="nil"/>
                  </w:tcBorders>
                </w:tcPr>
                <w:p w14:paraId="32E923B5" w14:textId="77777777" w:rsidR="008B3B7E" w:rsidRPr="00B1465D" w:rsidRDefault="002E274E" w:rsidP="008B3B7E">
                  <w:pPr>
                    <w:pStyle w:val="Figure"/>
                    <w:spacing w:before="60" w:after="60"/>
                    <w:rPr>
                      <w:rFonts w:ascii="Arial" w:hAnsi="Arial" w:cs="Arial"/>
                      <w:sz w:val="18"/>
                      <w:szCs w:val="18"/>
                    </w:rPr>
                  </w:pPr>
                  <w:r w:rsidRPr="002E274E">
                    <w:rPr>
                      <w:rFonts w:ascii="Arial" w:hAnsi="Arial" w:cs="Arial"/>
                      <w:noProof/>
                      <w:sz w:val="18"/>
                      <w:szCs w:val="18"/>
                    </w:rPr>
                    <w:drawing>
                      <wp:inline distT="0" distB="0" distL="0" distR="0" wp14:anchorId="7D8A8569" wp14:editId="462D130B">
                        <wp:extent cx="2711450" cy="2433320"/>
                        <wp:effectExtent l="0" t="0" r="0" b="5080"/>
                        <wp:docPr id="72" name="Picture 72" descr="The left hand panel in the figure shows that ABS revisions have affected estimates of labour productivity growth in 2013-14. The effect of these revisions were smaller on sectoral aggregates." title="Labour productivity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11450" cy="2433320"/>
                                </a:xfrm>
                                <a:prstGeom prst="rect">
                                  <a:avLst/>
                                </a:prstGeom>
                                <a:noFill/>
                                <a:ln>
                                  <a:noFill/>
                                </a:ln>
                              </pic:spPr>
                            </pic:pic>
                          </a:graphicData>
                        </a:graphic>
                      </wp:inline>
                    </w:drawing>
                  </w:r>
                </w:p>
              </w:tc>
            </w:tr>
          </w:tbl>
          <w:p w14:paraId="1D687E8C" w14:textId="77777777" w:rsidR="008B3B7E" w:rsidRDefault="008B3B7E" w:rsidP="008B3B7E">
            <w:pPr>
              <w:pStyle w:val="Figure"/>
            </w:pPr>
          </w:p>
        </w:tc>
      </w:tr>
      <w:tr w:rsidR="008B3B7E" w:rsidRPr="00176D3F" w14:paraId="542FF04F" w14:textId="77777777" w:rsidTr="008B3B7E">
        <w:tc>
          <w:tcPr>
            <w:tcW w:w="5000" w:type="pct"/>
            <w:tcBorders>
              <w:top w:val="nil"/>
              <w:left w:val="nil"/>
              <w:bottom w:val="nil"/>
              <w:right w:val="nil"/>
            </w:tcBorders>
            <w:shd w:val="clear" w:color="auto" w:fill="auto"/>
          </w:tcPr>
          <w:p w14:paraId="367F7ECB" w14:textId="77777777" w:rsidR="008B3B7E" w:rsidRPr="00176D3F" w:rsidRDefault="008B3B7E" w:rsidP="002E274E">
            <w:pPr>
              <w:pStyle w:val="Note"/>
            </w:pPr>
            <w:proofErr w:type="spellStart"/>
            <w:r>
              <w:rPr>
                <w:rStyle w:val="NoteLabel"/>
              </w:rPr>
              <w:t>a</w:t>
            </w:r>
            <w:proofErr w:type="spellEnd"/>
            <w:r>
              <w:t xml:space="preserve"> The charts show the relationship between the estimates of the productivity growth rates for 2013</w:t>
            </w:r>
            <w:r>
              <w:noBreakHyphen/>
              <w:t xml:space="preserve">14 for each </w:t>
            </w:r>
            <w:r w:rsidR="008738E7">
              <w:t xml:space="preserve">of the 16 </w:t>
            </w:r>
            <w:r>
              <w:t>industr</w:t>
            </w:r>
            <w:r w:rsidR="008738E7">
              <w:t>ies making up the market sector,</w:t>
            </w:r>
            <w:r>
              <w:t xml:space="preserve"> and for the </w:t>
            </w:r>
            <w:r w:rsidR="008738E7">
              <w:t xml:space="preserve">aggregate </w:t>
            </w:r>
            <w:r>
              <w:t>12 and 16 industry market sectors</w:t>
            </w:r>
            <w:r w:rsidR="00120E24">
              <w:t xml:space="preserve"> (denoted as </w:t>
            </w:r>
            <w:proofErr w:type="spellStart"/>
            <w:r w:rsidR="00120E24">
              <w:t>MS12</w:t>
            </w:r>
            <w:proofErr w:type="spellEnd"/>
            <w:r w:rsidR="00120E24">
              <w:t xml:space="preserve"> and </w:t>
            </w:r>
            <w:proofErr w:type="spellStart"/>
            <w:r w:rsidR="00120E24">
              <w:t>MS16</w:t>
            </w:r>
            <w:proofErr w:type="spellEnd"/>
            <w:r w:rsidR="00120E24">
              <w:t>, respectively)</w:t>
            </w:r>
            <w:r>
              <w:t xml:space="preserve">. Were there no revision errors then all points would lie on the </w:t>
            </w:r>
            <w:r w:rsidR="0083434A">
              <w:t>diagonal</w:t>
            </w:r>
            <w:r>
              <w:t xml:space="preserve"> line.</w:t>
            </w:r>
            <w:r w:rsidR="0083434A">
              <w:t xml:space="preserve"> Labour inputs are based on hours (non</w:t>
            </w:r>
            <w:r w:rsidR="00D33627">
              <w:noBreakHyphen/>
            </w:r>
            <w:r w:rsidR="0083434A">
              <w:t>quality adjusted).</w:t>
            </w:r>
          </w:p>
        </w:tc>
      </w:tr>
      <w:tr w:rsidR="008B3B7E" w:rsidRPr="00176D3F" w14:paraId="2EE6D372" w14:textId="77777777" w:rsidTr="008B3B7E">
        <w:tc>
          <w:tcPr>
            <w:tcW w:w="5000" w:type="pct"/>
            <w:tcBorders>
              <w:top w:val="nil"/>
              <w:left w:val="nil"/>
              <w:bottom w:val="nil"/>
              <w:right w:val="nil"/>
            </w:tcBorders>
            <w:shd w:val="clear" w:color="auto" w:fill="auto"/>
          </w:tcPr>
          <w:p w14:paraId="4E22FA3D" w14:textId="34385AB2" w:rsidR="008B3B7E" w:rsidRPr="00176D3F" w:rsidRDefault="008B3B7E" w:rsidP="000014C1">
            <w:pPr>
              <w:pStyle w:val="Source"/>
            </w:pPr>
            <w:r>
              <w:rPr>
                <w:i/>
              </w:rPr>
              <w:t>S</w:t>
            </w:r>
            <w:r w:rsidRPr="00784A05">
              <w:rPr>
                <w:i/>
              </w:rPr>
              <w:t>ource</w:t>
            </w:r>
            <w:r w:rsidRPr="00176D3F">
              <w:t xml:space="preserve">: </w:t>
            </w:r>
            <w:r w:rsidR="000014C1" w:rsidRPr="000014C1">
              <w:rPr>
                <w:spacing w:val="-4"/>
              </w:rPr>
              <w:t xml:space="preserve">ABS (2018, </w:t>
            </w:r>
            <w:r w:rsidR="000014C1" w:rsidRPr="000014C1">
              <w:rPr>
                <w:i/>
                <w:iCs/>
                <w:spacing w:val="-4"/>
              </w:rPr>
              <w:t>Estimates of Industry Multifactor Productivity</w:t>
            </w:r>
            <w:r w:rsidR="000014C1" w:rsidRPr="000014C1">
              <w:rPr>
                <w:spacing w:val="-4"/>
              </w:rPr>
              <w:t>, various years, Cat. no. 5260.0.55.002, table 1).</w:t>
            </w:r>
          </w:p>
        </w:tc>
      </w:tr>
      <w:tr w:rsidR="008B3B7E" w14:paraId="1144E3D9" w14:textId="77777777" w:rsidTr="008B3B7E">
        <w:tc>
          <w:tcPr>
            <w:tcW w:w="5000" w:type="pct"/>
            <w:tcBorders>
              <w:top w:val="nil"/>
              <w:left w:val="nil"/>
              <w:bottom w:val="single" w:sz="6" w:space="0" w:color="78A22F"/>
              <w:right w:val="nil"/>
            </w:tcBorders>
            <w:shd w:val="clear" w:color="auto" w:fill="auto"/>
          </w:tcPr>
          <w:p w14:paraId="684A9BB9" w14:textId="77777777" w:rsidR="008B3B7E" w:rsidRDefault="008B3B7E" w:rsidP="008B3B7E">
            <w:pPr>
              <w:pStyle w:val="Figurespace"/>
            </w:pPr>
          </w:p>
        </w:tc>
      </w:tr>
      <w:tr w:rsidR="008B3B7E" w:rsidRPr="000863A5" w14:paraId="795AD1AB" w14:textId="77777777" w:rsidTr="008B3B7E">
        <w:tc>
          <w:tcPr>
            <w:tcW w:w="5000" w:type="pct"/>
            <w:tcBorders>
              <w:top w:val="single" w:sz="6" w:space="0" w:color="78A22F"/>
              <w:left w:val="nil"/>
              <w:bottom w:val="nil"/>
              <w:right w:val="nil"/>
            </w:tcBorders>
          </w:tcPr>
          <w:p w14:paraId="1AE5B4EE" w14:textId="77777777" w:rsidR="008B3B7E" w:rsidRPr="00626D32" w:rsidRDefault="008B3B7E" w:rsidP="008B3B7E">
            <w:pPr>
              <w:pStyle w:val="BoxSpaceBelow"/>
            </w:pPr>
          </w:p>
        </w:tc>
      </w:tr>
    </w:tbl>
    <w:p w14:paraId="2C2A8AB4" w14:textId="77777777" w:rsidR="008B3B7E" w:rsidRPr="00DA02B0" w:rsidRDefault="00D82EC3" w:rsidP="00DA02B0">
      <w:pPr>
        <w:pStyle w:val="Heading2"/>
        <w:rPr>
          <w:sz w:val="24"/>
          <w:szCs w:val="24"/>
        </w:rPr>
      </w:pPr>
      <w:r w:rsidRPr="00DA02B0">
        <w:rPr>
          <w:sz w:val="24"/>
          <w:szCs w:val="24"/>
        </w:rPr>
        <w:t xml:space="preserve">A broader perspective paints a </w:t>
      </w:r>
      <w:r w:rsidR="00526745" w:rsidRPr="00DA02B0">
        <w:rPr>
          <w:sz w:val="24"/>
          <w:szCs w:val="24"/>
        </w:rPr>
        <w:t>somewhat better</w:t>
      </w:r>
      <w:r w:rsidRPr="00DA02B0">
        <w:rPr>
          <w:sz w:val="24"/>
          <w:szCs w:val="24"/>
        </w:rPr>
        <w:t xml:space="preserve"> view</w:t>
      </w:r>
    </w:p>
    <w:p w14:paraId="7717DF59" w14:textId="77777777" w:rsidR="00D82EC3" w:rsidRDefault="009003A9" w:rsidP="00D82EC3">
      <w:pPr>
        <w:pStyle w:val="BodyText"/>
      </w:pPr>
      <w:r>
        <w:t>While growth in real GDP per hour was low between 2014</w:t>
      </w:r>
      <w:r>
        <w:noBreakHyphen/>
        <w:t>15 and 2017</w:t>
      </w:r>
      <w:r>
        <w:noBreakHyphen/>
        <w:t xml:space="preserve">18 (at </w:t>
      </w:r>
      <w:r w:rsidR="007C1D5B">
        <w:t>about</w:t>
      </w:r>
      <w:r>
        <w:t xml:space="preserve"> 2.2 per</w:t>
      </w:r>
      <w:r w:rsidR="00166F08">
        <w:t> </w:t>
      </w:r>
      <w:r>
        <w:t>cent across the whole period), GDP p</w:t>
      </w:r>
      <w:r w:rsidR="00303163">
        <w:t>er capita grew somewhat more strongly (by</w:t>
      </w:r>
      <w:r>
        <w:t xml:space="preserve"> 3.3 per cent</w:t>
      </w:r>
      <w:r w:rsidR="00303163">
        <w:t>)</w:t>
      </w:r>
      <w:r>
        <w:t xml:space="preserve">. This reflects </w:t>
      </w:r>
      <w:r w:rsidR="00C27406">
        <w:t xml:space="preserve">the </w:t>
      </w:r>
      <w:r>
        <w:t xml:space="preserve">labour supply </w:t>
      </w:r>
      <w:r w:rsidR="00C27406">
        <w:t xml:space="preserve">effects of rising labour force participation rates (rather than hours worked by those already employed), which in its own right, can have </w:t>
      </w:r>
      <w:r w:rsidR="00D82EC3" w:rsidRPr="004908F8">
        <w:t>many positive social and economic benefits for households.</w:t>
      </w:r>
    </w:p>
    <w:p w14:paraId="69E04FDE" w14:textId="1131040D" w:rsidR="000E3D9B" w:rsidRDefault="000E3D9B" w:rsidP="00D82EC3">
      <w:pPr>
        <w:pStyle w:val="BodyText"/>
      </w:pPr>
      <w:r>
        <w:t>In addition, real net national disposable income — a better measure of overall prosperity — has recovered from its low in 2015</w:t>
      </w:r>
      <w:r>
        <w:noBreakHyphen/>
        <w:t>16</w:t>
      </w:r>
      <w:r w:rsidR="00571408">
        <w:t>, primarily a reflection of a higher terms of trade</w:t>
      </w:r>
      <w:r>
        <w:t xml:space="preserve"> (figure</w:t>
      </w:r>
      <w:r w:rsidR="00F6451E">
        <w:t>s</w:t>
      </w:r>
      <w:r>
        <w:t> 1.11</w:t>
      </w:r>
      <w:r w:rsidR="00571408">
        <w:t xml:space="preserve"> and 1.12</w:t>
      </w:r>
      <w:r>
        <w:t>)</w:t>
      </w:r>
      <w:r w:rsidR="00571408">
        <w:t>, with no significant contribution by multifactor productivity</w:t>
      </w:r>
      <w:r>
        <w:t>.</w:t>
      </w:r>
      <w:r>
        <w:rPr>
          <w:rStyle w:val="FootnoteReference"/>
        </w:rPr>
        <w:footnoteReference w:id="6"/>
      </w:r>
    </w:p>
    <w:p w14:paraId="5D64DF46" w14:textId="77777777" w:rsidR="00526745" w:rsidRDefault="00526745" w:rsidP="002C52E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26745" w14:paraId="51AFA05A" w14:textId="77777777" w:rsidTr="002C52E9">
        <w:trPr>
          <w:tblHeader/>
        </w:trPr>
        <w:tc>
          <w:tcPr>
            <w:tcW w:w="5000" w:type="pct"/>
            <w:tcBorders>
              <w:top w:val="single" w:sz="6" w:space="0" w:color="78A22F"/>
              <w:left w:val="nil"/>
              <w:bottom w:val="nil"/>
              <w:right w:val="nil"/>
            </w:tcBorders>
            <w:shd w:val="clear" w:color="auto" w:fill="auto"/>
          </w:tcPr>
          <w:p w14:paraId="01D6624A" w14:textId="77777777" w:rsidR="00526745" w:rsidRDefault="00526745" w:rsidP="002C52E9">
            <w:pPr>
              <w:pStyle w:val="FigureTitle"/>
            </w:pPr>
            <w:r w:rsidRPr="00784A05">
              <w:rPr>
                <w:b w:val="0"/>
              </w:rPr>
              <w:t xml:space="preserve">Figure </w:t>
            </w:r>
            <w:r w:rsidR="00025E9A">
              <w:rPr>
                <w:b w:val="0"/>
              </w:rPr>
              <w:t>1.11</w:t>
            </w:r>
            <w:r>
              <w:tab/>
            </w:r>
            <w:r w:rsidR="000E3D9B">
              <w:t xml:space="preserve">Real net national disposable income per capita has improved in the </w:t>
            </w:r>
            <w:r w:rsidR="00F95A1F">
              <w:t>past</w:t>
            </w:r>
            <w:r w:rsidR="000E3D9B">
              <w:t xml:space="preserve"> few years</w:t>
            </w:r>
          </w:p>
          <w:p w14:paraId="18856CE7" w14:textId="77777777" w:rsidR="00526745" w:rsidRPr="00176D3F" w:rsidRDefault="000E3D9B" w:rsidP="002C52E9">
            <w:pPr>
              <w:pStyle w:val="Subtitle"/>
            </w:pPr>
            <w:r>
              <w:t>Index (1959</w:t>
            </w:r>
            <w:r>
              <w:noBreakHyphen/>
              <w:t>60 = 100)</w:t>
            </w:r>
          </w:p>
        </w:tc>
      </w:tr>
      <w:tr w:rsidR="00526745" w14:paraId="4B2367C2" w14:textId="77777777" w:rsidTr="002C52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526745" w:rsidRPr="00B1465D" w14:paraId="0A7240D0" w14:textId="77777777" w:rsidTr="002C52E9">
              <w:trPr>
                <w:tblHeader/>
                <w:jc w:val="center"/>
              </w:trPr>
              <w:tc>
                <w:tcPr>
                  <w:tcW w:w="5000" w:type="pct"/>
                  <w:tcBorders>
                    <w:top w:val="nil"/>
                    <w:bottom w:val="nil"/>
                  </w:tcBorders>
                </w:tcPr>
                <w:p w14:paraId="59A783A5" w14:textId="77777777" w:rsidR="00526745" w:rsidRPr="00B1465D" w:rsidRDefault="00F12AF7" w:rsidP="002C52E9">
                  <w:pPr>
                    <w:pStyle w:val="Figure"/>
                    <w:spacing w:before="60" w:after="60"/>
                    <w:rPr>
                      <w:rFonts w:ascii="Arial" w:hAnsi="Arial" w:cs="Arial"/>
                      <w:sz w:val="18"/>
                      <w:szCs w:val="18"/>
                    </w:rPr>
                  </w:pPr>
                  <w:r w:rsidRPr="00F12AF7">
                    <w:rPr>
                      <w:rFonts w:ascii="Arial" w:hAnsi="Arial" w:cs="Arial"/>
                      <w:noProof/>
                      <w:sz w:val="18"/>
                      <w:szCs w:val="18"/>
                    </w:rPr>
                    <w:drawing>
                      <wp:inline distT="0" distB="0" distL="0" distR="0" wp14:anchorId="4A405740" wp14:editId="21600C51">
                        <wp:extent cx="5219700" cy="2336800"/>
                        <wp:effectExtent l="0" t="0" r="0" b="6350"/>
                        <wp:docPr id="32" name="Picture 32" descr="This figure shows the growth in real net national disposable income since 1959 60. Starting with an index of 100, it has a reached peak of close to 275 in 2011-12. It subsequently declined to 2015-16, before recovering over the past few years." title="Real net national disposable income per capita has improved in the past few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19700" cy="2336800"/>
                                </a:xfrm>
                                <a:prstGeom prst="rect">
                                  <a:avLst/>
                                </a:prstGeom>
                                <a:noFill/>
                                <a:ln>
                                  <a:noFill/>
                                </a:ln>
                              </pic:spPr>
                            </pic:pic>
                          </a:graphicData>
                        </a:graphic>
                      </wp:inline>
                    </w:drawing>
                  </w:r>
                </w:p>
              </w:tc>
            </w:tr>
          </w:tbl>
          <w:p w14:paraId="5C2D264E" w14:textId="77777777" w:rsidR="00526745" w:rsidRDefault="00526745" w:rsidP="002C52E9">
            <w:pPr>
              <w:pStyle w:val="Figure"/>
            </w:pPr>
          </w:p>
        </w:tc>
      </w:tr>
      <w:tr w:rsidR="00526745" w:rsidRPr="00176D3F" w14:paraId="30770A77" w14:textId="77777777" w:rsidTr="002C52E9">
        <w:tc>
          <w:tcPr>
            <w:tcW w:w="5000" w:type="pct"/>
            <w:tcBorders>
              <w:top w:val="nil"/>
              <w:left w:val="nil"/>
              <w:bottom w:val="nil"/>
              <w:right w:val="nil"/>
            </w:tcBorders>
            <w:shd w:val="clear" w:color="auto" w:fill="auto"/>
          </w:tcPr>
          <w:p w14:paraId="28506D1F" w14:textId="60CD206B" w:rsidR="00526745" w:rsidRPr="00176D3F" w:rsidRDefault="000E3D9B" w:rsidP="00F6451E">
            <w:pPr>
              <w:pStyle w:val="Source"/>
            </w:pPr>
            <w:r>
              <w:rPr>
                <w:i/>
              </w:rPr>
              <w:t>S</w:t>
            </w:r>
            <w:r w:rsidR="00526745" w:rsidRPr="00784A05">
              <w:rPr>
                <w:i/>
              </w:rPr>
              <w:t>ource</w:t>
            </w:r>
            <w:r w:rsidR="00526745" w:rsidRPr="00176D3F">
              <w:t xml:space="preserve">: </w:t>
            </w:r>
            <w:r>
              <w:t xml:space="preserve">ABS (2018, </w:t>
            </w:r>
            <w:r w:rsidRPr="00A61F0D">
              <w:rPr>
                <w:i/>
              </w:rPr>
              <w:t>Australian System of National Account</w:t>
            </w:r>
            <w:r w:rsidRPr="00065780">
              <w:t>s, 2017</w:t>
            </w:r>
            <w:r w:rsidRPr="00065780">
              <w:noBreakHyphen/>
              <w:t>18,</w:t>
            </w:r>
            <w:r w:rsidRPr="00A61F0D">
              <w:t xml:space="preserve"> Cat.</w:t>
            </w:r>
            <w:r w:rsidR="00F6451E">
              <w:t> </w:t>
            </w:r>
            <w:r w:rsidRPr="00A61F0D">
              <w:t>no.</w:t>
            </w:r>
            <w:r w:rsidR="00F6451E">
              <w:t> </w:t>
            </w:r>
            <w:r w:rsidRPr="00A61F0D">
              <w:t>5204.0</w:t>
            </w:r>
            <w:r w:rsidR="00D65FEA">
              <w:t>, table 1</w:t>
            </w:r>
            <w:r>
              <w:t>).</w:t>
            </w:r>
          </w:p>
        </w:tc>
      </w:tr>
      <w:tr w:rsidR="00526745" w14:paraId="6778632F" w14:textId="77777777" w:rsidTr="002C52E9">
        <w:tc>
          <w:tcPr>
            <w:tcW w:w="5000" w:type="pct"/>
            <w:tcBorders>
              <w:top w:val="nil"/>
              <w:left w:val="nil"/>
              <w:bottom w:val="single" w:sz="6" w:space="0" w:color="78A22F"/>
              <w:right w:val="nil"/>
            </w:tcBorders>
            <w:shd w:val="clear" w:color="auto" w:fill="auto"/>
          </w:tcPr>
          <w:p w14:paraId="61D946A7" w14:textId="77777777" w:rsidR="00526745" w:rsidRDefault="00526745" w:rsidP="002C52E9">
            <w:pPr>
              <w:pStyle w:val="Figurespace"/>
            </w:pPr>
          </w:p>
        </w:tc>
      </w:tr>
      <w:tr w:rsidR="00526745" w:rsidRPr="000863A5" w14:paraId="662854C4" w14:textId="77777777" w:rsidTr="002C52E9">
        <w:tc>
          <w:tcPr>
            <w:tcW w:w="5000" w:type="pct"/>
            <w:tcBorders>
              <w:top w:val="single" w:sz="6" w:space="0" w:color="78A22F"/>
              <w:left w:val="nil"/>
              <w:bottom w:val="nil"/>
              <w:right w:val="nil"/>
            </w:tcBorders>
          </w:tcPr>
          <w:p w14:paraId="1081FF35" w14:textId="77777777" w:rsidR="00526745" w:rsidRPr="00626D32" w:rsidRDefault="00526745" w:rsidP="002C52E9">
            <w:pPr>
              <w:pStyle w:val="BoxSpaceBelow"/>
            </w:pPr>
          </w:p>
        </w:tc>
      </w:tr>
    </w:tbl>
    <w:p w14:paraId="3448CC1B" w14:textId="77777777" w:rsidR="00625E70" w:rsidRDefault="00625E70" w:rsidP="00625E7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5E70" w14:paraId="1A457D93" w14:textId="77777777" w:rsidTr="00941685">
        <w:trPr>
          <w:tblHeader/>
        </w:trPr>
        <w:tc>
          <w:tcPr>
            <w:tcW w:w="5000" w:type="pct"/>
            <w:tcBorders>
              <w:top w:val="single" w:sz="6" w:space="0" w:color="78A22F"/>
              <w:left w:val="nil"/>
              <w:bottom w:val="nil"/>
              <w:right w:val="nil"/>
            </w:tcBorders>
            <w:shd w:val="clear" w:color="auto" w:fill="auto"/>
          </w:tcPr>
          <w:p w14:paraId="67CAE6AC" w14:textId="77777777" w:rsidR="00625E70" w:rsidRPr="004A3151" w:rsidRDefault="00625E70" w:rsidP="00941685">
            <w:pPr>
              <w:pStyle w:val="FigureTitle"/>
              <w:rPr>
                <w:rFonts w:ascii="Arial Bold" w:hAnsi="Arial Bold"/>
                <w:spacing w:val="-4"/>
              </w:rPr>
            </w:pPr>
            <w:r w:rsidRPr="00784A05">
              <w:rPr>
                <w:b w:val="0"/>
              </w:rPr>
              <w:t xml:space="preserve">Figure </w:t>
            </w:r>
            <w:r w:rsidR="000B1118">
              <w:rPr>
                <w:b w:val="0"/>
              </w:rPr>
              <w:t>1.12</w:t>
            </w:r>
            <w:r>
              <w:tab/>
            </w:r>
            <w:r w:rsidR="00004844" w:rsidRPr="004A3151">
              <w:rPr>
                <w:rFonts w:ascii="Arial Bold" w:hAnsi="Arial Bold"/>
                <w:spacing w:val="-4"/>
              </w:rPr>
              <w:t xml:space="preserve">The terms of trade has been the big driver of </w:t>
            </w:r>
            <w:r w:rsidR="00487254" w:rsidRPr="004A3151">
              <w:rPr>
                <w:rFonts w:ascii="Arial Bold" w:hAnsi="Arial Bold"/>
                <w:spacing w:val="-4"/>
              </w:rPr>
              <w:t xml:space="preserve">changes in </w:t>
            </w:r>
            <w:r w:rsidR="00004844" w:rsidRPr="004A3151">
              <w:rPr>
                <w:rFonts w:ascii="Arial Bold" w:hAnsi="Arial Bold"/>
                <w:spacing w:val="-4"/>
              </w:rPr>
              <w:t>p</w:t>
            </w:r>
            <w:r w:rsidR="00487254" w:rsidRPr="004A3151">
              <w:rPr>
                <w:rFonts w:ascii="Arial Bold" w:hAnsi="Arial Bold"/>
                <w:spacing w:val="-4"/>
              </w:rPr>
              <w:t>rosperity</w:t>
            </w:r>
          </w:p>
          <w:p w14:paraId="6E003D88" w14:textId="77777777" w:rsidR="00625E70" w:rsidRPr="00176D3F" w:rsidRDefault="00625E70" w:rsidP="00086601">
            <w:pPr>
              <w:pStyle w:val="Subtitle"/>
            </w:pPr>
            <w:r>
              <w:t xml:space="preserve">Factors contributing to </w:t>
            </w:r>
            <w:r w:rsidR="00086601">
              <w:t>growth in per capita disposable income</w:t>
            </w:r>
            <w:r w:rsidR="00086601" w:rsidRPr="00086601">
              <w:rPr>
                <w:rStyle w:val="NoteLabel"/>
              </w:rPr>
              <w:t>a</w:t>
            </w:r>
          </w:p>
        </w:tc>
      </w:tr>
      <w:tr w:rsidR="00625E70" w14:paraId="504E7441" w14:textId="77777777" w:rsidTr="00941685">
        <w:tc>
          <w:tcPr>
            <w:tcW w:w="5000" w:type="pct"/>
            <w:tcBorders>
              <w:top w:val="nil"/>
              <w:left w:val="nil"/>
              <w:bottom w:val="nil"/>
              <w:right w:val="nil"/>
            </w:tcBorders>
            <w:shd w:val="clear" w:color="auto" w:fill="auto"/>
            <w:tcMar>
              <w:top w:w="28" w:type="dxa"/>
              <w:bottom w:w="28" w:type="dxa"/>
            </w:tcMar>
          </w:tcPr>
          <w:p w14:paraId="76EF2AEB" w14:textId="77777777" w:rsidR="00625E70" w:rsidRDefault="00781577" w:rsidP="00781577">
            <w:pPr>
              <w:spacing w:before="120" w:after="120"/>
            </w:pPr>
            <w:r w:rsidRPr="00781577">
              <w:rPr>
                <w:noProof/>
              </w:rPr>
              <w:drawing>
                <wp:inline distT="0" distB="0" distL="0" distR="0" wp14:anchorId="7CC53FA3" wp14:editId="3627439B">
                  <wp:extent cx="5403215" cy="2875915"/>
                  <wp:effectExtent l="0" t="0" r="6985" b="635"/>
                  <wp:docPr id="33" name="Picture 33" descr="This figure decomposes the changes in per capita disposable income since 2011-12 into the contributions made by MFP. capital inputs, labour inputs, the terms of trade, net foreign income and depreciation. It shows that the terms of trade has been the big driver of recent changes in prosperity." title="The terms of trade has been the big driver of changes in prosp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3215" cy="2875915"/>
                          </a:xfrm>
                          <a:prstGeom prst="rect">
                            <a:avLst/>
                          </a:prstGeom>
                          <a:noFill/>
                          <a:ln>
                            <a:noFill/>
                          </a:ln>
                        </pic:spPr>
                      </pic:pic>
                    </a:graphicData>
                  </a:graphic>
                </wp:inline>
              </w:drawing>
            </w:r>
          </w:p>
        </w:tc>
      </w:tr>
      <w:tr w:rsidR="00625E70" w:rsidRPr="00176D3F" w14:paraId="51592A0E" w14:textId="77777777" w:rsidTr="00941685">
        <w:tc>
          <w:tcPr>
            <w:tcW w:w="5000" w:type="pct"/>
            <w:tcBorders>
              <w:top w:val="nil"/>
              <w:left w:val="nil"/>
              <w:bottom w:val="nil"/>
              <w:right w:val="nil"/>
            </w:tcBorders>
            <w:shd w:val="clear" w:color="auto" w:fill="auto"/>
          </w:tcPr>
          <w:p w14:paraId="6CCEB741" w14:textId="77777777" w:rsidR="00625E70" w:rsidRPr="00176D3F" w:rsidRDefault="00625E70" w:rsidP="00D04475">
            <w:pPr>
              <w:pStyle w:val="Note"/>
            </w:pPr>
            <w:r>
              <w:rPr>
                <w:rStyle w:val="NoteLabel"/>
              </w:rPr>
              <w:t>a</w:t>
            </w:r>
            <w:r>
              <w:t xml:space="preserve"> </w:t>
            </w:r>
            <w:r w:rsidR="00086601">
              <w:t xml:space="preserve">Per capita disposable income denotes net national disposable income per capita, and is an overall measure of </w:t>
            </w:r>
            <w:r w:rsidR="00D04475">
              <w:t xml:space="preserve">economic </w:t>
            </w:r>
            <w:r w:rsidR="00086601">
              <w:t>prosperity</w:t>
            </w:r>
            <w:r w:rsidR="00F12AF7">
              <w:t xml:space="preserve"> as it measures the overall level of </w:t>
            </w:r>
            <w:r w:rsidR="00D04475">
              <w:t xml:space="preserve">attainable </w:t>
            </w:r>
            <w:r w:rsidR="00F12AF7">
              <w:t>consumption</w:t>
            </w:r>
            <w:r w:rsidR="00D04475">
              <w:t>.</w:t>
            </w:r>
            <w:r w:rsidR="00086601">
              <w:t xml:space="preserve"> </w:t>
            </w:r>
          </w:p>
        </w:tc>
      </w:tr>
      <w:tr w:rsidR="00625E70" w:rsidRPr="00176D3F" w14:paraId="3099B941" w14:textId="77777777" w:rsidTr="00941685">
        <w:tc>
          <w:tcPr>
            <w:tcW w:w="5000" w:type="pct"/>
            <w:tcBorders>
              <w:top w:val="nil"/>
              <w:left w:val="nil"/>
              <w:bottom w:val="nil"/>
              <w:right w:val="nil"/>
            </w:tcBorders>
            <w:shd w:val="clear" w:color="auto" w:fill="auto"/>
          </w:tcPr>
          <w:p w14:paraId="64AF3539" w14:textId="70B2063F" w:rsidR="00625E70" w:rsidRPr="00176D3F" w:rsidRDefault="00086601" w:rsidP="000014C1">
            <w:pPr>
              <w:pStyle w:val="Subtitle"/>
              <w:keepNext w:val="0"/>
              <w:spacing w:before="80" w:after="0" w:line="220" w:lineRule="exact"/>
              <w:ind w:left="0"/>
              <w:jc w:val="both"/>
            </w:pPr>
            <w:r w:rsidRPr="00D67486">
              <w:rPr>
                <w:rStyle w:val="SourceChar"/>
                <w:i/>
              </w:rPr>
              <w:t>S</w:t>
            </w:r>
            <w:r w:rsidR="00625E70" w:rsidRPr="00D67486">
              <w:rPr>
                <w:rStyle w:val="SourceChar"/>
                <w:i/>
              </w:rPr>
              <w:t>ource</w:t>
            </w:r>
            <w:r w:rsidRPr="00D67486">
              <w:rPr>
                <w:rStyle w:val="SourceChar"/>
                <w:i/>
              </w:rPr>
              <w:t>s</w:t>
            </w:r>
            <w:r w:rsidR="00625E70" w:rsidRPr="00086601">
              <w:rPr>
                <w:rStyle w:val="SourceChar"/>
              </w:rPr>
              <w:t xml:space="preserve">: </w:t>
            </w:r>
            <w:r w:rsidR="000014C1" w:rsidRPr="000014C1">
              <w:rPr>
                <w:sz w:val="18"/>
              </w:rPr>
              <w:t>ABS (</w:t>
            </w:r>
            <w:r w:rsidR="000014C1" w:rsidRPr="000014C1">
              <w:rPr>
                <w:i/>
                <w:iCs/>
                <w:sz w:val="18"/>
              </w:rPr>
              <w:t>Australian System of National Accounts</w:t>
            </w:r>
            <w:r w:rsidR="000014C1" w:rsidRPr="000014C1">
              <w:rPr>
                <w:sz w:val="18"/>
              </w:rPr>
              <w:t>, 2017-18, Cat. no. 5204.0, tables</w:t>
            </w:r>
            <w:r w:rsidR="000014C1">
              <w:rPr>
                <w:sz w:val="18"/>
              </w:rPr>
              <w:t> </w:t>
            </w:r>
            <w:r w:rsidR="000014C1" w:rsidRPr="000014C1">
              <w:rPr>
                <w:sz w:val="18"/>
              </w:rPr>
              <w:t>1, 2, 7, 16 and 65); and ABS (</w:t>
            </w:r>
            <w:r w:rsidR="000014C1" w:rsidRPr="000014C1">
              <w:rPr>
                <w:i/>
                <w:iCs/>
                <w:sz w:val="18"/>
              </w:rPr>
              <w:t>Estimates of Industry Multifactor Productivity</w:t>
            </w:r>
            <w:r w:rsidR="000014C1" w:rsidRPr="000014C1">
              <w:rPr>
                <w:sz w:val="18"/>
              </w:rPr>
              <w:t>, 2017-18, Cat. no. 5260.0.55.002, tables</w:t>
            </w:r>
            <w:r w:rsidR="000014C1">
              <w:rPr>
                <w:sz w:val="18"/>
              </w:rPr>
              <w:t> </w:t>
            </w:r>
            <w:r w:rsidR="000014C1" w:rsidRPr="000014C1">
              <w:rPr>
                <w:sz w:val="18"/>
              </w:rPr>
              <w:t>4 and 13).</w:t>
            </w:r>
          </w:p>
        </w:tc>
      </w:tr>
      <w:tr w:rsidR="00625E70" w14:paraId="777AAD09" w14:textId="77777777" w:rsidTr="00941685">
        <w:tc>
          <w:tcPr>
            <w:tcW w:w="5000" w:type="pct"/>
            <w:tcBorders>
              <w:top w:val="nil"/>
              <w:left w:val="nil"/>
              <w:bottom w:val="single" w:sz="6" w:space="0" w:color="78A22F"/>
              <w:right w:val="nil"/>
            </w:tcBorders>
            <w:shd w:val="clear" w:color="auto" w:fill="auto"/>
          </w:tcPr>
          <w:p w14:paraId="1464BB86" w14:textId="77777777" w:rsidR="00625E70" w:rsidRDefault="00625E70" w:rsidP="00941685">
            <w:pPr>
              <w:pStyle w:val="Figurespace"/>
            </w:pPr>
          </w:p>
        </w:tc>
      </w:tr>
      <w:tr w:rsidR="00625E70" w:rsidRPr="000863A5" w14:paraId="061D0C1F" w14:textId="77777777" w:rsidTr="00941685">
        <w:tc>
          <w:tcPr>
            <w:tcW w:w="5000" w:type="pct"/>
            <w:tcBorders>
              <w:top w:val="single" w:sz="6" w:space="0" w:color="78A22F"/>
              <w:left w:val="nil"/>
              <w:bottom w:val="nil"/>
              <w:right w:val="nil"/>
            </w:tcBorders>
          </w:tcPr>
          <w:p w14:paraId="384D3CAA" w14:textId="77777777" w:rsidR="00625E70" w:rsidRPr="00626D32" w:rsidRDefault="00625E70" w:rsidP="00941685">
            <w:pPr>
              <w:pStyle w:val="BoxSpaceBelow"/>
            </w:pPr>
          </w:p>
        </w:tc>
      </w:tr>
    </w:tbl>
    <w:p w14:paraId="2366A3E1" w14:textId="77777777" w:rsidR="00DB60E1" w:rsidRDefault="00DB60E1" w:rsidP="00120072">
      <w:pPr>
        <w:pStyle w:val="BodyText"/>
        <w:sectPr w:rsidR="00DB60E1" w:rsidSect="00474A19">
          <w:footerReference w:type="default" r:id="rId47"/>
          <w:type w:val="oddPage"/>
          <w:pgSz w:w="11907" w:h="16840" w:code="9"/>
          <w:pgMar w:top="1985" w:right="1304" w:bottom="1247" w:left="1814" w:header="1701" w:footer="397" w:gutter="0"/>
          <w:pgNumType w:chapSep="period"/>
          <w:cols w:space="720"/>
        </w:sectPr>
      </w:pPr>
    </w:p>
    <w:p w14:paraId="33A9C56E" w14:textId="77777777" w:rsidR="00DB60E1" w:rsidRDefault="00DB60E1" w:rsidP="002A30DD">
      <w:pPr>
        <w:pStyle w:val="Heading1"/>
        <w:spacing w:before="0" w:after="1200"/>
      </w:pPr>
      <w:bookmarkStart w:id="22" w:name="_Toc5636660"/>
      <w:bookmarkStart w:id="23" w:name="_Toc5690110"/>
      <w:r>
        <w:lastRenderedPageBreak/>
        <w:t>2</w:t>
      </w:r>
      <w:r>
        <w:tab/>
        <w:t xml:space="preserve">The mining boom and </w:t>
      </w:r>
      <w:r w:rsidR="00D94A81">
        <w:t xml:space="preserve">the </w:t>
      </w:r>
      <w:r>
        <w:t>investment cycle</w:t>
      </w:r>
      <w:bookmarkEnd w:id="22"/>
      <w:bookmarkEnd w:id="23"/>
    </w:p>
    <w:p w14:paraId="1307ECDF" w14:textId="77777777" w:rsidR="00DB60E1" w:rsidRDefault="00DB60E1" w:rsidP="00DB60E1">
      <w:pPr>
        <w:pStyle w:val="BodyText"/>
      </w:pPr>
      <w:r>
        <w:t>The recent mining boom had a significant effect on the level and composition of investment in Australia. Strong world demand for selected mining commodities, most notably iron ore and coal, led to significant and sustained increases in the Australian dollar prices of these commodities from 2003</w:t>
      </w:r>
      <w:r>
        <w:noBreakHyphen/>
        <w:t>04 to 2011</w:t>
      </w:r>
      <w:r>
        <w:noBreakHyphen/>
        <w:t xml:space="preserve">12. The duration and scale of the terms of trade boom </w:t>
      </w:r>
      <w:r w:rsidR="00A439CC">
        <w:t xml:space="preserve">is </w:t>
      </w:r>
      <w:r>
        <w:t>unprecedented</w:t>
      </w:r>
      <w:r w:rsidR="00A439CC">
        <w:t xml:space="preserve"> over the </w:t>
      </w:r>
      <w:r w:rsidR="00F95A1F">
        <w:t>past</w:t>
      </w:r>
      <w:r w:rsidR="00A439CC">
        <w:t xml:space="preserve"> 220 years</w:t>
      </w:r>
      <w:r w:rsidR="000F7F0D">
        <w:t>. I</w:t>
      </w:r>
      <w:r w:rsidR="00A439CC">
        <w:t xml:space="preserve">ts peak was </w:t>
      </w:r>
      <w:r w:rsidR="00520E94">
        <w:t xml:space="preserve">only eclipsed once and that was 70 years ago during </w:t>
      </w:r>
      <w:r w:rsidR="00A439CC">
        <w:t>a short</w:t>
      </w:r>
      <w:r w:rsidR="00A439CC">
        <w:noBreakHyphen/>
        <w:t xml:space="preserve">lived </w:t>
      </w:r>
      <w:r w:rsidR="00094A84">
        <w:t>spike</w:t>
      </w:r>
      <w:r w:rsidR="00A439CC">
        <w:t xml:space="preserve"> in wool prices </w:t>
      </w:r>
      <w:r w:rsidR="004A036D" w:rsidRPr="004A036D">
        <w:rPr>
          <w:szCs w:val="24"/>
        </w:rPr>
        <w:t>(</w:t>
      </w:r>
      <w:proofErr w:type="spellStart"/>
      <w:r w:rsidR="004A036D" w:rsidRPr="004A036D">
        <w:rPr>
          <w:szCs w:val="24"/>
        </w:rPr>
        <w:t>Stapledon</w:t>
      </w:r>
      <w:proofErr w:type="spellEnd"/>
      <w:r w:rsidR="004A036D" w:rsidRPr="004A036D">
        <w:rPr>
          <w:szCs w:val="24"/>
        </w:rPr>
        <w:t> 2012)</w:t>
      </w:r>
      <w:r>
        <w:t>.</w:t>
      </w:r>
      <w:r w:rsidR="00A51166" w:rsidRPr="007A5DC9">
        <w:rPr>
          <w:rStyle w:val="FootnoteReference"/>
        </w:rPr>
        <w:footnoteReference w:id="7"/>
      </w:r>
      <w:r>
        <w:t xml:space="preserve"> </w:t>
      </w:r>
      <w:r w:rsidR="0090769E">
        <w:t xml:space="preserve">Mining resources </w:t>
      </w:r>
      <w:r>
        <w:t xml:space="preserve">price increases fuelled considerable mining investment. The development of three liquefied natural gas export facilities to link the existing east coast gas market to world markets and the development of new natural gas fields on both the east and </w:t>
      </w:r>
      <w:r w:rsidR="00B72F75">
        <w:t xml:space="preserve">west </w:t>
      </w:r>
      <w:r>
        <w:t>coasts also resulted in significant additional investment</w:t>
      </w:r>
      <w:r w:rsidR="000F7F0D">
        <w:t xml:space="preserve"> (figure 2.</w:t>
      </w:r>
      <w:r w:rsidR="00C047F7">
        <w:t>1</w:t>
      </w:r>
      <w:r w:rsidR="000F7F0D">
        <w:t>)</w:t>
      </w:r>
      <w:r>
        <w:t>.</w:t>
      </w:r>
      <w:r w:rsidR="00E03745">
        <w:t xml:space="preserve"> </w:t>
      </w:r>
      <w:r w:rsidR="00A51166">
        <w:t xml:space="preserve">Overall, </w:t>
      </w:r>
      <w:r w:rsidR="000F7F0D">
        <w:t xml:space="preserve">real </w:t>
      </w:r>
      <w:r w:rsidR="00A51166">
        <w:t xml:space="preserve">mining </w:t>
      </w:r>
      <w:r>
        <w:t xml:space="preserve">investment </w:t>
      </w:r>
      <w:r w:rsidR="00A51166">
        <w:t xml:space="preserve">grew </w:t>
      </w:r>
      <w:r w:rsidR="000F7F0D">
        <w:t xml:space="preserve">nearly sixfold </w:t>
      </w:r>
      <w:r>
        <w:t>from $</w:t>
      </w:r>
      <w:r w:rsidR="000F7F0D">
        <w:t>25 </w:t>
      </w:r>
      <w:r>
        <w:t>billion</w:t>
      </w:r>
      <w:r w:rsidRPr="00AC3081">
        <w:t xml:space="preserve"> </w:t>
      </w:r>
      <w:r>
        <w:t>in 2003</w:t>
      </w:r>
      <w:r>
        <w:noBreakHyphen/>
        <w:t>04 to a peak of $</w:t>
      </w:r>
      <w:r w:rsidR="000F7F0D">
        <w:t>144 </w:t>
      </w:r>
      <w:r>
        <w:t>billion in 2012</w:t>
      </w:r>
      <w:r>
        <w:noBreakHyphen/>
        <w:t>13.</w:t>
      </w:r>
    </w:p>
    <w:p w14:paraId="3216EDAC" w14:textId="77777777" w:rsidR="00C10B6F" w:rsidRDefault="00C10B6F" w:rsidP="00D94A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10B6F" w14:paraId="43C14607" w14:textId="77777777" w:rsidTr="00D94A81">
        <w:trPr>
          <w:tblHeader/>
        </w:trPr>
        <w:tc>
          <w:tcPr>
            <w:tcW w:w="5000" w:type="pct"/>
            <w:tcBorders>
              <w:top w:val="single" w:sz="6" w:space="0" w:color="78A22F"/>
              <w:left w:val="nil"/>
              <w:bottom w:val="nil"/>
              <w:right w:val="nil"/>
            </w:tcBorders>
            <w:shd w:val="clear" w:color="auto" w:fill="auto"/>
          </w:tcPr>
          <w:p w14:paraId="34A89DFA" w14:textId="77777777" w:rsidR="00C10B6F" w:rsidRPr="00176D3F" w:rsidRDefault="00C10B6F" w:rsidP="00120E24">
            <w:pPr>
              <w:pStyle w:val="FigureTitle"/>
            </w:pPr>
            <w:r w:rsidRPr="00784A05">
              <w:rPr>
                <w:b w:val="0"/>
              </w:rPr>
              <w:t xml:space="preserve">Figure </w:t>
            </w:r>
            <w:r w:rsidR="002A2E9D">
              <w:rPr>
                <w:b w:val="0"/>
              </w:rPr>
              <w:t>2.1</w:t>
            </w:r>
            <w:r>
              <w:tab/>
              <w:t>Investment, 19</w:t>
            </w:r>
            <w:r w:rsidR="00120E24">
              <w:t>59</w:t>
            </w:r>
            <w:r w:rsidR="00120E24">
              <w:noBreakHyphen/>
            </w:r>
            <w:r>
              <w:t>60 to 20</w:t>
            </w:r>
            <w:r w:rsidR="00120E24">
              <w:t>17</w:t>
            </w:r>
            <w:r w:rsidR="00120E24">
              <w:noBreakHyphen/>
            </w:r>
            <w:r>
              <w:t>18</w:t>
            </w:r>
            <w:r w:rsidRPr="004A3151">
              <w:rPr>
                <w:rStyle w:val="NoteLabel"/>
                <w:b/>
                <w:position w:val="10"/>
              </w:rPr>
              <w:t>a</w:t>
            </w:r>
          </w:p>
        </w:tc>
      </w:tr>
      <w:tr w:rsidR="00C10B6F" w14:paraId="61F890AD" w14:textId="77777777" w:rsidTr="00D94A8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C10B6F" w:rsidRPr="00B1465D" w14:paraId="2930EEC7" w14:textId="77777777" w:rsidTr="00C10B6F">
              <w:trPr>
                <w:tblHeader/>
                <w:jc w:val="center"/>
              </w:trPr>
              <w:tc>
                <w:tcPr>
                  <w:tcW w:w="2500" w:type="pct"/>
                  <w:tcBorders>
                    <w:top w:val="nil"/>
                    <w:bottom w:val="nil"/>
                  </w:tcBorders>
                </w:tcPr>
                <w:p w14:paraId="68A85BF3" w14:textId="77777777" w:rsidR="00C10B6F" w:rsidRPr="00B1465D" w:rsidRDefault="00C10B6F" w:rsidP="00C10B6F">
                  <w:pPr>
                    <w:pStyle w:val="Figure"/>
                    <w:spacing w:before="60" w:after="60"/>
                    <w:rPr>
                      <w:rFonts w:ascii="Arial" w:hAnsi="Arial" w:cs="Arial"/>
                      <w:sz w:val="18"/>
                      <w:szCs w:val="18"/>
                    </w:rPr>
                  </w:pPr>
                  <w:r w:rsidRPr="00C10B6F">
                    <w:rPr>
                      <w:rFonts w:ascii="Arial" w:hAnsi="Arial" w:cs="Arial"/>
                      <w:sz w:val="18"/>
                      <w:szCs w:val="18"/>
                    </w:rPr>
                    <w:t>Mining ($billion, 2016</w:t>
                  </w:r>
                  <w:r w:rsidRPr="00C10B6F">
                    <w:rPr>
                      <w:rFonts w:ascii="Arial" w:hAnsi="Arial" w:cs="Arial"/>
                      <w:sz w:val="18"/>
                      <w:szCs w:val="18"/>
                    </w:rPr>
                    <w:noBreakHyphen/>
                    <w:t>17 prices)</w:t>
                  </w:r>
                </w:p>
              </w:tc>
              <w:tc>
                <w:tcPr>
                  <w:tcW w:w="2500" w:type="pct"/>
                  <w:tcBorders>
                    <w:top w:val="nil"/>
                    <w:bottom w:val="nil"/>
                  </w:tcBorders>
                </w:tcPr>
                <w:p w14:paraId="1DDC5837" w14:textId="77777777" w:rsidR="00C10B6F" w:rsidRPr="00B1465D" w:rsidRDefault="00C10B6F" w:rsidP="00C10B6F">
                  <w:pPr>
                    <w:pStyle w:val="Figure"/>
                    <w:spacing w:before="60" w:after="60"/>
                    <w:rPr>
                      <w:rFonts w:ascii="Arial" w:hAnsi="Arial" w:cs="Arial"/>
                      <w:sz w:val="18"/>
                      <w:szCs w:val="18"/>
                    </w:rPr>
                  </w:pPr>
                  <w:r>
                    <w:rPr>
                      <w:rFonts w:ascii="Arial" w:hAnsi="Arial" w:cs="Arial"/>
                      <w:sz w:val="18"/>
                      <w:szCs w:val="18"/>
                    </w:rPr>
                    <w:t>Share of total investment</w:t>
                  </w:r>
                  <w:r w:rsidRPr="00C10B6F">
                    <w:rPr>
                      <w:rFonts w:ascii="Arial" w:hAnsi="Arial" w:cs="Arial"/>
                      <w:sz w:val="18"/>
                      <w:szCs w:val="18"/>
                    </w:rPr>
                    <w:t xml:space="preserve"> (per cent)</w:t>
                  </w:r>
                  <w:r w:rsidR="00E65E43" w:rsidRPr="00E65E43">
                    <w:rPr>
                      <w:rStyle w:val="NoteLabel"/>
                    </w:rPr>
                    <w:t>b</w:t>
                  </w:r>
                </w:p>
              </w:tc>
            </w:tr>
            <w:tr w:rsidR="00C10B6F" w:rsidRPr="00B1465D" w14:paraId="2C1E7149" w14:textId="77777777" w:rsidTr="00C10B6F">
              <w:trPr>
                <w:tblHeader/>
                <w:jc w:val="center"/>
              </w:trPr>
              <w:tc>
                <w:tcPr>
                  <w:tcW w:w="2500" w:type="pct"/>
                  <w:tcBorders>
                    <w:top w:val="nil"/>
                    <w:bottom w:val="nil"/>
                  </w:tcBorders>
                </w:tcPr>
                <w:p w14:paraId="554515FE" w14:textId="77777777" w:rsidR="00C10B6F" w:rsidRPr="00B1465D" w:rsidRDefault="002A30DD" w:rsidP="00D94A81">
                  <w:pPr>
                    <w:pStyle w:val="Figure"/>
                    <w:spacing w:before="60" w:after="60"/>
                    <w:rPr>
                      <w:rFonts w:ascii="Arial" w:hAnsi="Arial" w:cs="Arial"/>
                      <w:sz w:val="18"/>
                      <w:szCs w:val="18"/>
                    </w:rPr>
                  </w:pPr>
                  <w:r w:rsidRPr="002A30DD">
                    <w:rPr>
                      <w:rFonts w:ascii="Arial" w:hAnsi="Arial" w:cs="Arial"/>
                      <w:noProof/>
                      <w:sz w:val="18"/>
                      <w:szCs w:val="18"/>
                    </w:rPr>
                    <w:drawing>
                      <wp:inline distT="0" distB="0" distL="0" distR="0" wp14:anchorId="1B5960A9" wp14:editId="4EDDF495">
                        <wp:extent cx="2668270" cy="2333625"/>
                        <wp:effectExtent l="0" t="0" r="0" b="9525"/>
                        <wp:docPr id="21" name="Picture 21" descr="Chain volume mining investment grew relatively slowly until the 2000s, after which it grew roughly sixfold in a matter of years to peak in 2012-13. It subsequently fell sharply, but still remains high by historical standards " title="Mining investment ($billion, 2016-17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8270" cy="2333625"/>
                                </a:xfrm>
                                <a:prstGeom prst="rect">
                                  <a:avLst/>
                                </a:prstGeom>
                                <a:noFill/>
                                <a:ln>
                                  <a:noFill/>
                                </a:ln>
                              </pic:spPr>
                            </pic:pic>
                          </a:graphicData>
                        </a:graphic>
                      </wp:inline>
                    </w:drawing>
                  </w:r>
                </w:p>
              </w:tc>
              <w:tc>
                <w:tcPr>
                  <w:tcW w:w="2500" w:type="pct"/>
                  <w:tcBorders>
                    <w:top w:val="nil"/>
                    <w:bottom w:val="nil"/>
                  </w:tcBorders>
                </w:tcPr>
                <w:p w14:paraId="566998F9" w14:textId="77777777" w:rsidR="00C10B6F" w:rsidRPr="00B1465D" w:rsidRDefault="002A30DD" w:rsidP="00D94A81">
                  <w:pPr>
                    <w:pStyle w:val="Figure"/>
                    <w:spacing w:before="60" w:after="60"/>
                    <w:rPr>
                      <w:rFonts w:ascii="Arial" w:hAnsi="Arial" w:cs="Arial"/>
                      <w:sz w:val="18"/>
                      <w:szCs w:val="18"/>
                    </w:rPr>
                  </w:pPr>
                  <w:r w:rsidRPr="002A30DD">
                    <w:rPr>
                      <w:rFonts w:ascii="Arial" w:hAnsi="Arial" w:cs="Arial"/>
                      <w:noProof/>
                      <w:sz w:val="18"/>
                      <w:szCs w:val="18"/>
                    </w:rPr>
                    <w:drawing>
                      <wp:inline distT="0" distB="0" distL="0" distR="0" wp14:anchorId="33FCD305" wp14:editId="223A8542">
                        <wp:extent cx="2668270" cy="2333625"/>
                        <wp:effectExtent l="0" t="0" r="0" b="9525"/>
                        <wp:docPr id="38" name="Picture 38" descr="The right-hand panel shows the share of total investment accounted for by mining, dwellings and all other industries. The mining share of total investment rose significantly during the resources boom." title="Share of total investment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8270" cy="2333625"/>
                                </a:xfrm>
                                <a:prstGeom prst="rect">
                                  <a:avLst/>
                                </a:prstGeom>
                                <a:noFill/>
                                <a:ln>
                                  <a:noFill/>
                                </a:ln>
                              </pic:spPr>
                            </pic:pic>
                          </a:graphicData>
                        </a:graphic>
                      </wp:inline>
                    </w:drawing>
                  </w:r>
                </w:p>
              </w:tc>
            </w:tr>
          </w:tbl>
          <w:p w14:paraId="26ECB56B" w14:textId="77777777" w:rsidR="00C10B6F" w:rsidRDefault="00C10B6F" w:rsidP="00D94A81">
            <w:pPr>
              <w:pStyle w:val="Figure"/>
            </w:pPr>
          </w:p>
        </w:tc>
      </w:tr>
      <w:tr w:rsidR="00C10B6F" w:rsidRPr="004A3151" w14:paraId="1BD7648C" w14:textId="77777777" w:rsidTr="00D94A81">
        <w:tc>
          <w:tcPr>
            <w:tcW w:w="5000" w:type="pct"/>
            <w:tcBorders>
              <w:top w:val="nil"/>
              <w:left w:val="nil"/>
              <w:bottom w:val="nil"/>
              <w:right w:val="nil"/>
            </w:tcBorders>
            <w:shd w:val="clear" w:color="auto" w:fill="auto"/>
          </w:tcPr>
          <w:p w14:paraId="17D32FA4" w14:textId="77777777" w:rsidR="00C10B6F" w:rsidRPr="004A3151" w:rsidRDefault="00C10B6F" w:rsidP="00C10B6F">
            <w:pPr>
              <w:pStyle w:val="Note"/>
              <w:rPr>
                <w:spacing w:val="-2"/>
              </w:rPr>
            </w:pPr>
            <w:r w:rsidRPr="004A3151">
              <w:rPr>
                <w:rStyle w:val="NoteLabel"/>
                <w:spacing w:val="-2"/>
              </w:rPr>
              <w:t>a</w:t>
            </w:r>
            <w:r w:rsidRPr="004A3151">
              <w:rPr>
                <w:spacing w:val="-2"/>
              </w:rPr>
              <w:t xml:space="preserve"> Total public and private gross fixed capital formation. </w:t>
            </w:r>
            <w:r w:rsidR="00E65E43" w:rsidRPr="004A3151">
              <w:rPr>
                <w:rStyle w:val="NoteLabel"/>
                <w:spacing w:val="-2"/>
              </w:rPr>
              <w:t>b</w:t>
            </w:r>
            <w:r w:rsidR="00E65E43" w:rsidRPr="004A3151">
              <w:rPr>
                <w:spacing w:val="-2"/>
              </w:rPr>
              <w:t> </w:t>
            </w:r>
            <w:r w:rsidRPr="004A3151">
              <w:rPr>
                <w:spacing w:val="-2"/>
              </w:rPr>
              <w:t>Total investment excludes ownership transfer costs.</w:t>
            </w:r>
          </w:p>
        </w:tc>
      </w:tr>
      <w:tr w:rsidR="00C10B6F" w:rsidRPr="00176D3F" w14:paraId="745A808E" w14:textId="77777777" w:rsidTr="00D94A81">
        <w:tc>
          <w:tcPr>
            <w:tcW w:w="5000" w:type="pct"/>
            <w:tcBorders>
              <w:top w:val="nil"/>
              <w:left w:val="nil"/>
              <w:bottom w:val="nil"/>
              <w:right w:val="nil"/>
            </w:tcBorders>
            <w:shd w:val="clear" w:color="auto" w:fill="auto"/>
          </w:tcPr>
          <w:p w14:paraId="31390AA7" w14:textId="77777777" w:rsidR="00C10B6F" w:rsidRPr="00176D3F" w:rsidRDefault="00C10B6F" w:rsidP="009D1FF0">
            <w:pPr>
              <w:pStyle w:val="Source"/>
            </w:pPr>
            <w:r>
              <w:rPr>
                <w:i/>
              </w:rPr>
              <w:t>S</w:t>
            </w:r>
            <w:r w:rsidRPr="00784A05">
              <w:rPr>
                <w:i/>
              </w:rPr>
              <w:t>ource</w:t>
            </w:r>
            <w:r w:rsidRPr="00176D3F">
              <w:t xml:space="preserve">: </w:t>
            </w:r>
            <w:r>
              <w:t>ABS (2018,</w:t>
            </w:r>
            <w:r w:rsidRPr="00C72F64">
              <w:t xml:space="preserve"> </w:t>
            </w:r>
            <w:r w:rsidRPr="00B730A7">
              <w:rPr>
                <w:i/>
              </w:rPr>
              <w:t>Australian System of National Accounts</w:t>
            </w:r>
            <w:r w:rsidRPr="00C72F64">
              <w:rPr>
                <w:i/>
              </w:rPr>
              <w:t>, 2017</w:t>
            </w:r>
            <w:r w:rsidRPr="00C72F64">
              <w:rPr>
                <w:i/>
              </w:rPr>
              <w:noBreakHyphen/>
              <w:t>18</w:t>
            </w:r>
            <w:r>
              <w:t>, Cat. no. 5204.0, table </w:t>
            </w:r>
            <w:r w:rsidR="009D1FF0">
              <w:t>58</w:t>
            </w:r>
            <w:r>
              <w:t>).</w:t>
            </w:r>
          </w:p>
        </w:tc>
      </w:tr>
      <w:tr w:rsidR="00C10B6F" w14:paraId="39163DCA" w14:textId="77777777" w:rsidTr="00D94A81">
        <w:tc>
          <w:tcPr>
            <w:tcW w:w="5000" w:type="pct"/>
            <w:tcBorders>
              <w:top w:val="nil"/>
              <w:left w:val="nil"/>
              <w:bottom w:val="single" w:sz="6" w:space="0" w:color="78A22F"/>
              <w:right w:val="nil"/>
            </w:tcBorders>
            <w:shd w:val="clear" w:color="auto" w:fill="auto"/>
          </w:tcPr>
          <w:p w14:paraId="4F02CA43" w14:textId="77777777" w:rsidR="00C10B6F" w:rsidRDefault="00C10B6F" w:rsidP="00D94A81">
            <w:pPr>
              <w:pStyle w:val="Figurespace"/>
            </w:pPr>
          </w:p>
        </w:tc>
      </w:tr>
      <w:tr w:rsidR="00C10B6F" w:rsidRPr="000863A5" w14:paraId="1DA5493D" w14:textId="77777777" w:rsidTr="00D94A81">
        <w:tc>
          <w:tcPr>
            <w:tcW w:w="5000" w:type="pct"/>
            <w:tcBorders>
              <w:top w:val="single" w:sz="6" w:space="0" w:color="78A22F"/>
              <w:left w:val="nil"/>
              <w:bottom w:val="nil"/>
              <w:right w:val="nil"/>
            </w:tcBorders>
          </w:tcPr>
          <w:p w14:paraId="254D32DF" w14:textId="77777777" w:rsidR="00C10B6F" w:rsidRPr="00626D32" w:rsidRDefault="00C10B6F" w:rsidP="00D94A81">
            <w:pPr>
              <w:pStyle w:val="BoxSpaceBelow"/>
            </w:pPr>
          </w:p>
        </w:tc>
      </w:tr>
    </w:tbl>
    <w:p w14:paraId="68F773C9" w14:textId="77777777" w:rsidR="00DB60E1" w:rsidRPr="00A352B7" w:rsidRDefault="00DB60E1" w:rsidP="00A352B7">
      <w:pPr>
        <w:pStyle w:val="Heading2"/>
        <w:rPr>
          <w:b w:val="0"/>
          <w:sz w:val="24"/>
          <w:szCs w:val="24"/>
        </w:rPr>
      </w:pPr>
      <w:r w:rsidRPr="00A352B7">
        <w:rPr>
          <w:b w:val="0"/>
          <w:sz w:val="24"/>
          <w:szCs w:val="24"/>
        </w:rPr>
        <w:lastRenderedPageBreak/>
        <w:t xml:space="preserve">The investment boom led to a substantial </w:t>
      </w:r>
      <w:r w:rsidR="00834D88" w:rsidRPr="00A352B7">
        <w:rPr>
          <w:b w:val="0"/>
          <w:i/>
          <w:sz w:val="24"/>
          <w:szCs w:val="24"/>
        </w:rPr>
        <w:t>initial</w:t>
      </w:r>
      <w:r w:rsidR="00834D88" w:rsidRPr="00A352B7">
        <w:rPr>
          <w:b w:val="0"/>
          <w:sz w:val="24"/>
          <w:szCs w:val="24"/>
        </w:rPr>
        <w:t xml:space="preserve"> </w:t>
      </w:r>
      <w:r w:rsidRPr="00A352B7">
        <w:rPr>
          <w:b w:val="0"/>
          <w:sz w:val="24"/>
          <w:szCs w:val="24"/>
        </w:rPr>
        <w:t>fall in mining productivity</w:t>
      </w:r>
    </w:p>
    <w:p w14:paraId="7821E2EC" w14:textId="77777777" w:rsidR="00492E19" w:rsidRDefault="00834D88" w:rsidP="00492E19">
      <w:pPr>
        <w:pStyle w:val="BodyText"/>
      </w:pPr>
      <w:r>
        <w:t>The mining industry responds to h</w:t>
      </w:r>
      <w:r w:rsidR="00C700DA">
        <w:t xml:space="preserve">igher commodity prices </w:t>
      </w:r>
      <w:r>
        <w:t>by installing productive capacity, which requires substantial inputs of capital and labour ahead of actual production. Accordingly, productivity is depressed during the transition to production</w:t>
      </w:r>
      <w:r w:rsidR="00492E19">
        <w:t xml:space="preserve">, with the </w:t>
      </w:r>
      <w:r w:rsidR="005379E6">
        <w:t>c</w:t>
      </w:r>
      <w:r w:rsidR="005379E6" w:rsidRPr="00A74561">
        <w:t xml:space="preserve">onstruction of new mines and major facilities </w:t>
      </w:r>
      <w:r w:rsidR="005379E6">
        <w:t xml:space="preserve">often </w:t>
      </w:r>
      <w:r w:rsidR="005379E6" w:rsidRPr="00A74561">
        <w:t>tak</w:t>
      </w:r>
      <w:r w:rsidR="00492E19">
        <w:t>ing</w:t>
      </w:r>
      <w:r w:rsidR="005379E6" w:rsidRPr="00A74561">
        <w:t xml:space="preserve"> two to three year</w:t>
      </w:r>
      <w:r w:rsidR="005379E6">
        <w:t xml:space="preserve">s </w:t>
      </w:r>
      <w:r w:rsidR="004A036D" w:rsidRPr="004A036D">
        <w:rPr>
          <w:szCs w:val="24"/>
        </w:rPr>
        <w:t>(</w:t>
      </w:r>
      <w:proofErr w:type="spellStart"/>
      <w:r w:rsidR="004A036D" w:rsidRPr="004A036D">
        <w:rPr>
          <w:szCs w:val="24"/>
        </w:rPr>
        <w:t>Topp</w:t>
      </w:r>
      <w:proofErr w:type="spellEnd"/>
      <w:r w:rsidR="004A036D" w:rsidRPr="004A036D">
        <w:rPr>
          <w:szCs w:val="24"/>
        </w:rPr>
        <w:t xml:space="preserve"> et al. 2008, pp. 75–77)</w:t>
      </w:r>
      <w:r w:rsidR="00492E19">
        <w:t xml:space="preserve">. </w:t>
      </w:r>
    </w:p>
    <w:p w14:paraId="470B7012" w14:textId="4672F3AA" w:rsidR="00A86F06" w:rsidRDefault="00A86F06" w:rsidP="00A86F06">
      <w:pPr>
        <w:pStyle w:val="BodyText"/>
      </w:pPr>
      <w:r>
        <w:t>The dynamics and extent of the productivity effects var</w:t>
      </w:r>
      <w:r w:rsidR="00AD5CB7">
        <w:t>y</w:t>
      </w:r>
      <w:r>
        <w:t xml:space="preserve"> by mining activity. Mining covers </w:t>
      </w:r>
      <w:r w:rsidRPr="00A74561">
        <w:t xml:space="preserve">extraction, some processing and </w:t>
      </w:r>
      <w:r>
        <w:t xml:space="preserve">the </w:t>
      </w:r>
      <w:r w:rsidRPr="00A74561">
        <w:t>sale of minerals, fossil fuel</w:t>
      </w:r>
      <w:r>
        <w:noBreakHyphen/>
      </w:r>
      <w:r w:rsidRPr="00A74561">
        <w:t>based resources such as crude oil and natural gas and related products</w:t>
      </w:r>
      <w:r>
        <w:t xml:space="preserve">. </w:t>
      </w:r>
      <w:r w:rsidRPr="00A74561">
        <w:t xml:space="preserve">The industry also engages in exploration for new deposits and fields and the construction of some, but not all, new mines, processing facilities and related infrastructure. </w:t>
      </w:r>
      <w:r>
        <w:t>The variations across mining activities in outputs, input needs, production lead times and efficiency collectively determine the productivity outcomes for the industry as a whole.</w:t>
      </w:r>
    </w:p>
    <w:p w14:paraId="1CD73197" w14:textId="77777777" w:rsidR="00197DD3" w:rsidRDefault="00C700DA" w:rsidP="00DB60E1">
      <w:pPr>
        <w:pStyle w:val="BodyText"/>
      </w:pPr>
      <w:r>
        <w:t xml:space="preserve">Some other factors also lead to this </w:t>
      </w:r>
      <w:r w:rsidR="002A2E9D">
        <w:t xml:space="preserve">initially negative </w:t>
      </w:r>
      <w:r>
        <w:t>relationship between commodity prices and productivity. First, s</w:t>
      </w:r>
      <w:r w:rsidR="00EB6619">
        <w:t xml:space="preserve">ome less productive extraction technologies are able to be deployed more quickly in the urgency to exploit high prices, for example, </w:t>
      </w:r>
      <w:r w:rsidR="00DB60E1">
        <w:t xml:space="preserve">trucks and shovels instead of draglines. </w:t>
      </w:r>
      <w:r>
        <w:t>Second</w:t>
      </w:r>
      <w:r w:rsidR="00DB60E1">
        <w:t>,</w:t>
      </w:r>
      <w:r w:rsidR="00DB60E1" w:rsidDel="00197DD3">
        <w:t xml:space="preserve"> </w:t>
      </w:r>
      <w:r w:rsidR="00197DD3">
        <w:t xml:space="preserve">booms </w:t>
      </w:r>
      <w:r w:rsidR="00DB60E1">
        <w:t>encourage the opening, or re</w:t>
      </w:r>
      <w:r w:rsidR="00D33627">
        <w:noBreakHyphen/>
      </w:r>
      <w:r w:rsidR="00DB60E1">
        <w:t xml:space="preserve">opening, of lower grade </w:t>
      </w:r>
      <w:r w:rsidR="00AE2B4B">
        <w:t xml:space="preserve">(more marginal) </w:t>
      </w:r>
      <w:r w:rsidR="00DB60E1">
        <w:t>deposits</w:t>
      </w:r>
      <w:r w:rsidR="006868C3">
        <w:t>, which require more inputs to extract</w:t>
      </w:r>
      <w:r w:rsidR="00DB60E1">
        <w:t xml:space="preserve">. </w:t>
      </w:r>
    </w:p>
    <w:p w14:paraId="06963989" w14:textId="3B8FEC17" w:rsidR="00DB60E1" w:rsidRDefault="00DB60E1" w:rsidP="00DB60E1">
      <w:pPr>
        <w:pStyle w:val="BodyText"/>
      </w:pPr>
      <w:r>
        <w:t xml:space="preserve">For these </w:t>
      </w:r>
      <w:r w:rsidR="002A2E9D">
        <w:t xml:space="preserve">various </w:t>
      </w:r>
      <w:r>
        <w:t xml:space="preserve">reasons, labour productivity for the </w:t>
      </w:r>
      <w:r w:rsidR="00701636">
        <w:t xml:space="preserve">mining </w:t>
      </w:r>
      <w:r>
        <w:t xml:space="preserve">industry fell by </w:t>
      </w:r>
      <w:r w:rsidR="00C30725">
        <w:t>over 40 </w:t>
      </w:r>
      <w:r>
        <w:t>per</w:t>
      </w:r>
      <w:r w:rsidR="0043624A">
        <w:t> </w:t>
      </w:r>
      <w:r>
        <w:t>cent between 2003</w:t>
      </w:r>
      <w:r>
        <w:noBreakHyphen/>
        <w:t>04 and 2011</w:t>
      </w:r>
      <w:r>
        <w:noBreakHyphen/>
        <w:t>12</w:t>
      </w:r>
      <w:r w:rsidR="00701636">
        <w:t xml:space="preserve">, but then subsequently rose by </w:t>
      </w:r>
      <w:r w:rsidR="00C30725">
        <w:t xml:space="preserve">more than </w:t>
      </w:r>
      <w:r w:rsidR="00701636">
        <w:t>6</w:t>
      </w:r>
      <w:r w:rsidR="00C30725">
        <w:t>0</w:t>
      </w:r>
      <w:r w:rsidR="00701636">
        <w:t> per</w:t>
      </w:r>
      <w:r w:rsidR="0043624A">
        <w:t> </w:t>
      </w:r>
      <w:r w:rsidR="00701636">
        <w:t>cent between 2011</w:t>
      </w:r>
      <w:r w:rsidR="00701636">
        <w:noBreakHyphen/>
        <w:t>12 and 2017</w:t>
      </w:r>
      <w:r w:rsidR="00701636">
        <w:noBreakHyphen/>
        <w:t xml:space="preserve">18 </w:t>
      </w:r>
      <w:r w:rsidR="00CE250D">
        <w:t>(figure 2.2, left</w:t>
      </w:r>
      <w:r w:rsidR="00CE250D">
        <w:noBreakHyphen/>
        <w:t>hand panel)</w:t>
      </w:r>
      <w:r w:rsidR="00701636">
        <w:t>.</w:t>
      </w:r>
      <w:r w:rsidR="00C700DA">
        <w:t xml:space="preserve"> Capital and multifactor productivity also initially fell.</w:t>
      </w:r>
    </w:p>
    <w:p w14:paraId="4C2A01C7" w14:textId="77777777" w:rsidR="00801A0C" w:rsidRPr="00A352B7" w:rsidRDefault="00801A0C" w:rsidP="00781577">
      <w:pPr>
        <w:pStyle w:val="Heading2"/>
        <w:spacing w:line="320" w:lineRule="exact"/>
        <w:ind w:left="0" w:firstLine="0"/>
        <w:rPr>
          <w:b w:val="0"/>
          <w:sz w:val="24"/>
          <w:szCs w:val="24"/>
        </w:rPr>
      </w:pPr>
      <w:r w:rsidRPr="00A352B7">
        <w:rPr>
          <w:b w:val="0"/>
          <w:sz w:val="24"/>
          <w:szCs w:val="24"/>
        </w:rPr>
        <w:t>Falling commodity prices reduced mining investment, but other investment filled the void</w:t>
      </w:r>
    </w:p>
    <w:p w14:paraId="0293144D" w14:textId="638DD8D3" w:rsidR="00801A0C" w:rsidRDefault="00801A0C" w:rsidP="00801A0C">
      <w:pPr>
        <w:pStyle w:val="BodyText"/>
      </w:pPr>
      <w:r>
        <w:t>The decline in the terms of trade from its recent highs</w:t>
      </w:r>
      <w:r w:rsidRPr="00386D5E">
        <w:t xml:space="preserve"> </w:t>
      </w:r>
      <w:r>
        <w:t>reduced private mining investment (in current price terms) by 60 per</w:t>
      </w:r>
      <w:r w:rsidR="0043624A">
        <w:t> </w:t>
      </w:r>
      <w:r>
        <w:t>cent or $81 billion from 2012</w:t>
      </w:r>
      <w:r>
        <w:noBreakHyphen/>
        <w:t>13 to 2017</w:t>
      </w:r>
      <w:r>
        <w:noBreakHyphen/>
        <w:t>18. Other private investment has buffered the economy against this decline.</w:t>
      </w:r>
      <w:r w:rsidRPr="00991426">
        <w:t xml:space="preserve"> </w:t>
      </w:r>
      <w:r>
        <w:t xml:space="preserve">Private dwelling investment increased by more than 50 per cent or $37 billion over the same period and other private investment by </w:t>
      </w:r>
      <w:r w:rsidR="007C1D5B">
        <w:t>about</w:t>
      </w:r>
      <w:r>
        <w:t xml:space="preserve"> 30 per cent or $39 billion.</w:t>
      </w:r>
      <w:r w:rsidRPr="007A5DC9">
        <w:rPr>
          <w:rStyle w:val="FootnoteReference"/>
        </w:rPr>
        <w:footnoteReference w:id="8"/>
      </w:r>
      <w:r>
        <w:t xml:space="preserve"> Overall, private non</w:t>
      </w:r>
      <w:r>
        <w:noBreakHyphen/>
        <w:t>mining investment increased as share of GDP, but this was not enough to cancel out the reduction in mining and public investment as a share of GDP after the peak of the resources investment boom (figure</w:t>
      </w:r>
      <w:r w:rsidR="00D678BD">
        <w:t>s</w:t>
      </w:r>
      <w:r>
        <w:t> 2.</w:t>
      </w:r>
      <w:r w:rsidR="00B2626E">
        <w:t>3</w:t>
      </w:r>
      <w:r w:rsidR="00133131">
        <w:t xml:space="preserve"> </w:t>
      </w:r>
      <w:r w:rsidR="00D678BD">
        <w:t>and 2.</w:t>
      </w:r>
      <w:r w:rsidR="00B2626E">
        <w:t>4</w:t>
      </w:r>
      <w:r>
        <w:t xml:space="preserve">). </w:t>
      </w:r>
    </w:p>
    <w:p w14:paraId="5F7E7BC1" w14:textId="77777777" w:rsidR="002D0435" w:rsidRDefault="002D0435" w:rsidP="009F194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0435" w14:paraId="4C9FBE7B" w14:textId="77777777" w:rsidTr="009F1944">
        <w:trPr>
          <w:tblHeader/>
        </w:trPr>
        <w:tc>
          <w:tcPr>
            <w:tcW w:w="5000" w:type="pct"/>
            <w:tcBorders>
              <w:top w:val="single" w:sz="6" w:space="0" w:color="78A22F"/>
              <w:left w:val="nil"/>
              <w:bottom w:val="nil"/>
              <w:right w:val="nil"/>
            </w:tcBorders>
            <w:shd w:val="clear" w:color="auto" w:fill="auto"/>
          </w:tcPr>
          <w:p w14:paraId="125E7449" w14:textId="563CC173" w:rsidR="002D0435" w:rsidRPr="00176D3F" w:rsidRDefault="002D0435" w:rsidP="00C047F7">
            <w:pPr>
              <w:pStyle w:val="FigureTitle"/>
            </w:pPr>
            <w:r w:rsidRPr="00784A05">
              <w:rPr>
                <w:b w:val="0"/>
              </w:rPr>
              <w:t xml:space="preserve">Figure </w:t>
            </w:r>
            <w:r w:rsidR="00C047F7">
              <w:rPr>
                <w:b w:val="0"/>
              </w:rPr>
              <w:t>2.</w:t>
            </w:r>
            <w:r w:rsidR="00133131">
              <w:rPr>
                <w:b w:val="0"/>
              </w:rPr>
              <w:t>2</w:t>
            </w:r>
            <w:r>
              <w:tab/>
              <w:t xml:space="preserve">Mining and </w:t>
            </w:r>
            <w:r w:rsidR="00E0146B">
              <w:t>economy-wide</w:t>
            </w:r>
            <w:r>
              <w:t xml:space="preserve"> labour productivity</w:t>
            </w:r>
          </w:p>
        </w:tc>
      </w:tr>
      <w:tr w:rsidR="002D0435" w14:paraId="48788AFD" w14:textId="77777777" w:rsidTr="009F194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2D0435" w:rsidRPr="00B1465D" w14:paraId="51DC91D4" w14:textId="77777777" w:rsidTr="002D0435">
              <w:trPr>
                <w:tblHeader/>
                <w:jc w:val="center"/>
              </w:trPr>
              <w:tc>
                <w:tcPr>
                  <w:tcW w:w="2500" w:type="pct"/>
                  <w:tcBorders>
                    <w:top w:val="nil"/>
                    <w:bottom w:val="nil"/>
                  </w:tcBorders>
                </w:tcPr>
                <w:p w14:paraId="275B43BC" w14:textId="30CC1124" w:rsidR="002D0435" w:rsidRPr="00B1465D" w:rsidRDefault="002D0435" w:rsidP="0096001B">
                  <w:pPr>
                    <w:pStyle w:val="Figure"/>
                    <w:spacing w:before="60" w:after="60"/>
                    <w:rPr>
                      <w:rFonts w:ascii="Arial" w:hAnsi="Arial" w:cs="Arial"/>
                      <w:sz w:val="18"/>
                      <w:szCs w:val="18"/>
                    </w:rPr>
                  </w:pPr>
                  <w:r>
                    <w:rPr>
                      <w:rFonts w:ascii="Arial" w:hAnsi="Arial" w:cs="Arial"/>
                      <w:sz w:val="18"/>
                      <w:szCs w:val="18"/>
                    </w:rPr>
                    <w:t>199</w:t>
                  </w:r>
                  <w:r w:rsidR="00057326">
                    <w:rPr>
                      <w:rFonts w:ascii="Arial" w:hAnsi="Arial" w:cs="Arial"/>
                      <w:sz w:val="18"/>
                      <w:szCs w:val="18"/>
                    </w:rPr>
                    <w:t>4</w:t>
                  </w:r>
                  <w:r w:rsidR="00057326">
                    <w:rPr>
                      <w:rFonts w:ascii="Arial" w:hAnsi="Arial" w:cs="Arial"/>
                      <w:sz w:val="18"/>
                      <w:szCs w:val="18"/>
                    </w:rPr>
                    <w:noBreakHyphen/>
                    <w:t>95</w:t>
                  </w:r>
                  <w:r w:rsidR="00E65E43">
                    <w:rPr>
                      <w:rFonts w:ascii="Arial" w:hAnsi="Arial" w:cs="Arial"/>
                      <w:sz w:val="18"/>
                      <w:szCs w:val="18"/>
                    </w:rPr>
                    <w:t xml:space="preserve"> to 2017</w:t>
                  </w:r>
                  <w:r w:rsidR="00E65E43">
                    <w:rPr>
                      <w:rFonts w:ascii="Arial" w:hAnsi="Arial" w:cs="Arial"/>
                      <w:sz w:val="18"/>
                      <w:szCs w:val="18"/>
                    </w:rPr>
                    <w:noBreakHyphen/>
                    <w:t>18</w:t>
                  </w:r>
                  <w:r>
                    <w:rPr>
                      <w:rFonts w:ascii="Arial" w:hAnsi="Arial" w:cs="Arial"/>
                      <w:sz w:val="18"/>
                      <w:szCs w:val="18"/>
                    </w:rPr>
                    <w:br/>
                    <w:t>(</w:t>
                  </w:r>
                  <w:r w:rsidR="0096001B">
                    <w:rPr>
                      <w:rFonts w:ascii="Arial" w:hAnsi="Arial" w:cs="Arial"/>
                      <w:sz w:val="18"/>
                      <w:szCs w:val="18"/>
                    </w:rPr>
                    <w:t xml:space="preserve">index </w:t>
                  </w:r>
                  <w:r>
                    <w:rPr>
                      <w:rFonts w:ascii="Arial" w:hAnsi="Arial" w:cs="Arial"/>
                      <w:sz w:val="18"/>
                      <w:szCs w:val="18"/>
                    </w:rPr>
                    <w:t>199</w:t>
                  </w:r>
                  <w:r w:rsidR="00625A47">
                    <w:rPr>
                      <w:rFonts w:ascii="Arial" w:hAnsi="Arial" w:cs="Arial"/>
                      <w:sz w:val="18"/>
                      <w:szCs w:val="18"/>
                    </w:rPr>
                    <w:t>4</w:t>
                  </w:r>
                  <w:r w:rsidR="00625A47">
                    <w:rPr>
                      <w:rFonts w:ascii="Arial" w:hAnsi="Arial" w:cs="Arial"/>
                      <w:sz w:val="18"/>
                      <w:szCs w:val="18"/>
                    </w:rPr>
                    <w:noBreakHyphen/>
                    <w:t>95</w:t>
                  </w:r>
                  <w:r>
                    <w:rPr>
                      <w:rFonts w:ascii="Arial" w:hAnsi="Arial" w:cs="Arial"/>
                      <w:sz w:val="18"/>
                      <w:szCs w:val="18"/>
                    </w:rPr>
                    <w:t xml:space="preserve"> = 100)</w:t>
                  </w:r>
                </w:p>
              </w:tc>
              <w:tc>
                <w:tcPr>
                  <w:tcW w:w="2500" w:type="pct"/>
                  <w:tcBorders>
                    <w:top w:val="nil"/>
                    <w:bottom w:val="nil"/>
                  </w:tcBorders>
                </w:tcPr>
                <w:p w14:paraId="73424EF9" w14:textId="77777777" w:rsidR="002D0435" w:rsidRPr="00B1465D" w:rsidRDefault="002D0435" w:rsidP="00057326">
                  <w:pPr>
                    <w:pStyle w:val="Figure"/>
                    <w:spacing w:before="60" w:after="60"/>
                    <w:rPr>
                      <w:rFonts w:ascii="Arial" w:hAnsi="Arial" w:cs="Arial"/>
                      <w:sz w:val="18"/>
                      <w:szCs w:val="18"/>
                    </w:rPr>
                  </w:pPr>
                  <w:r>
                    <w:rPr>
                      <w:rFonts w:ascii="Arial" w:hAnsi="Arial" w:cs="Arial"/>
                      <w:sz w:val="18"/>
                      <w:szCs w:val="18"/>
                    </w:rPr>
                    <w:t>Percentage growth in labour productivity</w:t>
                  </w:r>
                  <w:r>
                    <w:rPr>
                      <w:rFonts w:ascii="Arial" w:hAnsi="Arial" w:cs="Arial"/>
                      <w:sz w:val="18"/>
                      <w:szCs w:val="18"/>
                    </w:rPr>
                    <w:br/>
                    <w:t>199</w:t>
                  </w:r>
                  <w:r w:rsidR="00057326">
                    <w:rPr>
                      <w:rFonts w:ascii="Arial" w:hAnsi="Arial" w:cs="Arial"/>
                      <w:sz w:val="18"/>
                      <w:szCs w:val="18"/>
                    </w:rPr>
                    <w:t>5</w:t>
                  </w:r>
                  <w:r w:rsidR="00057326">
                    <w:rPr>
                      <w:rFonts w:ascii="Arial" w:hAnsi="Arial" w:cs="Arial"/>
                      <w:sz w:val="18"/>
                      <w:szCs w:val="18"/>
                    </w:rPr>
                    <w:noBreakHyphen/>
                    <w:t>96</w:t>
                  </w:r>
                  <w:r>
                    <w:rPr>
                      <w:rFonts w:ascii="Arial" w:hAnsi="Arial" w:cs="Arial"/>
                      <w:sz w:val="18"/>
                      <w:szCs w:val="18"/>
                    </w:rPr>
                    <w:t xml:space="preserve"> to 2017</w:t>
                  </w:r>
                  <w:r>
                    <w:rPr>
                      <w:rFonts w:ascii="Arial" w:hAnsi="Arial" w:cs="Arial"/>
                      <w:sz w:val="18"/>
                      <w:szCs w:val="18"/>
                    </w:rPr>
                    <w:noBreakHyphen/>
                    <w:t>18</w:t>
                  </w:r>
                </w:p>
              </w:tc>
            </w:tr>
            <w:tr w:rsidR="002D0435" w:rsidRPr="00B1465D" w14:paraId="7462D66B" w14:textId="77777777" w:rsidTr="002D0435">
              <w:trPr>
                <w:tblHeader/>
                <w:jc w:val="center"/>
              </w:trPr>
              <w:tc>
                <w:tcPr>
                  <w:tcW w:w="2500" w:type="pct"/>
                  <w:tcBorders>
                    <w:top w:val="nil"/>
                    <w:bottom w:val="nil"/>
                  </w:tcBorders>
                </w:tcPr>
                <w:p w14:paraId="15D35719" w14:textId="77777777" w:rsidR="002D0435" w:rsidRPr="00B1465D" w:rsidRDefault="008A02E6" w:rsidP="009F1944">
                  <w:pPr>
                    <w:pStyle w:val="Figure"/>
                    <w:spacing w:before="60" w:after="60"/>
                    <w:rPr>
                      <w:rFonts w:ascii="Arial" w:hAnsi="Arial" w:cs="Arial"/>
                      <w:sz w:val="18"/>
                      <w:szCs w:val="18"/>
                    </w:rPr>
                  </w:pPr>
                  <w:r w:rsidRPr="008A02E6">
                    <w:rPr>
                      <w:rFonts w:ascii="Arial" w:hAnsi="Arial" w:cs="Arial"/>
                      <w:noProof/>
                      <w:sz w:val="18"/>
                      <w:szCs w:val="18"/>
                    </w:rPr>
                    <w:drawing>
                      <wp:inline distT="0" distB="0" distL="0" distR="0" wp14:anchorId="563B4B10" wp14:editId="3BBB7849">
                        <wp:extent cx="2668270" cy="2333625"/>
                        <wp:effectExtent l="0" t="0" r="0" b="9525"/>
                        <wp:docPr id="40" name="Picture 40" descr="While economywide labour productivity rose generally from 1994-95 to 2017-18, it fell dramatically in mining from the early 2000s to around 2011-12, before rising strongly." title="Figure 2.2 Mining and economywide labou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68270" cy="2333625"/>
                                </a:xfrm>
                                <a:prstGeom prst="rect">
                                  <a:avLst/>
                                </a:prstGeom>
                                <a:noFill/>
                                <a:ln>
                                  <a:noFill/>
                                </a:ln>
                              </pic:spPr>
                            </pic:pic>
                          </a:graphicData>
                        </a:graphic>
                      </wp:inline>
                    </w:drawing>
                  </w:r>
                </w:p>
              </w:tc>
              <w:tc>
                <w:tcPr>
                  <w:tcW w:w="2500" w:type="pct"/>
                  <w:tcBorders>
                    <w:top w:val="nil"/>
                    <w:bottom w:val="nil"/>
                  </w:tcBorders>
                </w:tcPr>
                <w:p w14:paraId="67C10ED4" w14:textId="77777777" w:rsidR="002D0435" w:rsidRPr="00B1465D" w:rsidRDefault="008A02E6" w:rsidP="009F1944">
                  <w:pPr>
                    <w:pStyle w:val="Figure"/>
                    <w:spacing w:before="60" w:after="60"/>
                    <w:rPr>
                      <w:rFonts w:ascii="Arial" w:hAnsi="Arial" w:cs="Arial"/>
                      <w:sz w:val="18"/>
                      <w:szCs w:val="18"/>
                    </w:rPr>
                  </w:pPr>
                  <w:r w:rsidRPr="008A02E6">
                    <w:rPr>
                      <w:rFonts w:ascii="Arial" w:hAnsi="Arial" w:cs="Arial"/>
                      <w:noProof/>
                      <w:sz w:val="18"/>
                      <w:szCs w:val="18"/>
                    </w:rPr>
                    <w:drawing>
                      <wp:inline distT="0" distB="0" distL="0" distR="0" wp14:anchorId="22024956" wp14:editId="4CC4204A">
                        <wp:extent cx="2668270" cy="2333625"/>
                        <wp:effectExtent l="0" t="0" r="0" b="9525"/>
                        <wp:docPr id="43" name="Picture 43" descr="This shows change sin labour productivity, with the most notable feature being the high variability and size of productivity changes in mining compared to the economy as a whole. " title="Percentage growth in labour 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8270" cy="2333625"/>
                                </a:xfrm>
                                <a:prstGeom prst="rect">
                                  <a:avLst/>
                                </a:prstGeom>
                                <a:noFill/>
                                <a:ln>
                                  <a:noFill/>
                                </a:ln>
                              </pic:spPr>
                            </pic:pic>
                          </a:graphicData>
                        </a:graphic>
                      </wp:inline>
                    </w:drawing>
                  </w:r>
                </w:p>
              </w:tc>
            </w:tr>
          </w:tbl>
          <w:p w14:paraId="0EC8CD4C" w14:textId="77777777" w:rsidR="002D0435" w:rsidRDefault="002D0435" w:rsidP="009F1944">
            <w:pPr>
              <w:pStyle w:val="Figure"/>
            </w:pPr>
          </w:p>
        </w:tc>
      </w:tr>
      <w:tr w:rsidR="002D0435" w:rsidRPr="00176D3F" w14:paraId="6293CB95" w14:textId="77777777" w:rsidTr="009F1944">
        <w:tc>
          <w:tcPr>
            <w:tcW w:w="5000" w:type="pct"/>
            <w:tcBorders>
              <w:top w:val="nil"/>
              <w:left w:val="nil"/>
              <w:bottom w:val="nil"/>
              <w:right w:val="nil"/>
            </w:tcBorders>
            <w:shd w:val="clear" w:color="auto" w:fill="auto"/>
          </w:tcPr>
          <w:p w14:paraId="5378F675" w14:textId="1F77DD3D" w:rsidR="002D0435" w:rsidRPr="00176D3F" w:rsidRDefault="002D0435" w:rsidP="0043624A">
            <w:pPr>
              <w:pStyle w:val="Source"/>
            </w:pPr>
            <w:r>
              <w:rPr>
                <w:i/>
              </w:rPr>
              <w:t>S</w:t>
            </w:r>
            <w:r w:rsidRPr="00784A05">
              <w:rPr>
                <w:i/>
              </w:rPr>
              <w:t>ource</w:t>
            </w:r>
            <w:r w:rsidRPr="00176D3F">
              <w:t xml:space="preserve">: </w:t>
            </w:r>
            <w:r>
              <w:t xml:space="preserve">ABS </w:t>
            </w:r>
            <w:r w:rsidR="00C11445">
              <w:t>(</w:t>
            </w:r>
            <w:r>
              <w:t xml:space="preserve">2018, </w:t>
            </w:r>
            <w:r w:rsidRPr="00C11445">
              <w:rPr>
                <w:i/>
              </w:rPr>
              <w:t>Australian Sy</w:t>
            </w:r>
            <w:r w:rsidR="00C11445">
              <w:rPr>
                <w:i/>
              </w:rPr>
              <w:t>stem of National Accounts</w:t>
            </w:r>
            <w:r w:rsidR="00C11445" w:rsidRPr="00E9797A">
              <w:t>, 2017</w:t>
            </w:r>
            <w:r w:rsidR="00C11445" w:rsidRPr="00E9797A">
              <w:noBreakHyphen/>
            </w:r>
            <w:r w:rsidRPr="00E9797A">
              <w:t>18</w:t>
            </w:r>
            <w:r w:rsidRPr="002D0435">
              <w:t>, Cat.</w:t>
            </w:r>
            <w:r w:rsidR="0043624A">
              <w:t> </w:t>
            </w:r>
            <w:r w:rsidRPr="002D0435">
              <w:t>no.</w:t>
            </w:r>
            <w:r w:rsidR="0043624A">
              <w:t> </w:t>
            </w:r>
            <w:r w:rsidRPr="002D0435">
              <w:t>5204.0</w:t>
            </w:r>
            <w:r>
              <w:t>, table</w:t>
            </w:r>
            <w:r w:rsidR="00D33627">
              <w:t> </w:t>
            </w:r>
            <w:r>
              <w:t>15</w:t>
            </w:r>
            <w:r w:rsidR="002C143A">
              <w:t xml:space="preserve"> for mining and table</w:t>
            </w:r>
            <w:r w:rsidR="00D33627">
              <w:t> </w:t>
            </w:r>
            <w:r w:rsidR="002C143A">
              <w:t>1 for GDP per hour</w:t>
            </w:r>
            <w:r w:rsidR="00C11445">
              <w:t>)</w:t>
            </w:r>
            <w:r>
              <w:t>.</w:t>
            </w:r>
          </w:p>
        </w:tc>
      </w:tr>
      <w:tr w:rsidR="002D0435" w14:paraId="27C19592" w14:textId="77777777" w:rsidTr="009F1944">
        <w:tc>
          <w:tcPr>
            <w:tcW w:w="5000" w:type="pct"/>
            <w:tcBorders>
              <w:top w:val="nil"/>
              <w:left w:val="nil"/>
              <w:bottom w:val="single" w:sz="6" w:space="0" w:color="78A22F"/>
              <w:right w:val="nil"/>
            </w:tcBorders>
            <w:shd w:val="clear" w:color="auto" w:fill="auto"/>
          </w:tcPr>
          <w:p w14:paraId="5AF5EE3E" w14:textId="77777777" w:rsidR="002D0435" w:rsidRDefault="002D0435" w:rsidP="009F1944">
            <w:pPr>
              <w:pStyle w:val="Figurespace"/>
            </w:pPr>
          </w:p>
        </w:tc>
      </w:tr>
    </w:tbl>
    <w:p w14:paraId="4893BBBC" w14:textId="77777777" w:rsidR="001143B2" w:rsidRDefault="001143B2" w:rsidP="001143B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143B2" w14:paraId="0468E803" w14:textId="77777777" w:rsidTr="001143B2">
        <w:trPr>
          <w:tblHeader/>
        </w:trPr>
        <w:tc>
          <w:tcPr>
            <w:tcW w:w="5000" w:type="pct"/>
            <w:tcBorders>
              <w:top w:val="single" w:sz="6" w:space="0" w:color="78A22F"/>
              <w:left w:val="nil"/>
              <w:bottom w:val="nil"/>
              <w:right w:val="nil"/>
            </w:tcBorders>
            <w:shd w:val="clear" w:color="auto" w:fill="auto"/>
          </w:tcPr>
          <w:p w14:paraId="6695EFE4" w14:textId="77777777" w:rsidR="001143B2" w:rsidRDefault="001143B2" w:rsidP="001143B2">
            <w:pPr>
              <w:pStyle w:val="FigureTitle"/>
            </w:pPr>
            <w:r w:rsidRPr="00784A05">
              <w:rPr>
                <w:b w:val="0"/>
              </w:rPr>
              <w:t xml:space="preserve">Figure </w:t>
            </w:r>
            <w:r w:rsidR="00C047F7">
              <w:rPr>
                <w:b w:val="0"/>
              </w:rPr>
              <w:t>2.</w:t>
            </w:r>
            <w:r w:rsidR="00133131">
              <w:rPr>
                <w:b w:val="0"/>
              </w:rPr>
              <w:t>3</w:t>
            </w:r>
            <w:r>
              <w:tab/>
              <w:t>Investment as a share of GDP</w:t>
            </w:r>
            <w:r w:rsidR="00A332E4">
              <w:t xml:space="preserve"> by </w:t>
            </w:r>
            <w:r w:rsidR="00D678BD">
              <w:t>investment type</w:t>
            </w:r>
            <w:r>
              <w:t>, 1959</w:t>
            </w:r>
            <w:r>
              <w:noBreakHyphen/>
              <w:t>60 to 2017</w:t>
            </w:r>
            <w:r>
              <w:noBreakHyphen/>
              <w:t>18</w:t>
            </w:r>
          </w:p>
          <w:p w14:paraId="2120DA71" w14:textId="0CFD230A" w:rsidR="001143B2" w:rsidRPr="00176D3F" w:rsidRDefault="001143B2" w:rsidP="0043624A">
            <w:pPr>
              <w:pStyle w:val="Subtitle"/>
            </w:pPr>
            <w:r>
              <w:t>Per</w:t>
            </w:r>
            <w:r w:rsidR="0043624A">
              <w:t> </w:t>
            </w:r>
            <w:r>
              <w:t>cent</w:t>
            </w:r>
          </w:p>
        </w:tc>
      </w:tr>
      <w:tr w:rsidR="001143B2" w14:paraId="1F26DDDB" w14:textId="77777777" w:rsidTr="001143B2">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1143B2" w:rsidRPr="00B1465D" w14:paraId="6447A171" w14:textId="77777777" w:rsidTr="001143B2">
              <w:trPr>
                <w:tblHeader/>
                <w:jc w:val="center"/>
              </w:trPr>
              <w:tc>
                <w:tcPr>
                  <w:tcW w:w="5000" w:type="pct"/>
                  <w:tcBorders>
                    <w:top w:val="nil"/>
                    <w:bottom w:val="nil"/>
                  </w:tcBorders>
                </w:tcPr>
                <w:p w14:paraId="47996F17" w14:textId="77777777" w:rsidR="001143B2" w:rsidRPr="00B1465D" w:rsidRDefault="004F2589" w:rsidP="001143B2">
                  <w:pPr>
                    <w:pStyle w:val="Figure"/>
                    <w:spacing w:before="60" w:after="60"/>
                    <w:rPr>
                      <w:rFonts w:ascii="Arial" w:hAnsi="Arial" w:cs="Arial"/>
                      <w:sz w:val="18"/>
                      <w:szCs w:val="18"/>
                    </w:rPr>
                  </w:pPr>
                  <w:r w:rsidRPr="004F2589">
                    <w:rPr>
                      <w:rFonts w:ascii="Arial" w:hAnsi="Arial" w:cs="Arial"/>
                      <w:noProof/>
                      <w:sz w:val="18"/>
                      <w:szCs w:val="18"/>
                    </w:rPr>
                    <w:drawing>
                      <wp:inline distT="0" distB="0" distL="0" distR="0" wp14:anchorId="1B178BA1" wp14:editId="715463AC">
                        <wp:extent cx="5399405" cy="2879090"/>
                        <wp:effectExtent l="0" t="0" r="0" b="0"/>
                        <wp:docPr id="35" name="Picture 35" descr="This shows the relative importance of different types of investment over time. The data show that public investment spending shares have experienced a long run decline, but did not fall by much during the resources boom. In contrast, private dwelling investment spending shares have no time trend, but did fall temporarily during the resources boom. Other private investment shares have had large swings over the longer term, though the general trend is downward. The other private investment share fell significantly during the resources boom." title="Figure 2.3 Investment as a share of GDP by investment type, 1959-60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99405" cy="2879090"/>
                                </a:xfrm>
                                <a:prstGeom prst="rect">
                                  <a:avLst/>
                                </a:prstGeom>
                                <a:noFill/>
                                <a:ln>
                                  <a:noFill/>
                                </a:ln>
                              </pic:spPr>
                            </pic:pic>
                          </a:graphicData>
                        </a:graphic>
                      </wp:inline>
                    </w:drawing>
                  </w:r>
                </w:p>
              </w:tc>
            </w:tr>
          </w:tbl>
          <w:p w14:paraId="2B094EF5" w14:textId="77777777" w:rsidR="001143B2" w:rsidRDefault="001143B2" w:rsidP="001143B2">
            <w:pPr>
              <w:pStyle w:val="Figure"/>
            </w:pPr>
          </w:p>
        </w:tc>
      </w:tr>
      <w:tr w:rsidR="001143B2" w:rsidRPr="00176D3F" w14:paraId="45F3A197" w14:textId="77777777" w:rsidTr="001143B2">
        <w:tc>
          <w:tcPr>
            <w:tcW w:w="5000" w:type="pct"/>
            <w:tcBorders>
              <w:top w:val="nil"/>
              <w:left w:val="nil"/>
              <w:bottom w:val="nil"/>
              <w:right w:val="nil"/>
            </w:tcBorders>
            <w:shd w:val="clear" w:color="auto" w:fill="auto"/>
          </w:tcPr>
          <w:p w14:paraId="3119CDA9" w14:textId="552EAD29" w:rsidR="001143B2" w:rsidRPr="00176D3F" w:rsidRDefault="001143B2" w:rsidP="0043624A">
            <w:pPr>
              <w:pStyle w:val="Source"/>
            </w:pPr>
            <w:r>
              <w:rPr>
                <w:i/>
              </w:rPr>
              <w:t>S</w:t>
            </w:r>
            <w:r w:rsidRPr="00784A05">
              <w:rPr>
                <w:i/>
              </w:rPr>
              <w:t>ource</w:t>
            </w:r>
            <w:r w:rsidRPr="00176D3F">
              <w:t xml:space="preserve">: </w:t>
            </w:r>
            <w:r w:rsidRPr="00B730A7">
              <w:t xml:space="preserve">ABS </w:t>
            </w:r>
            <w:r w:rsidR="00BE0FBF">
              <w:t>(</w:t>
            </w:r>
            <w:r>
              <w:t xml:space="preserve">2018, </w:t>
            </w:r>
            <w:r w:rsidRPr="00B730A7">
              <w:rPr>
                <w:i/>
              </w:rPr>
              <w:t>Australian System of National Accounts</w:t>
            </w:r>
            <w:r w:rsidRPr="00B730A7">
              <w:t xml:space="preserve">, </w:t>
            </w:r>
            <w:r w:rsidRPr="00E9797A">
              <w:t>2017</w:t>
            </w:r>
            <w:r w:rsidRPr="00E9797A">
              <w:noBreakHyphen/>
              <w:t>18,</w:t>
            </w:r>
            <w:r>
              <w:t xml:space="preserve"> Cat. </w:t>
            </w:r>
            <w:r w:rsidRPr="00B730A7">
              <w:t>no.</w:t>
            </w:r>
            <w:r w:rsidR="0043624A">
              <w:t> </w:t>
            </w:r>
            <w:r w:rsidRPr="00B730A7">
              <w:t>5204.0</w:t>
            </w:r>
            <w:r>
              <w:t>, tables </w:t>
            </w:r>
            <w:r w:rsidR="00765C22">
              <w:t xml:space="preserve">1, </w:t>
            </w:r>
            <w:r>
              <w:t>5</w:t>
            </w:r>
            <w:r w:rsidR="001353E1">
              <w:t>1</w:t>
            </w:r>
            <w:r>
              <w:t xml:space="preserve"> and 5</w:t>
            </w:r>
            <w:r w:rsidR="001353E1">
              <w:t>2</w:t>
            </w:r>
            <w:r w:rsidR="00BE0FBF">
              <w:t>)</w:t>
            </w:r>
            <w:r>
              <w:t>.</w:t>
            </w:r>
          </w:p>
        </w:tc>
      </w:tr>
      <w:tr w:rsidR="001143B2" w14:paraId="2192B8C4" w14:textId="77777777" w:rsidTr="001143B2">
        <w:tc>
          <w:tcPr>
            <w:tcW w:w="5000" w:type="pct"/>
            <w:tcBorders>
              <w:top w:val="nil"/>
              <w:left w:val="nil"/>
              <w:bottom w:val="single" w:sz="6" w:space="0" w:color="78A22F"/>
              <w:right w:val="nil"/>
            </w:tcBorders>
            <w:shd w:val="clear" w:color="auto" w:fill="auto"/>
          </w:tcPr>
          <w:p w14:paraId="2E8AE57D" w14:textId="77777777" w:rsidR="001143B2" w:rsidRDefault="001143B2" w:rsidP="001143B2">
            <w:pPr>
              <w:pStyle w:val="Figurespace"/>
            </w:pPr>
          </w:p>
        </w:tc>
      </w:tr>
      <w:tr w:rsidR="001143B2" w:rsidRPr="000863A5" w14:paraId="2EAD00CE" w14:textId="77777777" w:rsidTr="001143B2">
        <w:tc>
          <w:tcPr>
            <w:tcW w:w="5000" w:type="pct"/>
            <w:tcBorders>
              <w:top w:val="single" w:sz="6" w:space="0" w:color="78A22F"/>
              <w:left w:val="nil"/>
              <w:bottom w:val="nil"/>
              <w:right w:val="nil"/>
            </w:tcBorders>
          </w:tcPr>
          <w:p w14:paraId="14C6EE34" w14:textId="77777777" w:rsidR="001143B2" w:rsidRPr="00626D32" w:rsidRDefault="001143B2" w:rsidP="001143B2">
            <w:pPr>
              <w:pStyle w:val="BoxSpaceBelow"/>
            </w:pPr>
          </w:p>
        </w:tc>
      </w:tr>
    </w:tbl>
    <w:p w14:paraId="3E04B65A" w14:textId="77777777" w:rsidR="00A332E4" w:rsidRDefault="00A332E4" w:rsidP="0022030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32E4" w14:paraId="28E548B2" w14:textId="77777777" w:rsidTr="00220305">
        <w:trPr>
          <w:tblHeader/>
        </w:trPr>
        <w:tc>
          <w:tcPr>
            <w:tcW w:w="5000" w:type="pct"/>
            <w:tcBorders>
              <w:top w:val="single" w:sz="6" w:space="0" w:color="78A22F"/>
              <w:left w:val="nil"/>
              <w:bottom w:val="nil"/>
              <w:right w:val="nil"/>
            </w:tcBorders>
            <w:shd w:val="clear" w:color="auto" w:fill="auto"/>
          </w:tcPr>
          <w:p w14:paraId="55D47A87" w14:textId="6BB938CF" w:rsidR="00A332E4" w:rsidRPr="00750AAB" w:rsidRDefault="00A332E4" w:rsidP="00220305">
            <w:pPr>
              <w:pStyle w:val="FigureTitle"/>
              <w:rPr>
                <w:rFonts w:ascii="Arial Bold" w:hAnsi="Arial Bold"/>
                <w:spacing w:val="-6"/>
              </w:rPr>
            </w:pPr>
            <w:r w:rsidRPr="00784A05">
              <w:rPr>
                <w:b w:val="0"/>
              </w:rPr>
              <w:t>Figure</w:t>
            </w:r>
            <w:r>
              <w:rPr>
                <w:b w:val="0"/>
              </w:rPr>
              <w:t> 2.</w:t>
            </w:r>
            <w:r w:rsidR="00133131">
              <w:rPr>
                <w:b w:val="0"/>
              </w:rPr>
              <w:t>4</w:t>
            </w:r>
            <w:r>
              <w:tab/>
            </w:r>
            <w:r w:rsidR="00D678BD" w:rsidRPr="00750AAB">
              <w:rPr>
                <w:rFonts w:ascii="Arial Bold" w:hAnsi="Arial Bold"/>
                <w:spacing w:val="-6"/>
              </w:rPr>
              <w:t>Overall investment to GDP has trended down, 1959</w:t>
            </w:r>
            <w:r w:rsidR="00D678BD" w:rsidRPr="00750AAB">
              <w:rPr>
                <w:rFonts w:ascii="Arial Bold" w:hAnsi="Arial Bold"/>
                <w:spacing w:val="-6"/>
              </w:rPr>
              <w:noBreakHyphen/>
              <w:t>60 to 2017</w:t>
            </w:r>
            <w:r w:rsidR="00D678BD" w:rsidRPr="00750AAB">
              <w:rPr>
                <w:rFonts w:ascii="Arial Bold" w:hAnsi="Arial Bold"/>
                <w:spacing w:val="-6"/>
              </w:rPr>
              <w:noBreakHyphen/>
              <w:t>18</w:t>
            </w:r>
          </w:p>
          <w:p w14:paraId="536D7318" w14:textId="77777777" w:rsidR="00A332E4" w:rsidRPr="00176D3F" w:rsidRDefault="00D678BD" w:rsidP="00220305">
            <w:pPr>
              <w:pStyle w:val="Subtitle"/>
            </w:pPr>
            <w:r>
              <w:t>Per cent</w:t>
            </w:r>
          </w:p>
        </w:tc>
      </w:tr>
      <w:tr w:rsidR="00A332E4" w14:paraId="59EDA5ED" w14:textId="77777777" w:rsidTr="0022030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32E4" w:rsidRPr="00B1465D" w14:paraId="6D8DDF10" w14:textId="77777777" w:rsidTr="00220305">
              <w:trPr>
                <w:tblHeader/>
                <w:jc w:val="center"/>
              </w:trPr>
              <w:tc>
                <w:tcPr>
                  <w:tcW w:w="5000" w:type="pct"/>
                  <w:tcBorders>
                    <w:top w:val="nil"/>
                    <w:bottom w:val="nil"/>
                  </w:tcBorders>
                </w:tcPr>
                <w:p w14:paraId="7F229A7E" w14:textId="77777777" w:rsidR="00A332E4" w:rsidRPr="00B1465D" w:rsidRDefault="00D678BD" w:rsidP="00220305">
                  <w:pPr>
                    <w:pStyle w:val="Figure"/>
                    <w:spacing w:before="60" w:after="60"/>
                    <w:rPr>
                      <w:rFonts w:ascii="Arial" w:hAnsi="Arial" w:cs="Arial"/>
                      <w:sz w:val="18"/>
                      <w:szCs w:val="18"/>
                    </w:rPr>
                  </w:pPr>
                  <w:r w:rsidRPr="00D678BD">
                    <w:rPr>
                      <w:rFonts w:ascii="Arial" w:hAnsi="Arial" w:cs="Arial"/>
                      <w:noProof/>
                      <w:sz w:val="18"/>
                      <w:szCs w:val="18"/>
                    </w:rPr>
                    <w:drawing>
                      <wp:inline distT="0" distB="0" distL="0" distR="0" wp14:anchorId="4D80A290" wp14:editId="5AE94980">
                        <wp:extent cx="5397500" cy="2876550"/>
                        <wp:effectExtent l="0" t="0" r="0" b="0"/>
                        <wp:docPr id="12" name="Picture 12" descr="The investment share of GDP has trended down, but was well above trend during the resources boom, before returning to its trend value in 2017-18." title="Figure 2.4 Overall investment to GDP has trended down, 1959-60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7500" cy="2876550"/>
                                </a:xfrm>
                                <a:prstGeom prst="rect">
                                  <a:avLst/>
                                </a:prstGeom>
                                <a:noFill/>
                                <a:ln>
                                  <a:noFill/>
                                </a:ln>
                              </pic:spPr>
                            </pic:pic>
                          </a:graphicData>
                        </a:graphic>
                      </wp:inline>
                    </w:drawing>
                  </w:r>
                </w:p>
              </w:tc>
            </w:tr>
          </w:tbl>
          <w:p w14:paraId="76B35C6D" w14:textId="77777777" w:rsidR="00A332E4" w:rsidRDefault="00A332E4" w:rsidP="00220305">
            <w:pPr>
              <w:pStyle w:val="Figure"/>
            </w:pPr>
          </w:p>
        </w:tc>
      </w:tr>
      <w:tr w:rsidR="00A332E4" w:rsidRPr="00176D3F" w14:paraId="543A1060" w14:textId="77777777" w:rsidTr="00220305">
        <w:tc>
          <w:tcPr>
            <w:tcW w:w="5000" w:type="pct"/>
            <w:tcBorders>
              <w:top w:val="nil"/>
              <w:left w:val="nil"/>
              <w:bottom w:val="nil"/>
              <w:right w:val="nil"/>
            </w:tcBorders>
            <w:shd w:val="clear" w:color="auto" w:fill="auto"/>
          </w:tcPr>
          <w:p w14:paraId="0D035755" w14:textId="37B17930" w:rsidR="00A332E4" w:rsidRPr="00176D3F" w:rsidRDefault="00D678BD" w:rsidP="0043624A">
            <w:pPr>
              <w:pStyle w:val="Source"/>
            </w:pPr>
            <w:r>
              <w:rPr>
                <w:i/>
              </w:rPr>
              <w:t>S</w:t>
            </w:r>
            <w:r w:rsidRPr="00784A05">
              <w:rPr>
                <w:i/>
              </w:rPr>
              <w:t>ource</w:t>
            </w:r>
            <w:r w:rsidRPr="00176D3F">
              <w:t xml:space="preserve">: </w:t>
            </w:r>
            <w:r w:rsidRPr="00B730A7">
              <w:t xml:space="preserve">ABS </w:t>
            </w:r>
            <w:r>
              <w:t xml:space="preserve">(2018, </w:t>
            </w:r>
            <w:r w:rsidRPr="00B730A7">
              <w:rPr>
                <w:i/>
              </w:rPr>
              <w:t>Australian System of National Accounts</w:t>
            </w:r>
            <w:r w:rsidRPr="00B730A7">
              <w:t xml:space="preserve">, </w:t>
            </w:r>
            <w:r w:rsidRPr="00E9797A">
              <w:t>2017</w:t>
            </w:r>
            <w:r w:rsidRPr="00E9797A">
              <w:noBreakHyphen/>
              <w:t>18,</w:t>
            </w:r>
            <w:r>
              <w:t xml:space="preserve"> Cat. </w:t>
            </w:r>
            <w:r w:rsidRPr="00B730A7">
              <w:t>no.</w:t>
            </w:r>
            <w:r w:rsidR="0043624A">
              <w:t> </w:t>
            </w:r>
            <w:r w:rsidRPr="00B730A7">
              <w:t>5204.0</w:t>
            </w:r>
            <w:r>
              <w:t>, tables </w:t>
            </w:r>
            <w:r w:rsidR="00765C22">
              <w:t>1</w:t>
            </w:r>
            <w:r w:rsidR="001353E1">
              <w:t xml:space="preserve"> and</w:t>
            </w:r>
            <w:r w:rsidR="00765C22">
              <w:t xml:space="preserve"> </w:t>
            </w:r>
            <w:r w:rsidR="001353E1">
              <w:t>51</w:t>
            </w:r>
            <w:r>
              <w:t>).</w:t>
            </w:r>
          </w:p>
        </w:tc>
      </w:tr>
      <w:tr w:rsidR="00A332E4" w14:paraId="6E1C5CFF" w14:textId="77777777" w:rsidTr="00220305">
        <w:tc>
          <w:tcPr>
            <w:tcW w:w="5000" w:type="pct"/>
            <w:tcBorders>
              <w:top w:val="nil"/>
              <w:left w:val="nil"/>
              <w:bottom w:val="single" w:sz="6" w:space="0" w:color="78A22F"/>
              <w:right w:val="nil"/>
            </w:tcBorders>
            <w:shd w:val="clear" w:color="auto" w:fill="auto"/>
          </w:tcPr>
          <w:p w14:paraId="52930B11" w14:textId="77777777" w:rsidR="00A332E4" w:rsidRDefault="00A332E4" w:rsidP="00220305">
            <w:pPr>
              <w:pStyle w:val="Figurespace"/>
            </w:pPr>
          </w:p>
        </w:tc>
      </w:tr>
      <w:tr w:rsidR="00A332E4" w:rsidRPr="000863A5" w14:paraId="1B418ECA" w14:textId="77777777" w:rsidTr="00220305">
        <w:tc>
          <w:tcPr>
            <w:tcW w:w="5000" w:type="pct"/>
            <w:tcBorders>
              <w:top w:val="single" w:sz="6" w:space="0" w:color="78A22F"/>
              <w:left w:val="nil"/>
              <w:bottom w:val="nil"/>
              <w:right w:val="nil"/>
            </w:tcBorders>
          </w:tcPr>
          <w:p w14:paraId="512889F6" w14:textId="77777777" w:rsidR="00A332E4" w:rsidRPr="00626D32" w:rsidRDefault="00A332E4" w:rsidP="00220305">
            <w:pPr>
              <w:pStyle w:val="BoxSpaceBelow"/>
            </w:pPr>
          </w:p>
        </w:tc>
      </w:tr>
    </w:tbl>
    <w:p w14:paraId="3D0FAEDA" w14:textId="77777777" w:rsidR="00DB60E1" w:rsidRPr="00A352B7" w:rsidRDefault="003F6C33" w:rsidP="00D52694">
      <w:pPr>
        <w:pStyle w:val="Heading2"/>
        <w:spacing w:before="480"/>
        <w:rPr>
          <w:b w:val="0"/>
          <w:sz w:val="24"/>
          <w:szCs w:val="24"/>
        </w:rPr>
      </w:pPr>
      <w:r w:rsidRPr="00A352B7">
        <w:rPr>
          <w:b w:val="0"/>
          <w:sz w:val="24"/>
          <w:szCs w:val="24"/>
        </w:rPr>
        <w:t>T</w:t>
      </w:r>
      <w:r w:rsidR="00DB60E1" w:rsidRPr="00A352B7">
        <w:rPr>
          <w:b w:val="0"/>
          <w:sz w:val="24"/>
          <w:szCs w:val="24"/>
        </w:rPr>
        <w:t xml:space="preserve">he contribution from capital deepening </w:t>
      </w:r>
      <w:r w:rsidRPr="00A352B7">
        <w:rPr>
          <w:b w:val="0"/>
          <w:sz w:val="24"/>
          <w:szCs w:val="24"/>
        </w:rPr>
        <w:t xml:space="preserve">to output </w:t>
      </w:r>
      <w:r w:rsidR="00DB60E1" w:rsidRPr="00A352B7">
        <w:rPr>
          <w:b w:val="0"/>
          <w:sz w:val="24"/>
          <w:szCs w:val="24"/>
        </w:rPr>
        <w:t>has weakened appreciably</w:t>
      </w:r>
    </w:p>
    <w:p w14:paraId="1DB3C860" w14:textId="31F4B73E" w:rsidR="00E76BD2" w:rsidRDefault="00DB60E1" w:rsidP="00DB60E1">
      <w:pPr>
        <w:pStyle w:val="BodyText"/>
      </w:pPr>
      <w:r>
        <w:t>The annual growth in capital services has fallen markedly since the peak of the mining boom in 2011</w:t>
      </w:r>
      <w:r>
        <w:noBreakHyphen/>
        <w:t>12</w:t>
      </w:r>
      <w:r w:rsidR="000510C7">
        <w:t xml:space="preserve"> </w:t>
      </w:r>
      <w:r>
        <w:t>(figure </w:t>
      </w:r>
      <w:r w:rsidR="00C047F7">
        <w:t>2.</w:t>
      </w:r>
      <w:r w:rsidR="00133131">
        <w:t xml:space="preserve">5 </w:t>
      </w:r>
      <w:r w:rsidR="00E76BD2">
        <w:t>and table </w:t>
      </w:r>
      <w:r w:rsidR="00C047F7">
        <w:t>2.1</w:t>
      </w:r>
      <w:r>
        <w:t>). The annual rate of growth in capital services fluctuates between years, but averaged just over 4 per</w:t>
      </w:r>
      <w:r w:rsidR="0043624A">
        <w:t> </w:t>
      </w:r>
      <w:r>
        <w:t xml:space="preserve">cent </w:t>
      </w:r>
      <w:r w:rsidRPr="006D52FC">
        <w:rPr>
          <w:i/>
        </w:rPr>
        <w:t>before</w:t>
      </w:r>
      <w:r>
        <w:t xml:space="preserve"> the b</w:t>
      </w:r>
      <w:r w:rsidR="004172E1">
        <w:t>oom. It is now just under 2 per </w:t>
      </w:r>
      <w:r>
        <w:t>cent per year</w:t>
      </w:r>
      <w:r w:rsidR="00F83562">
        <w:t>. This highlights that</w:t>
      </w:r>
      <w:r w:rsidR="00CD6DC3">
        <w:t>,</w:t>
      </w:r>
      <w:r w:rsidR="00F83562">
        <w:t xml:space="preserve"> while there is a coincidence between the end of the mining boom and weak investment, it is unlikely to be the direct cause</w:t>
      </w:r>
      <w:r w:rsidR="000510C7">
        <w:t xml:space="preserve"> since otherwise a return to the long</w:t>
      </w:r>
      <w:r w:rsidR="000510C7">
        <w:noBreakHyphen/>
        <w:t>run growth in capital services could have been expected</w:t>
      </w:r>
      <w:r w:rsidR="00F83562">
        <w:t xml:space="preserve">. </w:t>
      </w:r>
    </w:p>
    <w:p w14:paraId="151AC2ED" w14:textId="06DA96D1" w:rsidR="008B469E" w:rsidRDefault="00E76BD2" w:rsidP="00DB60E1">
      <w:pPr>
        <w:pStyle w:val="BodyText"/>
      </w:pPr>
      <w:r>
        <w:t xml:space="preserve">Part of the story is that capital services is </w:t>
      </w:r>
      <w:r w:rsidR="00E75526">
        <w:t>proportional</w:t>
      </w:r>
      <w:r>
        <w:t xml:space="preserve"> to the productive </w:t>
      </w:r>
      <w:r w:rsidR="00E75526">
        <w:t>capital</w:t>
      </w:r>
      <w:r>
        <w:t xml:space="preserve"> stock, with that proportion being determined by the degree to which the stock depreciates. There</w:t>
      </w:r>
      <w:r w:rsidR="00E75526">
        <w:t xml:space="preserve"> has been a marked increase in the significance of non</w:t>
      </w:r>
      <w:r w:rsidR="00E75526">
        <w:noBreakHyphen/>
        <w:t xml:space="preserve">dwelling </w:t>
      </w:r>
      <w:r w:rsidR="00602142">
        <w:t xml:space="preserve">and dwelling </w:t>
      </w:r>
      <w:r w:rsidR="00A20063">
        <w:t>construction</w:t>
      </w:r>
      <w:r w:rsidR="00E75526">
        <w:t xml:space="preserve"> in the </w:t>
      </w:r>
      <w:r w:rsidR="00E0146B">
        <w:t>economy-wide</w:t>
      </w:r>
      <w:r w:rsidR="00E75526">
        <w:t xml:space="preserve"> capital stock. As </w:t>
      </w:r>
      <w:r w:rsidR="00037DB6">
        <w:t>these</w:t>
      </w:r>
      <w:r w:rsidR="00E75526">
        <w:t xml:space="preserve"> assets are very long</w:t>
      </w:r>
      <w:r w:rsidR="00E75526">
        <w:noBreakHyphen/>
        <w:t>lived, their depreciation is, by definition, relatively low, which affects the overall level of capital services.</w:t>
      </w:r>
    </w:p>
    <w:p w14:paraId="3EB4AC7B" w14:textId="77777777" w:rsidR="00EC4098" w:rsidRPr="00D52694" w:rsidRDefault="00E51B43" w:rsidP="00DB60E1">
      <w:pPr>
        <w:pStyle w:val="BodyText"/>
        <w:rPr>
          <w:spacing w:val="-2"/>
        </w:rPr>
      </w:pPr>
      <w:r w:rsidRPr="00D52694">
        <w:rPr>
          <w:spacing w:val="-2"/>
        </w:rPr>
        <w:t>From a longer</w:t>
      </w:r>
      <w:r w:rsidRPr="00D52694">
        <w:rPr>
          <w:spacing w:val="-2"/>
        </w:rPr>
        <w:noBreakHyphen/>
        <w:t xml:space="preserve">term perspective, future capital services </w:t>
      </w:r>
      <w:r w:rsidR="00AF1904" w:rsidRPr="00D52694">
        <w:rPr>
          <w:spacing w:val="-2"/>
        </w:rPr>
        <w:t xml:space="preserve">and capital deepening </w:t>
      </w:r>
      <w:r w:rsidRPr="00D52694">
        <w:rPr>
          <w:spacing w:val="-2"/>
        </w:rPr>
        <w:t>rely on augmentation of the capital stock through investment</w:t>
      </w:r>
      <w:r w:rsidR="00EC4098" w:rsidRPr="00D52694">
        <w:rPr>
          <w:spacing w:val="-2"/>
        </w:rPr>
        <w:t>. However, compared with the long</w:t>
      </w:r>
      <w:r w:rsidR="00EC4098" w:rsidRPr="00D52694">
        <w:rPr>
          <w:spacing w:val="-2"/>
        </w:rPr>
        <w:noBreakHyphen/>
        <w:t>run pattern of capital accumulation,</w:t>
      </w:r>
      <w:r w:rsidR="00AF1904" w:rsidRPr="00D52694">
        <w:rPr>
          <w:spacing w:val="-2"/>
        </w:rPr>
        <w:t xml:space="preserve"> </w:t>
      </w:r>
      <w:r w:rsidR="00A778F3" w:rsidRPr="00D52694">
        <w:rPr>
          <w:spacing w:val="-2"/>
        </w:rPr>
        <w:t xml:space="preserve">stagnation is </w:t>
      </w:r>
      <w:r w:rsidR="00A20063" w:rsidRPr="00D52694">
        <w:rPr>
          <w:spacing w:val="-2"/>
        </w:rPr>
        <w:t xml:space="preserve">now </w:t>
      </w:r>
      <w:r w:rsidR="00A778F3" w:rsidRPr="00D52694">
        <w:rPr>
          <w:spacing w:val="-2"/>
        </w:rPr>
        <w:t xml:space="preserve">prominent among </w:t>
      </w:r>
      <w:r w:rsidR="00AF1904" w:rsidRPr="00D52694">
        <w:rPr>
          <w:spacing w:val="-2"/>
        </w:rPr>
        <w:t>many industries (figure </w:t>
      </w:r>
      <w:r w:rsidR="00C047F7" w:rsidRPr="00D52694">
        <w:rPr>
          <w:spacing w:val="-2"/>
        </w:rPr>
        <w:t>2.</w:t>
      </w:r>
      <w:r w:rsidR="00B2626E" w:rsidRPr="00D52694">
        <w:rPr>
          <w:spacing w:val="-2"/>
        </w:rPr>
        <w:t>6</w:t>
      </w:r>
      <w:r w:rsidR="00AF1904" w:rsidRPr="00D52694">
        <w:rPr>
          <w:spacing w:val="-2"/>
        </w:rPr>
        <w:t xml:space="preserve">). </w:t>
      </w:r>
      <w:r w:rsidR="0006701E" w:rsidRPr="00D52694">
        <w:rPr>
          <w:spacing w:val="-2"/>
        </w:rPr>
        <w:t xml:space="preserve">There is no </w:t>
      </w:r>
      <w:r w:rsidR="00D94C80" w:rsidRPr="00D52694">
        <w:rPr>
          <w:spacing w:val="-2"/>
        </w:rPr>
        <w:t xml:space="preserve">simple narrative </w:t>
      </w:r>
      <w:r w:rsidR="0006701E" w:rsidRPr="00D52694">
        <w:rPr>
          <w:spacing w:val="-2"/>
        </w:rPr>
        <w:t>explain</w:t>
      </w:r>
      <w:r w:rsidR="00D94C80" w:rsidRPr="00D52694">
        <w:rPr>
          <w:spacing w:val="-2"/>
        </w:rPr>
        <w:t>ing</w:t>
      </w:r>
      <w:r w:rsidR="0006701E" w:rsidRPr="00D52694">
        <w:rPr>
          <w:spacing w:val="-2"/>
        </w:rPr>
        <w:t xml:space="preserve"> recent investment trends. </w:t>
      </w:r>
      <w:r w:rsidR="00AF1904" w:rsidRPr="00D52694">
        <w:rPr>
          <w:spacing w:val="-2"/>
        </w:rPr>
        <w:t>While structural shifts in the e</w:t>
      </w:r>
      <w:r w:rsidR="00477E3C" w:rsidRPr="00D52694">
        <w:rPr>
          <w:spacing w:val="-2"/>
        </w:rPr>
        <w:t>conomy away from highly capital</w:t>
      </w:r>
      <w:r w:rsidR="00477E3C" w:rsidRPr="00D52694">
        <w:rPr>
          <w:spacing w:val="-2"/>
        </w:rPr>
        <w:noBreakHyphen/>
      </w:r>
      <w:r w:rsidR="00AF1904" w:rsidRPr="00D52694">
        <w:rPr>
          <w:spacing w:val="-2"/>
        </w:rPr>
        <w:t>intensive sectors like manufacturing towards less intensive service sectors helps to explain the long</w:t>
      </w:r>
      <w:r w:rsidR="00AF1904" w:rsidRPr="00D52694">
        <w:rPr>
          <w:spacing w:val="-2"/>
        </w:rPr>
        <w:noBreakHyphen/>
        <w:t xml:space="preserve">run secular decline in investment to GDP ratios, it does not explain recent stagnation. </w:t>
      </w:r>
    </w:p>
    <w:p w14:paraId="3449AEDF" w14:textId="77777777" w:rsidR="00D678BD" w:rsidRDefault="00D678BD" w:rsidP="00D678B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678BD" w14:paraId="0672379F" w14:textId="77777777" w:rsidTr="00220305">
        <w:trPr>
          <w:tblHeader/>
        </w:trPr>
        <w:tc>
          <w:tcPr>
            <w:tcW w:w="5000" w:type="pct"/>
            <w:tcBorders>
              <w:top w:val="single" w:sz="6" w:space="0" w:color="78A22F"/>
              <w:left w:val="nil"/>
              <w:bottom w:val="nil"/>
              <w:right w:val="nil"/>
            </w:tcBorders>
            <w:shd w:val="clear" w:color="auto" w:fill="auto"/>
          </w:tcPr>
          <w:p w14:paraId="09C65FBB" w14:textId="77777777" w:rsidR="00D678BD" w:rsidRDefault="00D678BD" w:rsidP="00220305">
            <w:pPr>
              <w:pStyle w:val="FigureTitle"/>
            </w:pPr>
            <w:r w:rsidRPr="00784A05">
              <w:rPr>
                <w:b w:val="0"/>
              </w:rPr>
              <w:t xml:space="preserve">Figure </w:t>
            </w:r>
            <w:r>
              <w:rPr>
                <w:b w:val="0"/>
              </w:rPr>
              <w:t>2.</w:t>
            </w:r>
            <w:r w:rsidR="00133131">
              <w:rPr>
                <w:b w:val="0"/>
              </w:rPr>
              <w:t>5</w:t>
            </w:r>
            <w:r>
              <w:tab/>
              <w:t>Growth in capital services index, 1974</w:t>
            </w:r>
            <w:r>
              <w:noBreakHyphen/>
              <w:t>75 to 2017</w:t>
            </w:r>
            <w:r>
              <w:noBreakHyphen/>
              <w:t>18</w:t>
            </w:r>
          </w:p>
          <w:p w14:paraId="1A533DB0" w14:textId="76E7B3EB" w:rsidR="00D678BD" w:rsidRPr="00176D3F" w:rsidRDefault="00D678BD" w:rsidP="00220305">
            <w:pPr>
              <w:pStyle w:val="Subtitle"/>
            </w:pPr>
            <w:r>
              <w:t>Per</w:t>
            </w:r>
            <w:r w:rsidR="0043624A">
              <w:t> </w:t>
            </w:r>
            <w:r>
              <w:t>cent</w:t>
            </w:r>
          </w:p>
        </w:tc>
      </w:tr>
      <w:tr w:rsidR="00D678BD" w14:paraId="63F06F9F" w14:textId="77777777" w:rsidTr="0022030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678BD" w:rsidRPr="00B1465D" w14:paraId="4F9BC519" w14:textId="77777777" w:rsidTr="00220305">
              <w:trPr>
                <w:tblHeader/>
                <w:jc w:val="center"/>
              </w:trPr>
              <w:tc>
                <w:tcPr>
                  <w:tcW w:w="5000" w:type="pct"/>
                  <w:tcBorders>
                    <w:top w:val="nil"/>
                    <w:bottom w:val="nil"/>
                  </w:tcBorders>
                </w:tcPr>
                <w:p w14:paraId="66CC8874" w14:textId="77777777" w:rsidR="00D678BD" w:rsidRPr="00B1465D" w:rsidRDefault="00D678BD" w:rsidP="00220305">
                  <w:pPr>
                    <w:pStyle w:val="Figure"/>
                    <w:spacing w:before="60" w:after="60"/>
                    <w:rPr>
                      <w:rFonts w:ascii="Arial" w:hAnsi="Arial" w:cs="Arial"/>
                      <w:sz w:val="18"/>
                      <w:szCs w:val="18"/>
                    </w:rPr>
                  </w:pPr>
                  <w:r w:rsidRPr="007C4DB9">
                    <w:rPr>
                      <w:rFonts w:ascii="Arial" w:hAnsi="Arial" w:cs="Arial"/>
                      <w:noProof/>
                      <w:sz w:val="18"/>
                      <w:szCs w:val="18"/>
                    </w:rPr>
                    <w:drawing>
                      <wp:inline distT="0" distB="0" distL="0" distR="0" wp14:anchorId="42B58F83" wp14:editId="4A4F7087">
                        <wp:extent cx="5404485" cy="2879725"/>
                        <wp:effectExtent l="0" t="0" r="5715" b="0"/>
                        <wp:docPr id="48" name="Picture 48" descr="The growth patterns in capital services are much the same for the 16 and 12 industry market sectors where the data are available for both. Currently, the growth rate is well below the long term trend in both industry groups. The weakest growth rate in capital services over the period from 1974-75 to 2017-18 was in 2015-16, and did not improve in the following 2 years." title="Figure 2.5 Growth in capital services index, 1974-75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4485" cy="2879725"/>
                                </a:xfrm>
                                <a:prstGeom prst="rect">
                                  <a:avLst/>
                                </a:prstGeom>
                                <a:noFill/>
                                <a:ln>
                                  <a:noFill/>
                                </a:ln>
                              </pic:spPr>
                            </pic:pic>
                          </a:graphicData>
                        </a:graphic>
                      </wp:inline>
                    </w:drawing>
                  </w:r>
                </w:p>
              </w:tc>
            </w:tr>
          </w:tbl>
          <w:p w14:paraId="25E52CB2" w14:textId="77777777" w:rsidR="00D678BD" w:rsidRDefault="00D678BD" w:rsidP="00220305">
            <w:pPr>
              <w:pStyle w:val="Figure"/>
            </w:pPr>
          </w:p>
        </w:tc>
      </w:tr>
      <w:tr w:rsidR="00D678BD" w:rsidRPr="00176D3F" w14:paraId="33F304B7" w14:textId="77777777" w:rsidTr="00220305">
        <w:tc>
          <w:tcPr>
            <w:tcW w:w="5000" w:type="pct"/>
            <w:tcBorders>
              <w:top w:val="nil"/>
              <w:left w:val="nil"/>
              <w:bottom w:val="nil"/>
              <w:right w:val="nil"/>
            </w:tcBorders>
            <w:shd w:val="clear" w:color="auto" w:fill="auto"/>
          </w:tcPr>
          <w:p w14:paraId="19F70121" w14:textId="26A01CC6" w:rsidR="00D678BD" w:rsidRPr="004A3151" w:rsidRDefault="00D678BD" w:rsidP="0043624A">
            <w:pPr>
              <w:pStyle w:val="Source"/>
              <w:rPr>
                <w:spacing w:val="-4"/>
              </w:rPr>
            </w:pPr>
            <w:r w:rsidRPr="004A3151">
              <w:rPr>
                <w:i/>
                <w:spacing w:val="-4"/>
              </w:rPr>
              <w:t>Source</w:t>
            </w:r>
            <w:r w:rsidRPr="004A3151">
              <w:rPr>
                <w:spacing w:val="-4"/>
              </w:rPr>
              <w:t xml:space="preserve">: ABS (2018, </w:t>
            </w:r>
            <w:r w:rsidRPr="004A3151">
              <w:rPr>
                <w:i/>
                <w:spacing w:val="-4"/>
              </w:rPr>
              <w:t>Estimates of Industry Multifactor Productivity</w:t>
            </w:r>
            <w:r w:rsidRPr="00E9797A">
              <w:rPr>
                <w:spacing w:val="-4"/>
              </w:rPr>
              <w:t>, 2017</w:t>
            </w:r>
            <w:r w:rsidRPr="00E9797A">
              <w:rPr>
                <w:spacing w:val="-4"/>
              </w:rPr>
              <w:noBreakHyphen/>
              <w:t>18,</w:t>
            </w:r>
            <w:r w:rsidRPr="004A3151">
              <w:rPr>
                <w:spacing w:val="-4"/>
              </w:rPr>
              <w:t xml:space="preserve"> Cat.</w:t>
            </w:r>
            <w:r w:rsidR="0043624A">
              <w:rPr>
                <w:spacing w:val="-4"/>
              </w:rPr>
              <w:t> </w:t>
            </w:r>
            <w:r w:rsidRPr="004A3151">
              <w:rPr>
                <w:spacing w:val="-4"/>
              </w:rPr>
              <w:t>no.</w:t>
            </w:r>
            <w:r w:rsidR="0043624A">
              <w:rPr>
                <w:spacing w:val="-4"/>
              </w:rPr>
              <w:t> </w:t>
            </w:r>
            <w:r w:rsidRPr="004A3151">
              <w:rPr>
                <w:spacing w:val="-4"/>
              </w:rPr>
              <w:t>5260.0.55.002, table 10).</w:t>
            </w:r>
          </w:p>
        </w:tc>
      </w:tr>
      <w:tr w:rsidR="00D678BD" w14:paraId="1E7CC008" w14:textId="77777777" w:rsidTr="00220305">
        <w:tc>
          <w:tcPr>
            <w:tcW w:w="5000" w:type="pct"/>
            <w:tcBorders>
              <w:top w:val="nil"/>
              <w:left w:val="nil"/>
              <w:bottom w:val="single" w:sz="6" w:space="0" w:color="78A22F"/>
              <w:right w:val="nil"/>
            </w:tcBorders>
            <w:shd w:val="clear" w:color="auto" w:fill="auto"/>
          </w:tcPr>
          <w:p w14:paraId="0D089D07" w14:textId="77777777" w:rsidR="00D678BD" w:rsidRDefault="00D678BD" w:rsidP="00220305">
            <w:pPr>
              <w:pStyle w:val="Figurespace"/>
            </w:pPr>
          </w:p>
        </w:tc>
      </w:tr>
      <w:tr w:rsidR="00D678BD" w:rsidRPr="000863A5" w14:paraId="48F06FEB" w14:textId="77777777" w:rsidTr="00220305">
        <w:tc>
          <w:tcPr>
            <w:tcW w:w="5000" w:type="pct"/>
            <w:tcBorders>
              <w:top w:val="single" w:sz="6" w:space="0" w:color="78A22F"/>
              <w:left w:val="nil"/>
              <w:bottom w:val="nil"/>
              <w:right w:val="nil"/>
            </w:tcBorders>
          </w:tcPr>
          <w:p w14:paraId="32DFA602" w14:textId="77777777" w:rsidR="00D678BD" w:rsidRPr="00626D32" w:rsidRDefault="00D678BD" w:rsidP="00220305">
            <w:pPr>
              <w:pStyle w:val="BoxSpaceBelow"/>
            </w:pPr>
          </w:p>
        </w:tc>
      </w:tr>
    </w:tbl>
    <w:p w14:paraId="4B02785E" w14:textId="77777777" w:rsidR="00D678BD" w:rsidRDefault="00D678BD" w:rsidP="00D678BD">
      <w:pPr>
        <w:pStyle w:val="BodyText"/>
      </w:pPr>
      <w:r>
        <w:t xml:space="preserve">Some indirect links to the mining sector may play a role for industries that must invest in capacity to supply goods and services to the mining industry (as in construction). The terms of trade are also still comparatively high, and as a result so too is Australia’s trade weighted exchange rate, which will reduce the competitiveness of exporting industries like manufacturing </w:t>
      </w:r>
      <w:r w:rsidR="0006506E" w:rsidRPr="0006506E">
        <w:rPr>
          <w:szCs w:val="24"/>
        </w:rPr>
        <w:t>(van der Merwe et al. 2018)</w:t>
      </w:r>
      <w:r>
        <w:t>.</w:t>
      </w:r>
    </w:p>
    <w:p w14:paraId="38D07A80" w14:textId="77777777" w:rsidR="00D678BD" w:rsidRPr="004A3151" w:rsidRDefault="00D678BD" w:rsidP="00D678BD">
      <w:pPr>
        <w:pStyle w:val="BodyText"/>
        <w:rPr>
          <w:spacing w:val="-2"/>
        </w:rPr>
      </w:pPr>
      <w:r w:rsidRPr="004A3151">
        <w:rPr>
          <w:spacing w:val="-2"/>
        </w:rPr>
        <w:t>It is too early to tell whether the recent low rates of capital input growth will continue as a constraint on Australian productivity growth (and possibly future output growth). In the shorter run, there are some, albeit imperfect, indications of more buoyant future private capital investment, with expected investment for 2018</w:t>
      </w:r>
      <w:r w:rsidRPr="004A3151">
        <w:rPr>
          <w:spacing w:val="-2"/>
        </w:rPr>
        <w:noBreakHyphen/>
        <w:t>19 being 3.6 per cent higher than the comparable investment expectation in the previous year, and expected investment in 2019</w:t>
      </w:r>
      <w:r w:rsidRPr="004A3151">
        <w:rPr>
          <w:spacing w:val="-2"/>
        </w:rPr>
        <w:noBreakHyphen/>
        <w:t>20 being 11 per cent higher than the corresponding expected investment for 2018</w:t>
      </w:r>
      <w:r w:rsidRPr="004A3151">
        <w:rPr>
          <w:spacing w:val="-2"/>
        </w:rPr>
        <w:noBreakHyphen/>
        <w:t>19.</w:t>
      </w:r>
      <w:r w:rsidRPr="004A3151">
        <w:rPr>
          <w:rStyle w:val="FootnoteReference"/>
          <w:spacing w:val="-2"/>
        </w:rPr>
        <w:footnoteReference w:id="9"/>
      </w:r>
      <w:r w:rsidRPr="004A3151">
        <w:rPr>
          <w:spacing w:val="-2"/>
        </w:rPr>
        <w:t xml:space="preserve"> These ABS forecasts also suggest a particularly high short</w:t>
      </w:r>
      <w:r w:rsidRPr="004A3151">
        <w:rPr>
          <w:spacing w:val="-2"/>
        </w:rPr>
        <w:noBreakHyphen/>
        <w:t>term recovery in mining expenditure. If this is subsequently followed by output increases, it will likely improve labour productivity (with some delay), as in previous periods of strong investment. As noted above, the decline in the relative importance of capital</w:t>
      </w:r>
      <w:r w:rsidRPr="004A3151">
        <w:rPr>
          <w:spacing w:val="-2"/>
        </w:rPr>
        <w:noBreakHyphen/>
        <w:t>intensive sectors in favour of the service sector implies long</w:t>
      </w:r>
      <w:r w:rsidRPr="004A3151">
        <w:rPr>
          <w:spacing w:val="-2"/>
        </w:rPr>
        <w:noBreakHyphen/>
        <w:t>run weakening of capital deepening, meaning that labour productivity improvements will increasingly need to be driven by innovation and greater efficiency.</w:t>
      </w:r>
    </w:p>
    <w:p w14:paraId="30F85DDD" w14:textId="77777777" w:rsidR="003C746D" w:rsidRDefault="003C746D" w:rsidP="00E51B4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C746D" w14:paraId="7652B0D4" w14:textId="77777777" w:rsidTr="00E51B43">
        <w:trPr>
          <w:tblHeader/>
        </w:trPr>
        <w:tc>
          <w:tcPr>
            <w:tcW w:w="5000" w:type="pct"/>
            <w:tcBorders>
              <w:top w:val="single" w:sz="6" w:space="0" w:color="78A22F"/>
              <w:left w:val="nil"/>
              <w:bottom w:val="nil"/>
              <w:right w:val="nil"/>
            </w:tcBorders>
            <w:shd w:val="clear" w:color="auto" w:fill="auto"/>
          </w:tcPr>
          <w:p w14:paraId="4335A733" w14:textId="77777777" w:rsidR="003C746D" w:rsidRDefault="003C746D" w:rsidP="00E51B43">
            <w:pPr>
              <w:pStyle w:val="TableTitle"/>
            </w:pPr>
            <w:r>
              <w:rPr>
                <w:b w:val="0"/>
              </w:rPr>
              <w:t xml:space="preserve">Table </w:t>
            </w:r>
            <w:r w:rsidR="00556657">
              <w:rPr>
                <w:b w:val="0"/>
              </w:rPr>
              <w:t>2.1</w:t>
            </w:r>
            <w:r>
              <w:tab/>
            </w:r>
            <w:r w:rsidR="00413D57">
              <w:t>Capital services shares and growth, 1974</w:t>
            </w:r>
            <w:r w:rsidR="00413D57">
              <w:noBreakHyphen/>
              <w:t>75 to 2017</w:t>
            </w:r>
            <w:r w:rsidR="00413D57">
              <w:noBreakHyphen/>
              <w:t>18</w:t>
            </w:r>
          </w:p>
          <w:p w14:paraId="7C5C270A" w14:textId="77777777" w:rsidR="003C746D" w:rsidRPr="00784A05" w:rsidRDefault="00413D57" w:rsidP="00E51B43">
            <w:pPr>
              <w:pStyle w:val="Subtitle"/>
            </w:pPr>
            <w:r>
              <w:t>Per cent</w:t>
            </w:r>
          </w:p>
        </w:tc>
      </w:tr>
      <w:tr w:rsidR="003C746D" w14:paraId="20627F52" w14:textId="77777777" w:rsidTr="00E51B4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372"/>
              <w:gridCol w:w="802"/>
              <w:gridCol w:w="857"/>
              <w:gridCol w:w="1177"/>
              <w:gridCol w:w="1152"/>
              <w:gridCol w:w="1145"/>
            </w:tblGrid>
            <w:tr w:rsidR="004A3151" w14:paraId="5623E905" w14:textId="77777777" w:rsidTr="00340224">
              <w:trPr>
                <w:tblHeader/>
              </w:trPr>
              <w:tc>
                <w:tcPr>
                  <w:tcW w:w="1986" w:type="pct"/>
                  <w:tcBorders>
                    <w:bottom w:val="single" w:sz="6" w:space="0" w:color="FFFFFF" w:themeColor="background1"/>
                    <w:right w:val="single" w:sz="6" w:space="0" w:color="FFFFFF" w:themeColor="background1"/>
                  </w:tcBorders>
                  <w:shd w:val="clear" w:color="auto" w:fill="A2D6E9" w:themeFill="text2" w:themeFillTint="99"/>
                  <w:tcMar>
                    <w:top w:w="28" w:type="dxa"/>
                  </w:tcMar>
                </w:tcPr>
                <w:p w14:paraId="5D569B24" w14:textId="77777777" w:rsidR="004A3151" w:rsidRDefault="004A3151" w:rsidP="004537BA">
                  <w:pPr>
                    <w:pStyle w:val="TableColumnHeading"/>
                    <w:jc w:val="left"/>
                  </w:pPr>
                </w:p>
              </w:tc>
              <w:tc>
                <w:tcPr>
                  <w:tcW w:w="982" w:type="pct"/>
                  <w:gridSpan w:val="2"/>
                  <w:tcBorders>
                    <w:left w:val="single" w:sz="6" w:space="0" w:color="FFFFFF" w:themeColor="background1"/>
                    <w:bottom w:val="single" w:sz="6" w:space="0" w:color="FFFFFF" w:themeColor="background1"/>
                    <w:right w:val="single" w:sz="48" w:space="0" w:color="FFFFFF" w:themeColor="background1"/>
                  </w:tcBorders>
                  <w:shd w:val="clear" w:color="auto" w:fill="A2D6E9" w:themeFill="text2" w:themeFillTint="99"/>
                </w:tcPr>
                <w:p w14:paraId="5E8AA418" w14:textId="77777777" w:rsidR="004A3151" w:rsidRPr="008C14B7" w:rsidRDefault="004A3151" w:rsidP="006E044F">
                  <w:pPr>
                    <w:pStyle w:val="TableColumnHeading"/>
                    <w:jc w:val="center"/>
                    <w:rPr>
                      <w:b/>
                      <w:i w:val="0"/>
                    </w:rPr>
                  </w:pPr>
                  <w:r w:rsidRPr="008C14B7">
                    <w:rPr>
                      <w:b/>
                      <w:i w:val="0"/>
                    </w:rPr>
                    <w:t>Weight (Share of</w:t>
                  </w:r>
                  <w:r w:rsidRPr="008C14B7">
                    <w:rPr>
                      <w:b/>
                      <w:i w:val="0"/>
                    </w:rPr>
                    <w:br/>
                    <w:t>capital income)</w:t>
                  </w:r>
                </w:p>
              </w:tc>
              <w:tc>
                <w:tcPr>
                  <w:tcW w:w="2032" w:type="pct"/>
                  <w:gridSpan w:val="3"/>
                  <w:tcBorders>
                    <w:left w:val="single" w:sz="48" w:space="0" w:color="FFFFFF" w:themeColor="background1"/>
                    <w:bottom w:val="single" w:sz="6" w:space="0" w:color="FFFFFF" w:themeColor="background1"/>
                  </w:tcBorders>
                  <w:shd w:val="clear" w:color="auto" w:fill="A2D6E9" w:themeFill="text2" w:themeFillTint="99"/>
                </w:tcPr>
                <w:p w14:paraId="07C61BC4" w14:textId="77777777" w:rsidR="004A3151" w:rsidRPr="008C14B7" w:rsidRDefault="004A3151" w:rsidP="006E044F">
                  <w:pPr>
                    <w:pStyle w:val="TableColumnHeading"/>
                    <w:jc w:val="center"/>
                    <w:rPr>
                      <w:b/>
                      <w:i w:val="0"/>
                    </w:rPr>
                  </w:pPr>
                  <w:r w:rsidRPr="008C14B7">
                    <w:rPr>
                      <w:b/>
                      <w:i w:val="0"/>
                    </w:rPr>
                    <w:t>Average annual</w:t>
                  </w:r>
                  <w:r w:rsidRPr="008C14B7">
                    <w:rPr>
                      <w:b/>
                      <w:i w:val="0"/>
                    </w:rPr>
                    <w:br/>
                    <w:t>growth in capital services</w:t>
                  </w:r>
                </w:p>
              </w:tc>
            </w:tr>
            <w:tr w:rsidR="008C14B7" w14:paraId="63659F70"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C1E4F0" w:themeFill="text2" w:themeFillTint="66"/>
                </w:tcPr>
                <w:p w14:paraId="3AAF5536" w14:textId="77777777" w:rsidR="004A3151" w:rsidRDefault="004A3151" w:rsidP="004A3151">
                  <w:pPr>
                    <w:pStyle w:val="TableUnitsRow"/>
                    <w:spacing w:before="80" w:after="80"/>
                    <w:jc w:val="left"/>
                  </w:pP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E4F0" w:themeFill="text2" w:themeFillTint="66"/>
                </w:tcPr>
                <w:p w14:paraId="7364BDC6" w14:textId="77777777" w:rsidR="004A3151" w:rsidRPr="008C14B7" w:rsidRDefault="004A3151" w:rsidP="004A3151">
                  <w:pPr>
                    <w:pStyle w:val="TableUnitsRow"/>
                    <w:spacing w:before="80" w:after="80"/>
                    <w:rPr>
                      <w:b/>
                    </w:rPr>
                  </w:pPr>
                  <w:r w:rsidRPr="008C14B7">
                    <w:rPr>
                      <w:b/>
                    </w:rPr>
                    <w:t>1974</w:t>
                  </w:r>
                  <w:r w:rsidRPr="008C14B7">
                    <w:rPr>
                      <w:b/>
                    </w:rPr>
                    <w:noBreakHyphen/>
                    <w:t>75</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C1E4F0" w:themeFill="text2" w:themeFillTint="66"/>
                </w:tcPr>
                <w:p w14:paraId="7AD147DE" w14:textId="77777777" w:rsidR="004A3151" w:rsidRPr="008C14B7" w:rsidRDefault="004A3151" w:rsidP="004A3151">
                  <w:pPr>
                    <w:pStyle w:val="TableUnitsRow"/>
                    <w:spacing w:before="80" w:after="80"/>
                    <w:rPr>
                      <w:b/>
                    </w:rPr>
                  </w:pPr>
                  <w:r w:rsidRPr="008C14B7">
                    <w:rPr>
                      <w:b/>
                    </w:rPr>
                    <w:t>2017</w:t>
                  </w:r>
                  <w:r w:rsidRPr="008C14B7">
                    <w:rPr>
                      <w:b/>
                    </w:rPr>
                    <w:noBreakHyphen/>
                    <w:t>18</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C1E4F0" w:themeFill="text2" w:themeFillTint="66"/>
                </w:tcPr>
                <w:p w14:paraId="49BF0210" w14:textId="77777777" w:rsidR="004A3151" w:rsidRPr="008C14B7" w:rsidRDefault="004A3151" w:rsidP="004A3151">
                  <w:pPr>
                    <w:pStyle w:val="TableUnitsRow"/>
                    <w:spacing w:before="20" w:after="80"/>
                    <w:rPr>
                      <w:b/>
                    </w:rPr>
                  </w:pPr>
                  <w:r w:rsidRPr="008C14B7">
                    <w:rPr>
                      <w:b/>
                    </w:rPr>
                    <w:t>Long</w:t>
                  </w:r>
                  <w:r w:rsidRPr="008C14B7">
                    <w:rPr>
                      <w:b/>
                    </w:rPr>
                    <w:noBreakHyphen/>
                    <w:t>term</w:t>
                  </w:r>
                  <w:r w:rsidRPr="00D51736">
                    <w:rPr>
                      <w:rStyle w:val="NoteLabel"/>
                    </w:rPr>
                    <w:t>a</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1E4F0" w:themeFill="text2" w:themeFillTint="66"/>
                </w:tcPr>
                <w:p w14:paraId="3FBF07BD" w14:textId="77777777" w:rsidR="004A3151" w:rsidRPr="008C14B7" w:rsidRDefault="004A3151" w:rsidP="004A3151">
                  <w:pPr>
                    <w:pStyle w:val="TableUnitsRow"/>
                    <w:spacing w:before="20" w:after="80"/>
                    <w:rPr>
                      <w:b/>
                    </w:rPr>
                  </w:pPr>
                  <w:r w:rsidRPr="008C14B7">
                    <w:rPr>
                      <w:b/>
                    </w:rPr>
                    <w:t>Last cycle</w:t>
                  </w:r>
                  <w:r w:rsidRPr="00D51736">
                    <w:rPr>
                      <w:rStyle w:val="NoteLabel"/>
                    </w:rPr>
                    <w:t>b</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C1E4F0" w:themeFill="text2" w:themeFillTint="66"/>
                </w:tcPr>
                <w:p w14:paraId="1E98B507" w14:textId="77777777" w:rsidR="004A3151" w:rsidRPr="008C14B7" w:rsidRDefault="004A3151" w:rsidP="004A3151">
                  <w:pPr>
                    <w:pStyle w:val="TableUnitsRow"/>
                    <w:spacing w:before="80" w:after="80"/>
                    <w:ind w:right="28"/>
                    <w:rPr>
                      <w:b/>
                    </w:rPr>
                  </w:pPr>
                  <w:r w:rsidRPr="008C14B7">
                    <w:rPr>
                      <w:b/>
                    </w:rPr>
                    <w:t>Past 3 years</w:t>
                  </w:r>
                </w:p>
              </w:tc>
            </w:tr>
            <w:tr w:rsidR="008C14B7" w14:paraId="2E708C99"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CA279FB" w14:textId="77777777" w:rsidR="004A3151" w:rsidRPr="00D51736" w:rsidRDefault="004A3151" w:rsidP="00D51736">
                  <w:pPr>
                    <w:pStyle w:val="TableBodyText"/>
                    <w:ind w:left="57"/>
                    <w:jc w:val="left"/>
                    <w:rPr>
                      <w:rFonts w:cs="Arial"/>
                      <w:szCs w:val="18"/>
                    </w:rPr>
                  </w:pPr>
                  <w:r w:rsidRPr="00D51736">
                    <w:rPr>
                      <w:rFonts w:cs="Arial"/>
                      <w:szCs w:val="18"/>
                    </w:rPr>
                    <w:t>Agriculture, forestry and fishing</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02E7A69" w14:textId="77777777" w:rsidR="004A3151" w:rsidRPr="00D51736" w:rsidRDefault="004A3151" w:rsidP="004537BA">
                  <w:pPr>
                    <w:pStyle w:val="TableBodyText"/>
                    <w:rPr>
                      <w:rFonts w:cs="Arial"/>
                      <w:szCs w:val="18"/>
                    </w:rPr>
                  </w:pPr>
                  <w:r w:rsidRPr="00D51736">
                    <w:rPr>
                      <w:rFonts w:cs="Arial"/>
                      <w:szCs w:val="18"/>
                    </w:rPr>
                    <w:t>6.1</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621ADB05" w14:textId="77777777" w:rsidR="004A3151" w:rsidRPr="00D51736" w:rsidRDefault="004A3151" w:rsidP="004537BA">
                  <w:pPr>
                    <w:pStyle w:val="TableBodyText"/>
                    <w:rPr>
                      <w:rFonts w:cs="Arial"/>
                      <w:szCs w:val="18"/>
                    </w:rPr>
                  </w:pPr>
                  <w:r w:rsidRPr="00D51736">
                    <w:rPr>
                      <w:rFonts w:cs="Arial"/>
                      <w:szCs w:val="18"/>
                    </w:rPr>
                    <w:t>2.8</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B513698" w14:textId="77777777" w:rsidR="004A3151" w:rsidRPr="00D51736" w:rsidRDefault="004A3151" w:rsidP="004537BA">
                  <w:pPr>
                    <w:pStyle w:val="TableBodyText"/>
                    <w:rPr>
                      <w:rFonts w:cs="Arial"/>
                      <w:szCs w:val="18"/>
                    </w:rPr>
                  </w:pPr>
                  <w:r w:rsidRPr="00D51736">
                    <w:rPr>
                      <w:rFonts w:cs="Arial"/>
                      <w:szCs w:val="18"/>
                    </w:rPr>
                    <w:t>0.5</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5A82EA6" w14:textId="77777777" w:rsidR="004A3151" w:rsidRPr="00D51736" w:rsidRDefault="004A3151" w:rsidP="004537BA">
                  <w:pPr>
                    <w:pStyle w:val="TableBodyText"/>
                    <w:rPr>
                      <w:rFonts w:cs="Arial"/>
                      <w:szCs w:val="18"/>
                    </w:rPr>
                  </w:pPr>
                  <w:r w:rsidRPr="00D51736">
                    <w:rPr>
                      <w:rFonts w:cs="Arial"/>
                      <w:szCs w:val="18"/>
                    </w:rPr>
                    <w:t>0.1</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0127072" w14:textId="77777777" w:rsidR="004A3151" w:rsidRPr="00D51736" w:rsidRDefault="004A3151" w:rsidP="004537BA">
                  <w:pPr>
                    <w:pStyle w:val="TableBodyText"/>
                    <w:rPr>
                      <w:rFonts w:cs="Arial"/>
                      <w:szCs w:val="18"/>
                    </w:rPr>
                  </w:pPr>
                  <w:r w:rsidRPr="00D51736">
                    <w:rPr>
                      <w:rFonts w:cs="Arial"/>
                      <w:szCs w:val="18"/>
                    </w:rPr>
                    <w:t>0.1</w:t>
                  </w:r>
                </w:p>
              </w:tc>
            </w:tr>
            <w:tr w:rsidR="004A3151" w14:paraId="71931AE2"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ECE927D" w14:textId="77777777" w:rsidR="004A3151" w:rsidRPr="00D51736" w:rsidRDefault="004A3151" w:rsidP="00D51736">
                  <w:pPr>
                    <w:pStyle w:val="TableBodyText"/>
                    <w:ind w:left="57"/>
                    <w:jc w:val="left"/>
                    <w:rPr>
                      <w:rFonts w:cs="Arial"/>
                      <w:szCs w:val="18"/>
                    </w:rPr>
                  </w:pPr>
                  <w:r w:rsidRPr="00D51736">
                    <w:rPr>
                      <w:rFonts w:cs="Arial"/>
                      <w:szCs w:val="18"/>
                    </w:rPr>
                    <w:t>Mining</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5D69522" w14:textId="77777777" w:rsidR="004A3151" w:rsidRPr="00D51736" w:rsidRDefault="004A3151" w:rsidP="004537BA">
                  <w:pPr>
                    <w:pStyle w:val="TableBodyText"/>
                    <w:rPr>
                      <w:rFonts w:cs="Arial"/>
                      <w:szCs w:val="18"/>
                    </w:rPr>
                  </w:pPr>
                  <w:r w:rsidRPr="00D51736">
                    <w:rPr>
                      <w:rFonts w:cs="Arial"/>
                      <w:szCs w:val="18"/>
                    </w:rPr>
                    <w:t>4.2</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54241D61" w14:textId="77777777" w:rsidR="004A3151" w:rsidRPr="00D51736" w:rsidRDefault="004A3151" w:rsidP="004537BA">
                  <w:pPr>
                    <w:pStyle w:val="TableBodyText"/>
                    <w:rPr>
                      <w:rFonts w:cs="Arial"/>
                      <w:szCs w:val="18"/>
                    </w:rPr>
                  </w:pPr>
                  <w:r w:rsidRPr="00D51736">
                    <w:rPr>
                      <w:rFonts w:cs="Arial"/>
                      <w:szCs w:val="18"/>
                    </w:rPr>
                    <w:t>9.0</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887FEE3" w14:textId="77777777" w:rsidR="004A3151" w:rsidRPr="00D51736" w:rsidRDefault="004A3151" w:rsidP="004537BA">
                  <w:pPr>
                    <w:pStyle w:val="TableBodyText"/>
                    <w:rPr>
                      <w:rFonts w:cs="Arial"/>
                      <w:szCs w:val="18"/>
                    </w:rPr>
                  </w:pPr>
                  <w:r w:rsidRPr="00D51736">
                    <w:rPr>
                      <w:rFonts w:cs="Arial"/>
                      <w:szCs w:val="18"/>
                    </w:rPr>
                    <w:t>5.6</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644A0C7A" w14:textId="77777777" w:rsidR="004A3151" w:rsidRPr="00D51736" w:rsidRDefault="004A3151" w:rsidP="004537BA">
                  <w:pPr>
                    <w:pStyle w:val="TableBodyText"/>
                    <w:rPr>
                      <w:rFonts w:cs="Arial"/>
                      <w:szCs w:val="18"/>
                    </w:rPr>
                  </w:pPr>
                  <w:r w:rsidRPr="00D51736">
                    <w:rPr>
                      <w:rFonts w:cs="Arial"/>
                      <w:szCs w:val="18"/>
                    </w:rPr>
                    <w:t>6.8</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07CD7F23" w14:textId="77777777" w:rsidR="004A3151" w:rsidRPr="00D51736" w:rsidRDefault="004A3151" w:rsidP="004537BA">
                  <w:pPr>
                    <w:pStyle w:val="TableBodyText"/>
                    <w:rPr>
                      <w:rFonts w:cs="Arial"/>
                      <w:szCs w:val="18"/>
                    </w:rPr>
                  </w:pPr>
                  <w:r w:rsidRPr="00D51736">
                    <w:rPr>
                      <w:rFonts w:cs="Arial"/>
                      <w:szCs w:val="18"/>
                    </w:rPr>
                    <w:t>2.5</w:t>
                  </w:r>
                </w:p>
              </w:tc>
            </w:tr>
            <w:tr w:rsidR="004A3151" w14:paraId="597EE565"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37B40A5" w14:textId="77777777" w:rsidR="004A3151" w:rsidRPr="00D51736" w:rsidRDefault="004A3151" w:rsidP="00D51736">
                  <w:pPr>
                    <w:pStyle w:val="TableBodyText"/>
                    <w:ind w:left="57"/>
                    <w:jc w:val="left"/>
                    <w:rPr>
                      <w:rFonts w:cs="Arial"/>
                      <w:szCs w:val="18"/>
                    </w:rPr>
                  </w:pPr>
                  <w:r w:rsidRPr="00D51736">
                    <w:rPr>
                      <w:rFonts w:cs="Arial"/>
                      <w:szCs w:val="18"/>
                    </w:rPr>
                    <w:t>Manufacturing</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A6BCD30" w14:textId="77777777" w:rsidR="004A3151" w:rsidRPr="00D51736" w:rsidRDefault="004A3151" w:rsidP="004537BA">
                  <w:pPr>
                    <w:pStyle w:val="TableBodyText"/>
                    <w:rPr>
                      <w:rFonts w:cs="Arial"/>
                      <w:szCs w:val="18"/>
                    </w:rPr>
                  </w:pPr>
                  <w:r w:rsidRPr="00D51736">
                    <w:rPr>
                      <w:rFonts w:cs="Arial"/>
                      <w:szCs w:val="18"/>
                    </w:rPr>
                    <w:t>19.2</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34AB7CB6" w14:textId="77777777" w:rsidR="004A3151" w:rsidRPr="00D51736" w:rsidRDefault="004A3151" w:rsidP="004537BA">
                  <w:pPr>
                    <w:pStyle w:val="TableBodyText"/>
                    <w:rPr>
                      <w:rFonts w:cs="Arial"/>
                      <w:szCs w:val="18"/>
                    </w:rPr>
                  </w:pPr>
                  <w:r w:rsidRPr="00D51736">
                    <w:rPr>
                      <w:rFonts w:cs="Arial"/>
                      <w:szCs w:val="18"/>
                    </w:rPr>
                    <w:t>6.2</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1DC1687" w14:textId="77777777" w:rsidR="004A3151" w:rsidRPr="00D51736" w:rsidRDefault="004A3151" w:rsidP="004537BA">
                  <w:pPr>
                    <w:pStyle w:val="TableBodyText"/>
                    <w:rPr>
                      <w:rFonts w:cs="Arial"/>
                      <w:szCs w:val="18"/>
                    </w:rPr>
                  </w:pPr>
                  <w:r w:rsidRPr="00D51736">
                    <w:rPr>
                      <w:rFonts w:cs="Arial"/>
                      <w:szCs w:val="18"/>
                    </w:rPr>
                    <w:t>2.1</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63590CA9" w14:textId="77777777" w:rsidR="004A3151" w:rsidRPr="00D51736" w:rsidRDefault="004A3151" w:rsidP="004537BA">
                  <w:pPr>
                    <w:pStyle w:val="TableBodyText"/>
                    <w:rPr>
                      <w:rFonts w:cs="Arial"/>
                      <w:szCs w:val="18"/>
                    </w:rPr>
                  </w:pPr>
                  <w:r w:rsidRPr="00D51736">
                    <w:rPr>
                      <w:rFonts w:cs="Arial"/>
                      <w:szCs w:val="18"/>
                    </w:rPr>
                    <w:noBreakHyphen/>
                    <w:t>1.2</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6A47A481" w14:textId="77777777" w:rsidR="004A3151" w:rsidRPr="00D51736" w:rsidRDefault="004A3151" w:rsidP="004537BA">
                  <w:pPr>
                    <w:pStyle w:val="TableBodyText"/>
                    <w:rPr>
                      <w:rFonts w:cs="Arial"/>
                      <w:szCs w:val="18"/>
                    </w:rPr>
                  </w:pPr>
                  <w:r w:rsidRPr="00D51736">
                    <w:rPr>
                      <w:rFonts w:cs="Arial"/>
                      <w:szCs w:val="18"/>
                    </w:rPr>
                    <w:noBreakHyphen/>
                    <w:t>1.4</w:t>
                  </w:r>
                </w:p>
              </w:tc>
            </w:tr>
            <w:tr w:rsidR="004A3151" w14:paraId="1B52455A"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433292F" w14:textId="77777777" w:rsidR="004A3151" w:rsidRPr="00D51736" w:rsidRDefault="004A3151" w:rsidP="00D51736">
                  <w:pPr>
                    <w:pStyle w:val="TableBodyText"/>
                    <w:ind w:left="57"/>
                    <w:jc w:val="left"/>
                    <w:rPr>
                      <w:rFonts w:cs="Arial"/>
                      <w:spacing w:val="-4"/>
                      <w:szCs w:val="18"/>
                    </w:rPr>
                  </w:pPr>
                  <w:r w:rsidRPr="00D51736">
                    <w:rPr>
                      <w:rFonts w:cs="Arial"/>
                      <w:spacing w:val="-4"/>
                      <w:szCs w:val="18"/>
                    </w:rPr>
                    <w:t>Electricity, gas, water and waste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69BFD394" w14:textId="77777777" w:rsidR="004A3151" w:rsidRPr="00D51736" w:rsidRDefault="004A3151" w:rsidP="004537BA">
                  <w:pPr>
                    <w:pStyle w:val="TableBodyText"/>
                    <w:rPr>
                      <w:rFonts w:cs="Arial"/>
                      <w:szCs w:val="18"/>
                    </w:rPr>
                  </w:pPr>
                  <w:r w:rsidRPr="00D51736">
                    <w:rPr>
                      <w:rFonts w:cs="Arial"/>
                      <w:szCs w:val="18"/>
                    </w:rPr>
                    <w:t>3.4</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7F24B6FE" w14:textId="77777777" w:rsidR="004A3151" w:rsidRPr="00D51736" w:rsidRDefault="004A3151" w:rsidP="004537BA">
                  <w:pPr>
                    <w:pStyle w:val="TableBodyText"/>
                    <w:rPr>
                      <w:rFonts w:cs="Arial"/>
                      <w:szCs w:val="18"/>
                    </w:rPr>
                  </w:pPr>
                  <w:r w:rsidRPr="00D51736">
                    <w:rPr>
                      <w:rFonts w:cs="Arial"/>
                      <w:szCs w:val="18"/>
                    </w:rPr>
                    <w:t>2.6</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E8D337F" w14:textId="77777777" w:rsidR="004A3151" w:rsidRPr="00D51736" w:rsidRDefault="004A3151" w:rsidP="004537BA">
                  <w:pPr>
                    <w:pStyle w:val="TableBodyText"/>
                    <w:rPr>
                      <w:rFonts w:cs="Arial"/>
                      <w:szCs w:val="18"/>
                    </w:rPr>
                  </w:pPr>
                  <w:r w:rsidRPr="00D51736">
                    <w:rPr>
                      <w:rFonts w:cs="Arial"/>
                      <w:szCs w:val="18"/>
                    </w:rPr>
                    <w:t>2.6</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9FD677A" w14:textId="77777777" w:rsidR="004A3151" w:rsidRPr="00D51736" w:rsidRDefault="004A3151" w:rsidP="004537BA">
                  <w:pPr>
                    <w:pStyle w:val="TableBodyText"/>
                    <w:rPr>
                      <w:rFonts w:cs="Arial"/>
                      <w:szCs w:val="18"/>
                    </w:rPr>
                  </w:pPr>
                  <w:r w:rsidRPr="00D51736">
                    <w:rPr>
                      <w:rFonts w:cs="Arial"/>
                      <w:szCs w:val="18"/>
                    </w:rPr>
                    <w:t>1.9</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9779315" w14:textId="77777777" w:rsidR="004A3151" w:rsidRPr="00D51736" w:rsidRDefault="004A3151" w:rsidP="004537BA">
                  <w:pPr>
                    <w:pStyle w:val="TableBodyText"/>
                    <w:rPr>
                      <w:rFonts w:cs="Arial"/>
                      <w:szCs w:val="18"/>
                    </w:rPr>
                  </w:pPr>
                  <w:r w:rsidRPr="00D51736">
                    <w:rPr>
                      <w:rFonts w:cs="Arial"/>
                      <w:szCs w:val="18"/>
                    </w:rPr>
                    <w:t>1.8</w:t>
                  </w:r>
                </w:p>
              </w:tc>
            </w:tr>
            <w:tr w:rsidR="004A3151" w14:paraId="60410D3C"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E3B546E" w14:textId="77777777" w:rsidR="004A3151" w:rsidRPr="00D51736" w:rsidRDefault="004A3151" w:rsidP="00D51736">
                  <w:pPr>
                    <w:pStyle w:val="TableBodyText"/>
                    <w:ind w:left="57"/>
                    <w:jc w:val="left"/>
                    <w:rPr>
                      <w:rFonts w:cs="Arial"/>
                      <w:szCs w:val="18"/>
                    </w:rPr>
                  </w:pPr>
                  <w:r w:rsidRPr="00D51736">
                    <w:rPr>
                      <w:rFonts w:cs="Arial"/>
                      <w:szCs w:val="18"/>
                    </w:rPr>
                    <w:t>Construction</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522C56C" w14:textId="77777777" w:rsidR="004A3151" w:rsidRPr="00D51736" w:rsidRDefault="004A3151" w:rsidP="004537BA">
                  <w:pPr>
                    <w:pStyle w:val="TableBodyText"/>
                    <w:rPr>
                      <w:rFonts w:cs="Arial"/>
                      <w:szCs w:val="18"/>
                    </w:rPr>
                  </w:pPr>
                  <w:r w:rsidRPr="00D51736">
                    <w:rPr>
                      <w:rFonts w:cs="Arial"/>
                      <w:szCs w:val="18"/>
                    </w:rPr>
                    <w:t>7.8</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21FC8253" w14:textId="77777777" w:rsidR="004A3151" w:rsidRPr="00D51736" w:rsidRDefault="004A3151" w:rsidP="004537BA">
                  <w:pPr>
                    <w:pStyle w:val="TableBodyText"/>
                    <w:rPr>
                      <w:rFonts w:cs="Arial"/>
                      <w:szCs w:val="18"/>
                    </w:rPr>
                  </w:pPr>
                  <w:r w:rsidRPr="00D51736">
                    <w:rPr>
                      <w:rFonts w:cs="Arial"/>
                      <w:szCs w:val="18"/>
                    </w:rPr>
                    <w:t>8.2</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6F206591" w14:textId="77777777" w:rsidR="004A3151" w:rsidRPr="00D51736" w:rsidRDefault="004A3151" w:rsidP="004537BA">
                  <w:pPr>
                    <w:pStyle w:val="TableBodyText"/>
                    <w:rPr>
                      <w:rFonts w:cs="Arial"/>
                      <w:szCs w:val="18"/>
                    </w:rPr>
                  </w:pPr>
                  <w:r w:rsidRPr="00D51736">
                    <w:rPr>
                      <w:rFonts w:cs="Arial"/>
                      <w:szCs w:val="18"/>
                    </w:rPr>
                    <w:t>5.8</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8E56D74" w14:textId="77777777" w:rsidR="004A3151" w:rsidRPr="00D51736" w:rsidRDefault="004A3151" w:rsidP="004537BA">
                  <w:pPr>
                    <w:pStyle w:val="TableBodyText"/>
                    <w:rPr>
                      <w:rFonts w:cs="Arial"/>
                      <w:szCs w:val="18"/>
                    </w:rPr>
                  </w:pPr>
                  <w:r w:rsidRPr="00D51736">
                    <w:rPr>
                      <w:rFonts w:cs="Arial"/>
                      <w:szCs w:val="18"/>
                    </w:rPr>
                    <w:t>3.0</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24A4C5B2" w14:textId="77777777" w:rsidR="004A3151" w:rsidRPr="00D51736" w:rsidRDefault="004A3151" w:rsidP="004537BA">
                  <w:pPr>
                    <w:pStyle w:val="TableBodyText"/>
                    <w:rPr>
                      <w:rFonts w:cs="Arial"/>
                      <w:szCs w:val="18"/>
                    </w:rPr>
                  </w:pPr>
                  <w:r w:rsidRPr="00D51736">
                    <w:rPr>
                      <w:rFonts w:cs="Arial"/>
                      <w:szCs w:val="18"/>
                    </w:rPr>
                    <w:t>2.6</w:t>
                  </w:r>
                </w:p>
              </w:tc>
            </w:tr>
            <w:tr w:rsidR="004A3151" w14:paraId="52155BF5"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AA5B341" w14:textId="77777777" w:rsidR="004A3151" w:rsidRPr="00D51736" w:rsidRDefault="004A3151" w:rsidP="00D51736">
                  <w:pPr>
                    <w:pStyle w:val="TableBodyText"/>
                    <w:ind w:left="57"/>
                    <w:jc w:val="left"/>
                    <w:rPr>
                      <w:rFonts w:cs="Arial"/>
                      <w:szCs w:val="18"/>
                    </w:rPr>
                  </w:pPr>
                  <w:r w:rsidRPr="00D51736">
                    <w:rPr>
                      <w:rFonts w:cs="Arial"/>
                      <w:szCs w:val="18"/>
                    </w:rPr>
                    <w:t>Wholesale trade</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1DA9324" w14:textId="77777777" w:rsidR="004A3151" w:rsidRPr="00D51736" w:rsidRDefault="004A3151" w:rsidP="004537BA">
                  <w:pPr>
                    <w:pStyle w:val="TableBodyText"/>
                    <w:rPr>
                      <w:rFonts w:cs="Arial"/>
                      <w:szCs w:val="18"/>
                    </w:rPr>
                  </w:pPr>
                  <w:r w:rsidRPr="00D51736">
                    <w:rPr>
                      <w:rFonts w:cs="Arial"/>
                      <w:szCs w:val="18"/>
                    </w:rPr>
                    <w:t>5.7</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394B8D57" w14:textId="77777777" w:rsidR="004A3151" w:rsidRPr="00D51736" w:rsidRDefault="004A3151" w:rsidP="004537BA">
                  <w:pPr>
                    <w:pStyle w:val="TableBodyText"/>
                    <w:rPr>
                      <w:rFonts w:cs="Arial"/>
                      <w:szCs w:val="18"/>
                    </w:rPr>
                  </w:pPr>
                  <w:r w:rsidRPr="00D51736">
                    <w:rPr>
                      <w:rFonts w:cs="Arial"/>
                      <w:szCs w:val="18"/>
                    </w:rPr>
                    <w:t>4.1</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27A2477" w14:textId="77777777" w:rsidR="004A3151" w:rsidRPr="00D51736" w:rsidRDefault="004A3151" w:rsidP="004537BA">
                  <w:pPr>
                    <w:pStyle w:val="TableBodyText"/>
                    <w:rPr>
                      <w:rFonts w:cs="Arial"/>
                      <w:szCs w:val="18"/>
                    </w:rPr>
                  </w:pPr>
                  <w:r w:rsidRPr="00D51736">
                    <w:rPr>
                      <w:rFonts w:cs="Arial"/>
                      <w:szCs w:val="18"/>
                    </w:rPr>
                    <w:t>3.9</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2D5BC40" w14:textId="77777777" w:rsidR="004A3151" w:rsidRPr="00D51736" w:rsidRDefault="004A3151" w:rsidP="004537BA">
                  <w:pPr>
                    <w:pStyle w:val="TableBodyText"/>
                    <w:rPr>
                      <w:rFonts w:cs="Arial"/>
                      <w:szCs w:val="18"/>
                    </w:rPr>
                  </w:pPr>
                  <w:r w:rsidRPr="00D51736">
                    <w:rPr>
                      <w:rFonts w:cs="Arial"/>
                      <w:szCs w:val="18"/>
                    </w:rPr>
                    <w:t>1.8</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CA3C6FB" w14:textId="77777777" w:rsidR="004A3151" w:rsidRPr="00D51736" w:rsidRDefault="004A3151" w:rsidP="004537BA">
                  <w:pPr>
                    <w:pStyle w:val="TableBodyText"/>
                    <w:rPr>
                      <w:rFonts w:cs="Arial"/>
                      <w:szCs w:val="18"/>
                    </w:rPr>
                  </w:pPr>
                  <w:r w:rsidRPr="00D51736">
                    <w:rPr>
                      <w:rFonts w:cs="Arial"/>
                      <w:szCs w:val="18"/>
                    </w:rPr>
                    <w:t>2.6</w:t>
                  </w:r>
                </w:p>
              </w:tc>
            </w:tr>
            <w:tr w:rsidR="004A3151" w14:paraId="31C1E568"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8759881" w14:textId="77777777" w:rsidR="004A3151" w:rsidRPr="00D51736" w:rsidRDefault="004A3151" w:rsidP="00D51736">
                  <w:pPr>
                    <w:pStyle w:val="TableBodyText"/>
                    <w:ind w:left="57"/>
                    <w:jc w:val="left"/>
                    <w:rPr>
                      <w:rFonts w:cs="Arial"/>
                      <w:szCs w:val="18"/>
                    </w:rPr>
                  </w:pPr>
                  <w:r w:rsidRPr="00D51736">
                    <w:rPr>
                      <w:rFonts w:cs="Arial"/>
                      <w:szCs w:val="18"/>
                    </w:rPr>
                    <w:t>Retail trade</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2683FD0" w14:textId="77777777" w:rsidR="004A3151" w:rsidRPr="00D51736" w:rsidRDefault="004A3151" w:rsidP="004537BA">
                  <w:pPr>
                    <w:pStyle w:val="TableBodyText"/>
                    <w:rPr>
                      <w:rFonts w:cs="Arial"/>
                      <w:szCs w:val="18"/>
                    </w:rPr>
                  </w:pPr>
                  <w:r w:rsidRPr="00D51736">
                    <w:rPr>
                      <w:rFonts w:cs="Arial"/>
                      <w:szCs w:val="18"/>
                    </w:rPr>
                    <w:t>5.5</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2464FC2F" w14:textId="77777777" w:rsidR="004A3151" w:rsidRPr="00D51736" w:rsidRDefault="004A3151" w:rsidP="004537BA">
                  <w:pPr>
                    <w:pStyle w:val="TableBodyText"/>
                    <w:rPr>
                      <w:rFonts w:cs="Arial"/>
                      <w:szCs w:val="18"/>
                    </w:rPr>
                  </w:pPr>
                  <w:r w:rsidRPr="00D51736">
                    <w:rPr>
                      <w:rFonts w:cs="Arial"/>
                      <w:szCs w:val="18"/>
                    </w:rPr>
                    <w:t>4.6</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12B6706" w14:textId="77777777" w:rsidR="004A3151" w:rsidRPr="00D51736" w:rsidRDefault="004A3151" w:rsidP="004537BA">
                  <w:pPr>
                    <w:pStyle w:val="TableBodyText"/>
                    <w:rPr>
                      <w:rFonts w:cs="Arial"/>
                      <w:szCs w:val="18"/>
                    </w:rPr>
                  </w:pPr>
                  <w:r w:rsidRPr="00D51736">
                    <w:rPr>
                      <w:rFonts w:cs="Arial"/>
                      <w:szCs w:val="18"/>
                    </w:rPr>
                    <w:t>5.1</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91C23C1" w14:textId="77777777" w:rsidR="004A3151" w:rsidRPr="00D51736" w:rsidRDefault="004A3151" w:rsidP="004537BA">
                  <w:pPr>
                    <w:pStyle w:val="TableBodyText"/>
                    <w:rPr>
                      <w:rFonts w:cs="Arial"/>
                      <w:szCs w:val="18"/>
                    </w:rPr>
                  </w:pPr>
                  <w:r w:rsidRPr="00D51736">
                    <w:rPr>
                      <w:rFonts w:cs="Arial"/>
                      <w:szCs w:val="18"/>
                    </w:rPr>
                    <w:t>2.9</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7945D09" w14:textId="77777777" w:rsidR="004A3151" w:rsidRPr="00D51736" w:rsidRDefault="004A3151" w:rsidP="004537BA">
                  <w:pPr>
                    <w:pStyle w:val="TableBodyText"/>
                    <w:rPr>
                      <w:rFonts w:cs="Arial"/>
                      <w:szCs w:val="18"/>
                    </w:rPr>
                  </w:pPr>
                  <w:r w:rsidRPr="00D51736">
                    <w:rPr>
                      <w:rFonts w:cs="Arial"/>
                      <w:szCs w:val="18"/>
                    </w:rPr>
                    <w:t>2.2</w:t>
                  </w:r>
                </w:p>
              </w:tc>
            </w:tr>
            <w:tr w:rsidR="004A3151" w14:paraId="0B5A82BE"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68A9707" w14:textId="77777777" w:rsidR="004A3151" w:rsidRPr="00D51736" w:rsidRDefault="004A3151" w:rsidP="00D51736">
                  <w:pPr>
                    <w:pStyle w:val="TableBodyText"/>
                    <w:ind w:left="57"/>
                    <w:jc w:val="left"/>
                    <w:rPr>
                      <w:rFonts w:cs="Arial"/>
                      <w:szCs w:val="18"/>
                    </w:rPr>
                  </w:pPr>
                  <w:r w:rsidRPr="00D51736">
                    <w:rPr>
                      <w:rFonts w:cs="Arial"/>
                      <w:szCs w:val="18"/>
                    </w:rPr>
                    <w:t>Accommodation and food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DD0D5FD" w14:textId="77777777" w:rsidR="004A3151" w:rsidRPr="00D51736" w:rsidRDefault="004A3151" w:rsidP="004537BA">
                  <w:pPr>
                    <w:pStyle w:val="TableBodyText"/>
                    <w:rPr>
                      <w:rFonts w:cs="Arial"/>
                      <w:szCs w:val="18"/>
                    </w:rPr>
                  </w:pPr>
                  <w:r w:rsidRPr="00D51736">
                    <w:rPr>
                      <w:rFonts w:cs="Arial"/>
                      <w:szCs w:val="18"/>
                    </w:rPr>
                    <w:t>2.3</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0FAE1ADD" w14:textId="77777777" w:rsidR="004A3151" w:rsidRPr="00D51736" w:rsidRDefault="004A3151" w:rsidP="004537BA">
                  <w:pPr>
                    <w:pStyle w:val="TableBodyText"/>
                    <w:rPr>
                      <w:rFonts w:cs="Arial"/>
                      <w:szCs w:val="18"/>
                    </w:rPr>
                  </w:pPr>
                  <w:r w:rsidRPr="00D51736">
                    <w:rPr>
                      <w:rFonts w:cs="Arial"/>
                      <w:szCs w:val="18"/>
                    </w:rPr>
                    <w:t>2.4</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5493C7F" w14:textId="77777777" w:rsidR="004A3151" w:rsidRPr="00D51736" w:rsidRDefault="004A3151" w:rsidP="004537BA">
                  <w:pPr>
                    <w:pStyle w:val="TableBodyText"/>
                    <w:rPr>
                      <w:rFonts w:cs="Arial"/>
                      <w:szCs w:val="18"/>
                    </w:rPr>
                  </w:pPr>
                  <w:r w:rsidRPr="00D51736">
                    <w:rPr>
                      <w:rFonts w:cs="Arial"/>
                      <w:szCs w:val="18"/>
                    </w:rPr>
                    <w:t>5.0</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5A28E0F" w14:textId="77777777" w:rsidR="004A3151" w:rsidRPr="00D51736" w:rsidRDefault="004A3151" w:rsidP="004537BA">
                  <w:pPr>
                    <w:pStyle w:val="TableBodyText"/>
                    <w:rPr>
                      <w:rFonts w:cs="Arial"/>
                      <w:szCs w:val="18"/>
                    </w:rPr>
                  </w:pPr>
                  <w:r w:rsidRPr="00D51736">
                    <w:rPr>
                      <w:rFonts w:cs="Arial"/>
                      <w:szCs w:val="18"/>
                    </w:rPr>
                    <w:t>0.7</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48309896" w14:textId="77777777" w:rsidR="004A3151" w:rsidRPr="00D51736" w:rsidRDefault="004A3151" w:rsidP="004537BA">
                  <w:pPr>
                    <w:pStyle w:val="TableBodyText"/>
                    <w:rPr>
                      <w:rFonts w:cs="Arial"/>
                      <w:szCs w:val="18"/>
                    </w:rPr>
                  </w:pPr>
                  <w:r w:rsidRPr="00D51736">
                    <w:rPr>
                      <w:rFonts w:cs="Arial"/>
                      <w:szCs w:val="18"/>
                    </w:rPr>
                    <w:t>0.9</w:t>
                  </w:r>
                </w:p>
              </w:tc>
            </w:tr>
            <w:tr w:rsidR="004A3151" w14:paraId="79557538"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A567B1B" w14:textId="77777777" w:rsidR="004A3151" w:rsidRPr="00D51736" w:rsidRDefault="004A3151" w:rsidP="00D51736">
                  <w:pPr>
                    <w:pStyle w:val="TableBodyText"/>
                    <w:ind w:left="57"/>
                    <w:jc w:val="left"/>
                    <w:rPr>
                      <w:rFonts w:cs="Arial"/>
                      <w:szCs w:val="18"/>
                    </w:rPr>
                  </w:pPr>
                  <w:r w:rsidRPr="00D51736">
                    <w:rPr>
                      <w:rFonts w:cs="Arial"/>
                      <w:szCs w:val="18"/>
                    </w:rPr>
                    <w:t>Transport, postal and warehousing</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2BD8A9B" w14:textId="77777777" w:rsidR="004A3151" w:rsidRPr="00D51736" w:rsidRDefault="004A3151" w:rsidP="004537BA">
                  <w:pPr>
                    <w:pStyle w:val="TableBodyText"/>
                    <w:rPr>
                      <w:rFonts w:cs="Arial"/>
                      <w:szCs w:val="18"/>
                    </w:rPr>
                  </w:pPr>
                  <w:r w:rsidRPr="00D51736">
                    <w:rPr>
                      <w:rFonts w:cs="Arial"/>
                      <w:szCs w:val="18"/>
                    </w:rPr>
                    <w:t>8.3</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4C7B474E" w14:textId="77777777" w:rsidR="004A3151" w:rsidRPr="00D51736" w:rsidRDefault="004A3151" w:rsidP="004537BA">
                  <w:pPr>
                    <w:pStyle w:val="TableBodyText"/>
                    <w:rPr>
                      <w:rFonts w:cs="Arial"/>
                      <w:szCs w:val="18"/>
                    </w:rPr>
                  </w:pPr>
                  <w:r w:rsidRPr="00D51736">
                    <w:rPr>
                      <w:rFonts w:cs="Arial"/>
                      <w:szCs w:val="18"/>
                    </w:rPr>
                    <w:t>4.9</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06B63DD" w14:textId="77777777" w:rsidR="004A3151" w:rsidRPr="00D51736" w:rsidRDefault="004A3151" w:rsidP="004537BA">
                  <w:pPr>
                    <w:pStyle w:val="TableBodyText"/>
                    <w:rPr>
                      <w:rFonts w:cs="Arial"/>
                      <w:szCs w:val="18"/>
                    </w:rPr>
                  </w:pPr>
                  <w:r w:rsidRPr="00D51736">
                    <w:rPr>
                      <w:rFonts w:cs="Arial"/>
                      <w:szCs w:val="18"/>
                    </w:rPr>
                    <w:t>3.4</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2E2D7AC" w14:textId="77777777" w:rsidR="004A3151" w:rsidRPr="00D51736" w:rsidRDefault="004A3151" w:rsidP="004537BA">
                  <w:pPr>
                    <w:pStyle w:val="TableBodyText"/>
                    <w:rPr>
                      <w:rFonts w:cs="Arial"/>
                      <w:szCs w:val="18"/>
                    </w:rPr>
                  </w:pPr>
                  <w:r w:rsidRPr="00D51736">
                    <w:rPr>
                      <w:rFonts w:cs="Arial"/>
                      <w:szCs w:val="18"/>
                    </w:rPr>
                    <w:t>2.8</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7378B8C6" w14:textId="77777777" w:rsidR="004A3151" w:rsidRPr="00D51736" w:rsidRDefault="004A3151" w:rsidP="004537BA">
                  <w:pPr>
                    <w:pStyle w:val="TableBodyText"/>
                    <w:rPr>
                      <w:rFonts w:cs="Arial"/>
                      <w:szCs w:val="18"/>
                    </w:rPr>
                  </w:pPr>
                  <w:r w:rsidRPr="00D51736">
                    <w:rPr>
                      <w:rFonts w:cs="Arial"/>
                      <w:szCs w:val="18"/>
                    </w:rPr>
                    <w:t>2.5</w:t>
                  </w:r>
                </w:p>
              </w:tc>
            </w:tr>
            <w:tr w:rsidR="004A3151" w14:paraId="1237C34C"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E7ED7C2" w14:textId="77777777" w:rsidR="004A3151" w:rsidRPr="00D51736" w:rsidRDefault="004A3151" w:rsidP="00D51736">
                  <w:pPr>
                    <w:pStyle w:val="TableBodyText"/>
                    <w:ind w:left="57" w:right="-169"/>
                    <w:jc w:val="left"/>
                    <w:rPr>
                      <w:rFonts w:cs="Arial"/>
                      <w:spacing w:val="-4"/>
                      <w:szCs w:val="18"/>
                    </w:rPr>
                  </w:pPr>
                  <w:r w:rsidRPr="00D51736">
                    <w:rPr>
                      <w:rFonts w:cs="Arial"/>
                      <w:spacing w:val="-4"/>
                      <w:szCs w:val="18"/>
                    </w:rPr>
                    <w:t>Information media and telecommunications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3281567" w14:textId="77777777" w:rsidR="004A3151" w:rsidRPr="00D51736" w:rsidRDefault="004A3151" w:rsidP="004537BA">
                  <w:pPr>
                    <w:pStyle w:val="TableBodyText"/>
                    <w:rPr>
                      <w:rFonts w:cs="Arial"/>
                      <w:szCs w:val="18"/>
                    </w:rPr>
                  </w:pPr>
                  <w:r w:rsidRPr="00D51736">
                    <w:rPr>
                      <w:rFonts w:cs="Arial"/>
                      <w:szCs w:val="18"/>
                    </w:rPr>
                    <w:t>3.7</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73C9E7C8" w14:textId="77777777" w:rsidR="004A3151" w:rsidRPr="00D51736" w:rsidRDefault="004A3151" w:rsidP="004537BA">
                  <w:pPr>
                    <w:pStyle w:val="TableBodyText"/>
                    <w:rPr>
                      <w:rFonts w:cs="Arial"/>
                      <w:szCs w:val="18"/>
                    </w:rPr>
                  </w:pPr>
                  <w:r w:rsidRPr="00D51736">
                    <w:rPr>
                      <w:rFonts w:cs="Arial"/>
                      <w:szCs w:val="18"/>
                    </w:rPr>
                    <w:t>2.6</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3CDDBEB" w14:textId="77777777" w:rsidR="004A3151" w:rsidRPr="00D51736" w:rsidRDefault="004A3151" w:rsidP="004537BA">
                  <w:pPr>
                    <w:pStyle w:val="TableBodyText"/>
                    <w:rPr>
                      <w:rFonts w:cs="Arial"/>
                      <w:szCs w:val="18"/>
                    </w:rPr>
                  </w:pPr>
                  <w:r w:rsidRPr="00D51736">
                    <w:rPr>
                      <w:rFonts w:cs="Arial"/>
                      <w:szCs w:val="18"/>
                    </w:rPr>
                    <w:t>5.7</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B7A8E61" w14:textId="77777777" w:rsidR="004A3151" w:rsidRPr="00D51736" w:rsidRDefault="004A3151" w:rsidP="004537BA">
                  <w:pPr>
                    <w:pStyle w:val="TableBodyText"/>
                    <w:rPr>
                      <w:rFonts w:cs="Arial"/>
                      <w:szCs w:val="18"/>
                    </w:rPr>
                  </w:pPr>
                  <w:r w:rsidRPr="00D51736">
                    <w:rPr>
                      <w:rFonts w:cs="Arial"/>
                      <w:szCs w:val="18"/>
                    </w:rPr>
                    <w:t>3.4</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7B4E812" w14:textId="77777777" w:rsidR="004A3151" w:rsidRPr="00D51736" w:rsidRDefault="004A3151" w:rsidP="004537BA">
                  <w:pPr>
                    <w:pStyle w:val="TableBodyText"/>
                    <w:rPr>
                      <w:rFonts w:cs="Arial"/>
                      <w:szCs w:val="18"/>
                    </w:rPr>
                  </w:pPr>
                  <w:r w:rsidRPr="00D51736">
                    <w:rPr>
                      <w:rFonts w:cs="Arial"/>
                      <w:szCs w:val="18"/>
                    </w:rPr>
                    <w:t>4.7</w:t>
                  </w:r>
                </w:p>
              </w:tc>
            </w:tr>
            <w:tr w:rsidR="004A3151" w14:paraId="5A1B16B7"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04BFC67" w14:textId="77777777" w:rsidR="004A3151" w:rsidRPr="00D51736" w:rsidRDefault="004A3151" w:rsidP="00D51736">
                  <w:pPr>
                    <w:pStyle w:val="TableBodyText"/>
                    <w:ind w:left="57"/>
                    <w:jc w:val="left"/>
                    <w:rPr>
                      <w:rFonts w:cs="Arial"/>
                      <w:szCs w:val="18"/>
                    </w:rPr>
                  </w:pPr>
                  <w:r w:rsidRPr="00D51736">
                    <w:rPr>
                      <w:rFonts w:cs="Arial"/>
                      <w:szCs w:val="18"/>
                    </w:rPr>
                    <w:t>Financial and insurance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E1E9AF6" w14:textId="77777777" w:rsidR="004A3151" w:rsidRPr="00D51736" w:rsidRDefault="004A3151" w:rsidP="004537BA">
                  <w:pPr>
                    <w:pStyle w:val="TableBodyText"/>
                    <w:rPr>
                      <w:rFonts w:cs="Arial"/>
                      <w:szCs w:val="18"/>
                    </w:rPr>
                  </w:pPr>
                  <w:r w:rsidRPr="00D51736">
                    <w:rPr>
                      <w:rFonts w:cs="Arial"/>
                      <w:szCs w:val="18"/>
                    </w:rPr>
                    <w:t>3.8</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772BBB43" w14:textId="77777777" w:rsidR="004A3151" w:rsidRPr="00D51736" w:rsidRDefault="004A3151" w:rsidP="004537BA">
                  <w:pPr>
                    <w:pStyle w:val="TableBodyText"/>
                    <w:rPr>
                      <w:rFonts w:cs="Arial"/>
                      <w:szCs w:val="18"/>
                    </w:rPr>
                  </w:pPr>
                  <w:r w:rsidRPr="00D51736">
                    <w:rPr>
                      <w:rFonts w:cs="Arial"/>
                      <w:szCs w:val="18"/>
                    </w:rPr>
                    <w:t>9.5</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63BBF725" w14:textId="77777777" w:rsidR="004A3151" w:rsidRPr="00D51736" w:rsidRDefault="004A3151" w:rsidP="004537BA">
                  <w:pPr>
                    <w:pStyle w:val="TableBodyText"/>
                    <w:rPr>
                      <w:rFonts w:cs="Arial"/>
                      <w:szCs w:val="18"/>
                    </w:rPr>
                  </w:pPr>
                  <w:r w:rsidRPr="00D51736">
                    <w:rPr>
                      <w:rFonts w:cs="Arial"/>
                      <w:szCs w:val="18"/>
                    </w:rPr>
                    <w:t>5.8</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D051F62" w14:textId="77777777" w:rsidR="004A3151" w:rsidRPr="00D51736" w:rsidRDefault="004A3151" w:rsidP="004537BA">
                  <w:pPr>
                    <w:pStyle w:val="TableBodyText"/>
                    <w:rPr>
                      <w:rFonts w:cs="Arial"/>
                      <w:szCs w:val="18"/>
                    </w:rPr>
                  </w:pPr>
                  <w:r w:rsidRPr="00D51736">
                    <w:rPr>
                      <w:rFonts w:cs="Arial"/>
                      <w:szCs w:val="18"/>
                    </w:rPr>
                    <w:t>1.4</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0891BD62" w14:textId="77777777" w:rsidR="004A3151" w:rsidRPr="00D51736" w:rsidRDefault="004A3151" w:rsidP="004537BA">
                  <w:pPr>
                    <w:pStyle w:val="TableBodyText"/>
                    <w:rPr>
                      <w:rFonts w:cs="Arial"/>
                      <w:szCs w:val="18"/>
                    </w:rPr>
                  </w:pPr>
                  <w:r w:rsidRPr="00D51736">
                    <w:rPr>
                      <w:rFonts w:cs="Arial"/>
                      <w:szCs w:val="18"/>
                    </w:rPr>
                    <w:t>1.8</w:t>
                  </w:r>
                </w:p>
              </w:tc>
            </w:tr>
            <w:tr w:rsidR="004A3151" w14:paraId="65DAAC04"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C435A92" w14:textId="77777777" w:rsidR="004A3151" w:rsidRPr="00D51736" w:rsidRDefault="004A3151" w:rsidP="00D51736">
                  <w:pPr>
                    <w:pStyle w:val="TableBodyText"/>
                    <w:ind w:left="57"/>
                    <w:jc w:val="left"/>
                    <w:rPr>
                      <w:rFonts w:cs="Arial"/>
                      <w:szCs w:val="18"/>
                    </w:rPr>
                  </w:pPr>
                  <w:r w:rsidRPr="00D51736">
                    <w:rPr>
                      <w:rFonts w:cs="Arial"/>
                      <w:szCs w:val="18"/>
                    </w:rPr>
                    <w:t>Rental, hiring and real estate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EF6890E" w14:textId="77777777" w:rsidR="004A3151" w:rsidRPr="00D51736" w:rsidRDefault="004A3151" w:rsidP="004537BA">
                  <w:pPr>
                    <w:pStyle w:val="TableBodyText"/>
                    <w:rPr>
                      <w:rFonts w:cs="Arial"/>
                      <w:szCs w:val="18"/>
                    </w:rPr>
                  </w:pPr>
                  <w:r w:rsidRPr="00D51736">
                    <w:rPr>
                      <w:rFonts w:cs="Arial"/>
                      <w:szCs w:val="18"/>
                    </w:rPr>
                    <w:t>2.0</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72F494C8" w14:textId="77777777" w:rsidR="004A3151" w:rsidRPr="00D51736" w:rsidRDefault="004A3151" w:rsidP="004537BA">
                  <w:pPr>
                    <w:pStyle w:val="TableBodyText"/>
                    <w:rPr>
                      <w:rFonts w:cs="Arial"/>
                      <w:szCs w:val="18"/>
                    </w:rPr>
                  </w:pPr>
                  <w:r w:rsidRPr="00D51736">
                    <w:rPr>
                      <w:rFonts w:cs="Arial"/>
                      <w:szCs w:val="18"/>
                    </w:rPr>
                    <w:t>2.9</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BFCAD6D" w14:textId="77777777" w:rsidR="004A3151" w:rsidRPr="00D51736" w:rsidRDefault="004A3151" w:rsidP="004537BA">
                  <w:pPr>
                    <w:pStyle w:val="TableBodyText"/>
                    <w:rPr>
                      <w:rFonts w:cs="Arial"/>
                      <w:szCs w:val="18"/>
                    </w:rPr>
                  </w:pPr>
                  <w:r w:rsidRPr="00D51736">
                    <w:rPr>
                      <w:rFonts w:cs="Arial"/>
                      <w:szCs w:val="18"/>
                    </w:rPr>
                    <w:t>6.5</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795F050" w14:textId="77777777" w:rsidR="004A3151" w:rsidRPr="00D51736" w:rsidRDefault="004A3151" w:rsidP="004537BA">
                  <w:pPr>
                    <w:pStyle w:val="TableBodyText"/>
                    <w:rPr>
                      <w:rFonts w:cs="Arial"/>
                      <w:szCs w:val="18"/>
                    </w:rPr>
                  </w:pPr>
                  <w:r w:rsidRPr="00D51736">
                    <w:rPr>
                      <w:rFonts w:cs="Arial"/>
                      <w:szCs w:val="18"/>
                    </w:rPr>
                    <w:t>2.3</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6E30EC00" w14:textId="77777777" w:rsidR="004A3151" w:rsidRPr="00D51736" w:rsidRDefault="004A3151" w:rsidP="004537BA">
                  <w:pPr>
                    <w:pStyle w:val="TableBodyText"/>
                    <w:rPr>
                      <w:rFonts w:cs="Arial"/>
                      <w:szCs w:val="18"/>
                    </w:rPr>
                  </w:pPr>
                  <w:r w:rsidRPr="00D51736">
                    <w:rPr>
                      <w:rFonts w:cs="Arial"/>
                      <w:szCs w:val="18"/>
                    </w:rPr>
                    <w:t>2.7</w:t>
                  </w:r>
                </w:p>
              </w:tc>
            </w:tr>
            <w:tr w:rsidR="004A3151" w14:paraId="48D0826F"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1060493" w14:textId="77777777" w:rsidR="004A3151" w:rsidRPr="00D51736" w:rsidRDefault="004A3151" w:rsidP="00D51736">
                  <w:pPr>
                    <w:pStyle w:val="TableBodyText"/>
                    <w:ind w:left="57"/>
                    <w:jc w:val="left"/>
                    <w:rPr>
                      <w:rFonts w:cs="Arial"/>
                      <w:szCs w:val="18"/>
                    </w:rPr>
                  </w:pPr>
                  <w:r w:rsidRPr="00D51736">
                    <w:rPr>
                      <w:rFonts w:cs="Arial"/>
                      <w:szCs w:val="18"/>
                    </w:rPr>
                    <w:t>Professional, scientific and technical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EEA3D31" w14:textId="77777777" w:rsidR="004A3151" w:rsidRPr="00D51736" w:rsidRDefault="004A3151" w:rsidP="004537BA">
                  <w:pPr>
                    <w:pStyle w:val="TableBodyText"/>
                    <w:rPr>
                      <w:rFonts w:cs="Arial"/>
                      <w:szCs w:val="18"/>
                    </w:rPr>
                  </w:pPr>
                  <w:r w:rsidRPr="00D51736">
                    <w:rPr>
                      <w:rFonts w:cs="Arial"/>
                      <w:szCs w:val="18"/>
                    </w:rPr>
                    <w:t>2.9</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6B3A46B5" w14:textId="77777777" w:rsidR="004A3151" w:rsidRPr="00D51736" w:rsidRDefault="004A3151" w:rsidP="004537BA">
                  <w:pPr>
                    <w:pStyle w:val="TableBodyText"/>
                    <w:rPr>
                      <w:rFonts w:cs="Arial"/>
                      <w:szCs w:val="18"/>
                    </w:rPr>
                  </w:pPr>
                  <w:r w:rsidRPr="00D51736">
                    <w:rPr>
                      <w:rFonts w:cs="Arial"/>
                      <w:szCs w:val="18"/>
                    </w:rPr>
                    <w:t>7.3</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5B779A7" w14:textId="77777777" w:rsidR="004A3151" w:rsidRPr="00D51736" w:rsidRDefault="004A3151" w:rsidP="004537BA">
                  <w:pPr>
                    <w:pStyle w:val="TableBodyText"/>
                    <w:rPr>
                      <w:rFonts w:cs="Arial"/>
                      <w:szCs w:val="18"/>
                    </w:rPr>
                  </w:pPr>
                  <w:r w:rsidRPr="00D51736">
                    <w:rPr>
                      <w:rFonts w:cs="Arial"/>
                      <w:szCs w:val="18"/>
                    </w:rPr>
                    <w:t>9.4</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AC2C4B9" w14:textId="77777777" w:rsidR="004A3151" w:rsidRPr="00D51736" w:rsidRDefault="004A3151" w:rsidP="004537BA">
                  <w:pPr>
                    <w:pStyle w:val="TableBodyText"/>
                    <w:rPr>
                      <w:rFonts w:cs="Arial"/>
                      <w:szCs w:val="18"/>
                    </w:rPr>
                  </w:pPr>
                  <w:r w:rsidRPr="00D51736">
                    <w:rPr>
                      <w:rFonts w:cs="Arial"/>
                      <w:szCs w:val="18"/>
                    </w:rPr>
                    <w:t>3.7</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7D01CADD" w14:textId="77777777" w:rsidR="004A3151" w:rsidRPr="00D51736" w:rsidRDefault="004A3151" w:rsidP="004537BA">
                  <w:pPr>
                    <w:pStyle w:val="TableBodyText"/>
                    <w:rPr>
                      <w:rFonts w:cs="Arial"/>
                      <w:szCs w:val="18"/>
                    </w:rPr>
                  </w:pPr>
                  <w:r w:rsidRPr="00D51736">
                    <w:rPr>
                      <w:rFonts w:cs="Arial"/>
                      <w:szCs w:val="18"/>
                    </w:rPr>
                    <w:t>3.2</w:t>
                  </w:r>
                </w:p>
              </w:tc>
            </w:tr>
            <w:tr w:rsidR="004A3151" w14:paraId="7D61C910"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228C9CC" w14:textId="77777777" w:rsidR="004A3151" w:rsidRPr="00D51736" w:rsidRDefault="004A3151" w:rsidP="00D51736">
                  <w:pPr>
                    <w:pStyle w:val="TableBodyText"/>
                    <w:ind w:left="57"/>
                    <w:jc w:val="left"/>
                    <w:rPr>
                      <w:rFonts w:cs="Arial"/>
                      <w:szCs w:val="18"/>
                    </w:rPr>
                  </w:pPr>
                  <w:r w:rsidRPr="00D51736">
                    <w:rPr>
                      <w:rFonts w:cs="Arial"/>
                      <w:szCs w:val="18"/>
                    </w:rPr>
                    <w:t>Administrative and support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1D2590B" w14:textId="77777777" w:rsidR="004A3151" w:rsidRPr="00D51736" w:rsidRDefault="004A3151" w:rsidP="004537BA">
                  <w:pPr>
                    <w:pStyle w:val="TableBodyText"/>
                    <w:rPr>
                      <w:rFonts w:cs="Arial"/>
                      <w:szCs w:val="18"/>
                    </w:rPr>
                  </w:pPr>
                  <w:r w:rsidRPr="00D51736">
                    <w:rPr>
                      <w:rFonts w:cs="Arial"/>
                      <w:szCs w:val="18"/>
                    </w:rPr>
                    <w:t>1.4</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2DAEF535" w14:textId="77777777" w:rsidR="004A3151" w:rsidRPr="00D51736" w:rsidRDefault="004A3151" w:rsidP="004537BA">
                  <w:pPr>
                    <w:pStyle w:val="TableBodyText"/>
                    <w:rPr>
                      <w:rFonts w:cs="Arial"/>
                      <w:szCs w:val="18"/>
                    </w:rPr>
                  </w:pPr>
                  <w:r w:rsidRPr="00D51736">
                    <w:rPr>
                      <w:rFonts w:cs="Arial"/>
                      <w:szCs w:val="18"/>
                    </w:rPr>
                    <w:t>3.5</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C01C68D" w14:textId="77777777" w:rsidR="004A3151" w:rsidRPr="00D51736" w:rsidRDefault="004A3151" w:rsidP="004537BA">
                  <w:pPr>
                    <w:pStyle w:val="TableBodyText"/>
                    <w:rPr>
                      <w:rFonts w:cs="Arial"/>
                      <w:szCs w:val="18"/>
                    </w:rPr>
                  </w:pPr>
                  <w:r w:rsidRPr="00D51736">
                    <w:rPr>
                      <w:rFonts w:cs="Arial"/>
                      <w:szCs w:val="18"/>
                    </w:rPr>
                    <w:t>11.6</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B2ACFF6" w14:textId="77777777" w:rsidR="004A3151" w:rsidRPr="00D51736" w:rsidRDefault="004A3151" w:rsidP="004537BA">
                  <w:pPr>
                    <w:pStyle w:val="TableBodyText"/>
                    <w:rPr>
                      <w:rFonts w:cs="Arial"/>
                      <w:szCs w:val="18"/>
                    </w:rPr>
                  </w:pPr>
                  <w:r w:rsidRPr="00D51736">
                    <w:rPr>
                      <w:rFonts w:cs="Arial"/>
                      <w:szCs w:val="18"/>
                    </w:rPr>
                    <w:t>1.9</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478E7D0" w14:textId="77777777" w:rsidR="004A3151" w:rsidRPr="00D51736" w:rsidRDefault="004A3151" w:rsidP="004537BA">
                  <w:pPr>
                    <w:pStyle w:val="TableBodyText"/>
                    <w:rPr>
                      <w:rFonts w:cs="Arial"/>
                      <w:szCs w:val="18"/>
                    </w:rPr>
                  </w:pPr>
                  <w:r w:rsidRPr="00D51736">
                    <w:rPr>
                      <w:rFonts w:cs="Arial"/>
                      <w:szCs w:val="18"/>
                    </w:rPr>
                    <w:t>1.5</w:t>
                  </w:r>
                </w:p>
              </w:tc>
            </w:tr>
            <w:tr w:rsidR="004A3151" w14:paraId="6B5BC96D"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B6B54FD" w14:textId="77777777" w:rsidR="004A3151" w:rsidRPr="00D51736" w:rsidRDefault="004A3151" w:rsidP="00D51736">
                  <w:pPr>
                    <w:pStyle w:val="TableBodyText"/>
                    <w:ind w:left="57"/>
                    <w:jc w:val="left"/>
                    <w:rPr>
                      <w:rFonts w:cs="Arial"/>
                      <w:szCs w:val="18"/>
                    </w:rPr>
                  </w:pPr>
                  <w:r w:rsidRPr="00D51736">
                    <w:rPr>
                      <w:rFonts w:cs="Arial"/>
                      <w:szCs w:val="18"/>
                    </w:rPr>
                    <w:t>Public administration and safety</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FA83039" w14:textId="77777777" w:rsidR="004A3151" w:rsidRPr="00D51736" w:rsidRDefault="004A3151" w:rsidP="004537BA">
                  <w:pPr>
                    <w:pStyle w:val="TableBodyText"/>
                    <w:rPr>
                      <w:rFonts w:cs="Arial"/>
                      <w:szCs w:val="18"/>
                    </w:rPr>
                  </w:pPr>
                  <w:r w:rsidRPr="00D51736">
                    <w:rPr>
                      <w:rFonts w:cs="Arial"/>
                      <w:szCs w:val="18"/>
                    </w:rPr>
                    <w:t>8.0</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024ECB09" w14:textId="77777777" w:rsidR="004A3151" w:rsidRPr="00D51736" w:rsidRDefault="004A3151" w:rsidP="004537BA">
                  <w:pPr>
                    <w:pStyle w:val="TableBodyText"/>
                    <w:rPr>
                      <w:rFonts w:cs="Arial"/>
                      <w:szCs w:val="18"/>
                    </w:rPr>
                  </w:pPr>
                  <w:r w:rsidRPr="00D51736">
                    <w:rPr>
                      <w:rFonts w:cs="Arial"/>
                      <w:szCs w:val="18"/>
                    </w:rPr>
                    <w:t>5.5</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3CFC0F5" w14:textId="77777777" w:rsidR="004A3151" w:rsidRPr="00D51736" w:rsidRDefault="004A3151" w:rsidP="004537BA">
                  <w:pPr>
                    <w:pStyle w:val="TableBodyText"/>
                    <w:rPr>
                      <w:rFonts w:cs="Arial"/>
                      <w:szCs w:val="18"/>
                    </w:rPr>
                  </w:pPr>
                  <w:r w:rsidRPr="00D51736">
                    <w:rPr>
                      <w:rFonts w:cs="Arial"/>
                      <w:szCs w:val="18"/>
                    </w:rPr>
                    <w:t>3.2</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42A42AE" w14:textId="77777777" w:rsidR="004A3151" w:rsidRPr="00D51736" w:rsidRDefault="004A3151" w:rsidP="004537BA">
                  <w:pPr>
                    <w:pStyle w:val="TableBodyText"/>
                    <w:rPr>
                      <w:rFonts w:cs="Arial"/>
                      <w:szCs w:val="18"/>
                    </w:rPr>
                  </w:pPr>
                  <w:r w:rsidRPr="00D51736">
                    <w:rPr>
                      <w:rFonts w:cs="Arial"/>
                      <w:szCs w:val="18"/>
                    </w:rPr>
                    <w:t>2.6</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44D0F97" w14:textId="77777777" w:rsidR="004A3151" w:rsidRPr="00D51736" w:rsidRDefault="004A3151" w:rsidP="004537BA">
                  <w:pPr>
                    <w:pStyle w:val="TableBodyText"/>
                    <w:rPr>
                      <w:rFonts w:cs="Arial"/>
                      <w:szCs w:val="18"/>
                    </w:rPr>
                  </w:pPr>
                  <w:r w:rsidRPr="00D51736">
                    <w:rPr>
                      <w:rFonts w:cs="Arial"/>
                      <w:szCs w:val="18"/>
                    </w:rPr>
                    <w:t>2.5</w:t>
                  </w:r>
                </w:p>
              </w:tc>
            </w:tr>
            <w:tr w:rsidR="004A3151" w14:paraId="08FE320B"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B4B55EE" w14:textId="77777777" w:rsidR="004A3151" w:rsidRPr="00D51736" w:rsidRDefault="004A3151" w:rsidP="00D51736">
                  <w:pPr>
                    <w:pStyle w:val="TableBodyText"/>
                    <w:ind w:left="57"/>
                    <w:jc w:val="left"/>
                    <w:rPr>
                      <w:rFonts w:cs="Arial"/>
                      <w:szCs w:val="18"/>
                    </w:rPr>
                  </w:pPr>
                  <w:r w:rsidRPr="00D51736">
                    <w:rPr>
                      <w:rFonts w:cs="Arial"/>
                      <w:szCs w:val="18"/>
                    </w:rPr>
                    <w:t>Education and training</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42C64B3" w14:textId="77777777" w:rsidR="004A3151" w:rsidRPr="00D51736" w:rsidRDefault="004A3151" w:rsidP="004537BA">
                  <w:pPr>
                    <w:pStyle w:val="TableBodyText"/>
                    <w:rPr>
                      <w:rFonts w:cs="Arial"/>
                      <w:szCs w:val="18"/>
                    </w:rPr>
                  </w:pPr>
                  <w:r w:rsidRPr="00D51736">
                    <w:rPr>
                      <w:rFonts w:cs="Arial"/>
                      <w:szCs w:val="18"/>
                    </w:rPr>
                    <w:t>4.0</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46200DAE" w14:textId="77777777" w:rsidR="004A3151" w:rsidRPr="00D51736" w:rsidRDefault="004A3151" w:rsidP="004537BA">
                  <w:pPr>
                    <w:pStyle w:val="TableBodyText"/>
                    <w:rPr>
                      <w:rFonts w:cs="Arial"/>
                      <w:szCs w:val="18"/>
                    </w:rPr>
                  </w:pPr>
                  <w:r w:rsidRPr="00D51736">
                    <w:rPr>
                      <w:rFonts w:cs="Arial"/>
                      <w:szCs w:val="18"/>
                    </w:rPr>
                    <w:t>5.2</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6B9A034" w14:textId="77777777" w:rsidR="004A3151" w:rsidRPr="00D51736" w:rsidRDefault="004A3151" w:rsidP="004537BA">
                  <w:pPr>
                    <w:pStyle w:val="TableBodyText"/>
                    <w:rPr>
                      <w:rFonts w:cs="Arial"/>
                      <w:szCs w:val="18"/>
                    </w:rPr>
                  </w:pPr>
                  <w:r w:rsidRPr="00D51736">
                    <w:rPr>
                      <w:rFonts w:cs="Arial"/>
                      <w:szCs w:val="18"/>
                    </w:rPr>
                    <w:t>2.8</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A43DC7C" w14:textId="77777777" w:rsidR="004A3151" w:rsidRPr="00D51736" w:rsidRDefault="004A3151" w:rsidP="004537BA">
                  <w:pPr>
                    <w:pStyle w:val="TableBodyText"/>
                    <w:rPr>
                      <w:rFonts w:cs="Arial"/>
                      <w:szCs w:val="18"/>
                    </w:rPr>
                  </w:pPr>
                  <w:r w:rsidRPr="00D51736">
                    <w:rPr>
                      <w:rFonts w:cs="Arial"/>
                      <w:szCs w:val="18"/>
                    </w:rPr>
                    <w:t>1.6</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086E429D" w14:textId="77777777" w:rsidR="004A3151" w:rsidRPr="00D51736" w:rsidRDefault="004A3151" w:rsidP="004537BA">
                  <w:pPr>
                    <w:pStyle w:val="TableBodyText"/>
                    <w:rPr>
                      <w:rFonts w:cs="Arial"/>
                      <w:szCs w:val="18"/>
                    </w:rPr>
                  </w:pPr>
                  <w:r w:rsidRPr="00D51736">
                    <w:rPr>
                      <w:rFonts w:cs="Arial"/>
                      <w:szCs w:val="18"/>
                    </w:rPr>
                    <w:t>1.4</w:t>
                  </w:r>
                </w:p>
              </w:tc>
            </w:tr>
            <w:tr w:rsidR="004A3151" w14:paraId="187C7EA3"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AD27B88" w14:textId="77777777" w:rsidR="004A3151" w:rsidRPr="00D51736" w:rsidRDefault="004A3151" w:rsidP="00D51736">
                  <w:pPr>
                    <w:pStyle w:val="TableBodyText"/>
                    <w:ind w:left="57"/>
                    <w:jc w:val="left"/>
                    <w:rPr>
                      <w:rFonts w:cs="Arial"/>
                      <w:szCs w:val="18"/>
                    </w:rPr>
                  </w:pPr>
                  <w:r w:rsidRPr="00D51736">
                    <w:rPr>
                      <w:rFonts w:cs="Arial"/>
                      <w:szCs w:val="18"/>
                    </w:rPr>
                    <w:t>Health care and social assistance</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17D9D857" w14:textId="77777777" w:rsidR="004A3151" w:rsidRPr="00D51736" w:rsidRDefault="004A3151" w:rsidP="004537BA">
                  <w:pPr>
                    <w:pStyle w:val="TableBodyText"/>
                    <w:rPr>
                      <w:rFonts w:cs="Arial"/>
                      <w:szCs w:val="18"/>
                    </w:rPr>
                  </w:pPr>
                  <w:r w:rsidRPr="00D51736">
                    <w:rPr>
                      <w:rFonts w:cs="Arial"/>
                      <w:szCs w:val="18"/>
                    </w:rPr>
                    <w:t>4.4</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1B4D4378" w14:textId="77777777" w:rsidR="004A3151" w:rsidRPr="00D51736" w:rsidRDefault="004A3151" w:rsidP="004537BA">
                  <w:pPr>
                    <w:pStyle w:val="TableBodyText"/>
                    <w:rPr>
                      <w:rFonts w:cs="Arial"/>
                      <w:szCs w:val="18"/>
                    </w:rPr>
                  </w:pPr>
                  <w:r w:rsidRPr="00D51736">
                    <w:rPr>
                      <w:rFonts w:cs="Arial"/>
                      <w:szCs w:val="18"/>
                    </w:rPr>
                    <w:t>7.5</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E221F77" w14:textId="77777777" w:rsidR="004A3151" w:rsidRPr="00D51736" w:rsidRDefault="004A3151" w:rsidP="004537BA">
                  <w:pPr>
                    <w:pStyle w:val="TableBodyText"/>
                    <w:rPr>
                      <w:rFonts w:cs="Arial"/>
                      <w:szCs w:val="18"/>
                    </w:rPr>
                  </w:pPr>
                  <w:r w:rsidRPr="00D51736">
                    <w:rPr>
                      <w:rFonts w:cs="Arial"/>
                      <w:szCs w:val="18"/>
                    </w:rPr>
                    <w:t>4.3</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E1E265E" w14:textId="77777777" w:rsidR="004A3151" w:rsidRPr="00D51736" w:rsidRDefault="004A3151" w:rsidP="004537BA">
                  <w:pPr>
                    <w:pStyle w:val="TableBodyText"/>
                    <w:rPr>
                      <w:rFonts w:cs="Arial"/>
                      <w:szCs w:val="18"/>
                    </w:rPr>
                  </w:pPr>
                  <w:r w:rsidRPr="00D51736">
                    <w:rPr>
                      <w:rFonts w:cs="Arial"/>
                      <w:szCs w:val="18"/>
                    </w:rPr>
                    <w:t>3.8</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65B2D404" w14:textId="77777777" w:rsidR="004A3151" w:rsidRPr="00D51736" w:rsidRDefault="004A3151" w:rsidP="004537BA">
                  <w:pPr>
                    <w:pStyle w:val="TableBodyText"/>
                    <w:rPr>
                      <w:rFonts w:cs="Arial"/>
                      <w:szCs w:val="18"/>
                    </w:rPr>
                  </w:pPr>
                  <w:r w:rsidRPr="00D51736">
                    <w:rPr>
                      <w:rFonts w:cs="Arial"/>
                      <w:szCs w:val="18"/>
                    </w:rPr>
                    <w:t>3.2</w:t>
                  </w:r>
                </w:p>
              </w:tc>
            </w:tr>
            <w:tr w:rsidR="004A3151" w14:paraId="30172565"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B12FD3E" w14:textId="77777777" w:rsidR="004A3151" w:rsidRPr="00D51736" w:rsidRDefault="004A3151" w:rsidP="00D51736">
                  <w:pPr>
                    <w:pStyle w:val="TableBodyText"/>
                    <w:ind w:left="57"/>
                    <w:jc w:val="left"/>
                    <w:rPr>
                      <w:rFonts w:cs="Arial"/>
                      <w:szCs w:val="18"/>
                    </w:rPr>
                  </w:pPr>
                  <w:r w:rsidRPr="00D51736">
                    <w:rPr>
                      <w:rFonts w:cs="Arial"/>
                      <w:szCs w:val="18"/>
                    </w:rPr>
                    <w:t>Arts and recreation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228A1F0C" w14:textId="77777777" w:rsidR="004A3151" w:rsidRPr="00D51736" w:rsidRDefault="004A3151" w:rsidP="004537BA">
                  <w:pPr>
                    <w:pStyle w:val="TableBodyText"/>
                    <w:rPr>
                      <w:rFonts w:cs="Arial"/>
                      <w:szCs w:val="18"/>
                    </w:rPr>
                  </w:pPr>
                  <w:r w:rsidRPr="00D51736">
                    <w:rPr>
                      <w:rFonts w:cs="Arial"/>
                      <w:szCs w:val="18"/>
                    </w:rPr>
                    <w:t>0.7</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27D5DC03" w14:textId="77777777" w:rsidR="004A3151" w:rsidRPr="00D51736" w:rsidRDefault="004A3151" w:rsidP="004537BA">
                  <w:pPr>
                    <w:pStyle w:val="TableBodyText"/>
                    <w:rPr>
                      <w:rFonts w:cs="Arial"/>
                      <w:szCs w:val="18"/>
                    </w:rPr>
                  </w:pPr>
                  <w:r w:rsidRPr="00D51736">
                    <w:rPr>
                      <w:rFonts w:cs="Arial"/>
                      <w:szCs w:val="18"/>
                    </w:rPr>
                    <w:t>0.9</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26631F6" w14:textId="77777777" w:rsidR="004A3151" w:rsidRPr="00D51736" w:rsidRDefault="004A3151" w:rsidP="004537BA">
                  <w:pPr>
                    <w:pStyle w:val="TableBodyText"/>
                    <w:rPr>
                      <w:rFonts w:cs="Arial"/>
                      <w:szCs w:val="18"/>
                    </w:rPr>
                  </w:pPr>
                  <w:r w:rsidRPr="00D51736">
                    <w:rPr>
                      <w:rFonts w:cs="Arial"/>
                      <w:szCs w:val="18"/>
                    </w:rPr>
                    <w:t>5.8</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35978029" w14:textId="77777777" w:rsidR="004A3151" w:rsidRPr="00D51736" w:rsidRDefault="004A3151" w:rsidP="004537BA">
                  <w:pPr>
                    <w:pStyle w:val="TableBodyText"/>
                    <w:rPr>
                      <w:rFonts w:cs="Arial"/>
                      <w:szCs w:val="18"/>
                    </w:rPr>
                  </w:pPr>
                  <w:r w:rsidRPr="00D51736">
                    <w:rPr>
                      <w:rFonts w:cs="Arial"/>
                      <w:szCs w:val="18"/>
                    </w:rPr>
                    <w:t>3.3</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01C7DEA" w14:textId="77777777" w:rsidR="004A3151" w:rsidRPr="00D51736" w:rsidRDefault="004A3151" w:rsidP="004537BA">
                  <w:pPr>
                    <w:pStyle w:val="TableBodyText"/>
                    <w:rPr>
                      <w:rFonts w:cs="Arial"/>
                      <w:szCs w:val="18"/>
                    </w:rPr>
                  </w:pPr>
                  <w:r w:rsidRPr="00D51736">
                    <w:rPr>
                      <w:rFonts w:cs="Arial"/>
                      <w:szCs w:val="18"/>
                    </w:rPr>
                    <w:t>3.3</w:t>
                  </w:r>
                </w:p>
              </w:tc>
            </w:tr>
            <w:tr w:rsidR="004A3151" w14:paraId="5D065544"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3024DB1" w14:textId="77777777" w:rsidR="004A3151" w:rsidRPr="00D51736" w:rsidRDefault="004A3151" w:rsidP="00D51736">
                  <w:pPr>
                    <w:pStyle w:val="TableBodyText"/>
                    <w:ind w:left="57"/>
                    <w:jc w:val="left"/>
                    <w:rPr>
                      <w:rFonts w:cs="Arial"/>
                      <w:szCs w:val="18"/>
                    </w:rPr>
                  </w:pPr>
                  <w:r w:rsidRPr="00D51736">
                    <w:rPr>
                      <w:rFonts w:cs="Arial"/>
                      <w:szCs w:val="18"/>
                    </w:rPr>
                    <w:t>Other services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A6B230C" w14:textId="77777777" w:rsidR="004A3151" w:rsidRPr="00D51736" w:rsidRDefault="004A3151" w:rsidP="004537BA">
                  <w:pPr>
                    <w:pStyle w:val="TableBodyText"/>
                    <w:rPr>
                      <w:rFonts w:cs="Arial"/>
                      <w:szCs w:val="18"/>
                    </w:rPr>
                  </w:pPr>
                  <w:r w:rsidRPr="00D51736">
                    <w:rPr>
                      <w:rFonts w:cs="Arial"/>
                      <w:szCs w:val="18"/>
                    </w:rPr>
                    <w:t>1.8</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4B2C2920" w14:textId="77777777" w:rsidR="004A3151" w:rsidRPr="00D51736" w:rsidRDefault="004A3151" w:rsidP="004537BA">
                  <w:pPr>
                    <w:pStyle w:val="TableBodyText"/>
                    <w:rPr>
                      <w:rFonts w:cs="Arial"/>
                      <w:szCs w:val="18"/>
                    </w:rPr>
                  </w:pPr>
                  <w:r w:rsidRPr="00D51736">
                    <w:rPr>
                      <w:rFonts w:cs="Arial"/>
                      <w:szCs w:val="18"/>
                    </w:rPr>
                    <w:t>1.9</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8329012" w14:textId="77777777" w:rsidR="004A3151" w:rsidRPr="00D51736" w:rsidRDefault="004A3151" w:rsidP="004537BA">
                  <w:pPr>
                    <w:pStyle w:val="TableBodyText"/>
                    <w:rPr>
                      <w:rFonts w:cs="Arial"/>
                      <w:szCs w:val="18"/>
                    </w:rPr>
                  </w:pPr>
                  <w:r w:rsidRPr="00D51736">
                    <w:rPr>
                      <w:rFonts w:cs="Arial"/>
                      <w:szCs w:val="18"/>
                    </w:rPr>
                    <w:t>7.7</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6CE0331" w14:textId="77777777" w:rsidR="004A3151" w:rsidRPr="00D51736" w:rsidRDefault="004A3151" w:rsidP="004537BA">
                  <w:pPr>
                    <w:pStyle w:val="TableBodyText"/>
                    <w:rPr>
                      <w:rFonts w:cs="Arial"/>
                      <w:szCs w:val="18"/>
                    </w:rPr>
                  </w:pPr>
                  <w:r w:rsidRPr="00D51736">
                    <w:rPr>
                      <w:rFonts w:cs="Arial"/>
                      <w:szCs w:val="18"/>
                    </w:rPr>
                    <w:t>6.8</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685D43FE" w14:textId="77777777" w:rsidR="004A3151" w:rsidRPr="00D51736" w:rsidRDefault="004A3151" w:rsidP="004537BA">
                  <w:pPr>
                    <w:pStyle w:val="TableBodyText"/>
                    <w:rPr>
                      <w:rFonts w:cs="Arial"/>
                      <w:szCs w:val="18"/>
                    </w:rPr>
                  </w:pPr>
                  <w:r w:rsidRPr="00D51736">
                    <w:rPr>
                      <w:rFonts w:cs="Arial"/>
                      <w:szCs w:val="18"/>
                    </w:rPr>
                    <w:t>6.0</w:t>
                  </w:r>
                </w:p>
              </w:tc>
            </w:tr>
            <w:tr w:rsidR="008C14B7" w14:paraId="7C870BF8" w14:textId="77777777" w:rsidTr="00A179D2">
              <w:tc>
                <w:tcPr>
                  <w:tcW w:w="1986" w:type="pct"/>
                  <w:tcBorders>
                    <w:top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5702046B" w14:textId="77777777" w:rsidR="004A3151" w:rsidRPr="00D51736" w:rsidRDefault="004A3151" w:rsidP="00D51736">
                  <w:pPr>
                    <w:pStyle w:val="TableBodyText"/>
                    <w:ind w:left="57"/>
                    <w:jc w:val="left"/>
                    <w:rPr>
                      <w:rFonts w:cs="Arial"/>
                      <w:szCs w:val="18"/>
                    </w:rPr>
                  </w:pPr>
                  <w:r w:rsidRPr="00D51736">
                    <w:rPr>
                      <w:rFonts w:cs="Arial"/>
                      <w:szCs w:val="18"/>
                    </w:rPr>
                    <w:t>Ownership of dwellings</w:t>
                  </w:r>
                </w:p>
              </w:tc>
              <w:tc>
                <w:tcPr>
                  <w:tcW w:w="475"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03705A3C" w14:textId="77777777" w:rsidR="004A3151" w:rsidRPr="00D51736" w:rsidRDefault="004A3151" w:rsidP="004537BA">
                  <w:pPr>
                    <w:pStyle w:val="TableBodyText"/>
                    <w:rPr>
                      <w:rFonts w:cs="Arial"/>
                      <w:szCs w:val="18"/>
                    </w:rPr>
                  </w:pPr>
                  <w:r w:rsidRPr="00D51736">
                    <w:rPr>
                      <w:rFonts w:cs="Arial"/>
                      <w:szCs w:val="18"/>
                    </w:rPr>
                    <w:t>4.7</w:t>
                  </w:r>
                </w:p>
              </w:tc>
              <w:tc>
                <w:tcPr>
                  <w:tcW w:w="507" w:type="pct"/>
                  <w:tcBorders>
                    <w:top w:val="single" w:sz="6" w:space="0" w:color="FFFFFF" w:themeColor="background1"/>
                    <w:left w:val="single" w:sz="6" w:space="0" w:color="FFFFFF" w:themeColor="background1"/>
                    <w:bottom w:val="single" w:sz="6" w:space="0" w:color="FFFFFF" w:themeColor="background1"/>
                    <w:right w:val="single" w:sz="48" w:space="0" w:color="FFFFFF" w:themeColor="background1"/>
                  </w:tcBorders>
                  <w:shd w:val="clear" w:color="auto" w:fill="E0F1F7" w:themeFill="text2" w:themeFillTint="33"/>
                </w:tcPr>
                <w:p w14:paraId="08426FB7" w14:textId="77777777" w:rsidR="004A3151" w:rsidRPr="00D51736" w:rsidRDefault="004A3151" w:rsidP="004537BA">
                  <w:pPr>
                    <w:pStyle w:val="TableBodyText"/>
                    <w:rPr>
                      <w:rFonts w:cs="Arial"/>
                      <w:szCs w:val="18"/>
                    </w:rPr>
                  </w:pPr>
                  <w:r w:rsidRPr="00D51736">
                    <w:rPr>
                      <w:rFonts w:cs="Arial"/>
                      <w:szCs w:val="18"/>
                    </w:rPr>
                    <w:t>8.3</w:t>
                  </w:r>
                </w:p>
              </w:tc>
              <w:tc>
                <w:tcPr>
                  <w:tcW w:w="676" w:type="pct"/>
                  <w:tcBorders>
                    <w:top w:val="single" w:sz="6" w:space="0" w:color="FFFFFF" w:themeColor="background1"/>
                    <w:left w:val="single" w:sz="48"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77C470A1" w14:textId="77777777" w:rsidR="004A3151" w:rsidRPr="00D51736" w:rsidRDefault="004A3151" w:rsidP="004537BA">
                  <w:pPr>
                    <w:pStyle w:val="TableBodyText"/>
                    <w:rPr>
                      <w:rFonts w:cs="Arial"/>
                      <w:szCs w:val="18"/>
                    </w:rPr>
                  </w:pPr>
                  <w:r w:rsidRPr="00D51736">
                    <w:rPr>
                      <w:rFonts w:cs="Arial"/>
                      <w:szCs w:val="18"/>
                    </w:rPr>
                    <w:t>3.0</w:t>
                  </w:r>
                </w:p>
              </w:tc>
              <w:tc>
                <w:tcPr>
                  <w:tcW w:w="68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0F1F7" w:themeFill="text2" w:themeFillTint="33"/>
                </w:tcPr>
                <w:p w14:paraId="4621D6AF" w14:textId="77777777" w:rsidR="004A3151" w:rsidRPr="00D51736" w:rsidRDefault="004A3151" w:rsidP="004537BA">
                  <w:pPr>
                    <w:pStyle w:val="TableBodyText"/>
                    <w:rPr>
                      <w:rFonts w:cs="Arial"/>
                      <w:szCs w:val="18"/>
                    </w:rPr>
                  </w:pPr>
                  <w:r w:rsidRPr="00D51736">
                    <w:rPr>
                      <w:rFonts w:cs="Arial"/>
                      <w:szCs w:val="18"/>
                    </w:rPr>
                    <w:t>1.5</w:t>
                  </w:r>
                </w:p>
              </w:tc>
              <w:tc>
                <w:tcPr>
                  <w:tcW w:w="676" w:type="pct"/>
                  <w:tcBorders>
                    <w:top w:val="single" w:sz="6" w:space="0" w:color="FFFFFF" w:themeColor="background1"/>
                    <w:left w:val="single" w:sz="6" w:space="0" w:color="FFFFFF" w:themeColor="background1"/>
                    <w:bottom w:val="single" w:sz="6" w:space="0" w:color="FFFFFF" w:themeColor="background1"/>
                  </w:tcBorders>
                  <w:shd w:val="clear" w:color="auto" w:fill="E0F1F7" w:themeFill="text2" w:themeFillTint="33"/>
                </w:tcPr>
                <w:p w14:paraId="1B35DDB4" w14:textId="77777777" w:rsidR="004A3151" w:rsidRPr="00D51736" w:rsidRDefault="004A3151" w:rsidP="004537BA">
                  <w:pPr>
                    <w:pStyle w:val="TableBodyText"/>
                    <w:rPr>
                      <w:rFonts w:cs="Arial"/>
                      <w:szCs w:val="18"/>
                    </w:rPr>
                  </w:pPr>
                  <w:r w:rsidRPr="00D51736">
                    <w:rPr>
                      <w:rFonts w:cs="Arial"/>
                      <w:szCs w:val="18"/>
                    </w:rPr>
                    <w:t>1.7</w:t>
                  </w:r>
                </w:p>
              </w:tc>
            </w:tr>
            <w:tr w:rsidR="008C14B7" w14:paraId="7B5861D6" w14:textId="77777777" w:rsidTr="00A179D2">
              <w:tc>
                <w:tcPr>
                  <w:tcW w:w="1986" w:type="pct"/>
                  <w:tcBorders>
                    <w:top w:val="single" w:sz="6" w:space="0" w:color="FFFFFF" w:themeColor="background1"/>
                    <w:bottom w:val="single" w:sz="12" w:space="0" w:color="FFFFFF" w:themeColor="background1"/>
                    <w:right w:val="single" w:sz="6" w:space="0" w:color="FFFFFF" w:themeColor="background1"/>
                  </w:tcBorders>
                  <w:shd w:val="clear" w:color="auto" w:fill="A2D6E9" w:themeFill="text2" w:themeFillTint="99"/>
                </w:tcPr>
                <w:p w14:paraId="63E3112B" w14:textId="77777777" w:rsidR="004A3151" w:rsidRPr="00D51736" w:rsidRDefault="004A3151" w:rsidP="00D51736">
                  <w:pPr>
                    <w:pStyle w:val="TableBodyText"/>
                    <w:spacing w:after="80"/>
                    <w:ind w:left="113"/>
                    <w:jc w:val="left"/>
                    <w:rPr>
                      <w:rFonts w:cs="Arial"/>
                      <w:szCs w:val="18"/>
                    </w:rPr>
                  </w:pPr>
                  <w:r w:rsidRPr="00D51736">
                    <w:rPr>
                      <w:rFonts w:cs="Arial"/>
                      <w:b/>
                      <w:szCs w:val="18"/>
                    </w:rPr>
                    <w:t>All industries</w:t>
                  </w:r>
                </w:p>
              </w:tc>
              <w:tc>
                <w:tcPr>
                  <w:tcW w:w="475" w:type="pct"/>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A2D6E9" w:themeFill="text2" w:themeFillTint="99"/>
                </w:tcPr>
                <w:p w14:paraId="19168400" w14:textId="77777777" w:rsidR="004A3151" w:rsidRPr="00D51736" w:rsidRDefault="004A3151" w:rsidP="008C14B7">
                  <w:pPr>
                    <w:pStyle w:val="TableBodyText"/>
                    <w:spacing w:after="80"/>
                    <w:rPr>
                      <w:rFonts w:cs="Arial"/>
                      <w:szCs w:val="18"/>
                    </w:rPr>
                  </w:pPr>
                  <w:r w:rsidRPr="00D51736">
                    <w:rPr>
                      <w:rFonts w:cs="Arial"/>
                      <w:b/>
                      <w:szCs w:val="18"/>
                    </w:rPr>
                    <w:t>100.0</w:t>
                  </w:r>
                </w:p>
              </w:tc>
              <w:tc>
                <w:tcPr>
                  <w:tcW w:w="507" w:type="pct"/>
                  <w:tcBorders>
                    <w:top w:val="single" w:sz="6" w:space="0" w:color="FFFFFF" w:themeColor="background1"/>
                    <w:left w:val="single" w:sz="6" w:space="0" w:color="FFFFFF" w:themeColor="background1"/>
                    <w:bottom w:val="single" w:sz="12" w:space="0" w:color="FFFFFF" w:themeColor="background1"/>
                    <w:right w:val="single" w:sz="48" w:space="0" w:color="FFFFFF" w:themeColor="background1"/>
                  </w:tcBorders>
                  <w:shd w:val="clear" w:color="auto" w:fill="A2D6E9" w:themeFill="text2" w:themeFillTint="99"/>
                </w:tcPr>
                <w:p w14:paraId="0FD2C4A0" w14:textId="77777777" w:rsidR="004A3151" w:rsidRPr="00D51736" w:rsidRDefault="004A3151" w:rsidP="008C14B7">
                  <w:pPr>
                    <w:pStyle w:val="TableBodyText"/>
                    <w:spacing w:after="80"/>
                    <w:rPr>
                      <w:rFonts w:cs="Arial"/>
                      <w:szCs w:val="18"/>
                    </w:rPr>
                  </w:pPr>
                  <w:r w:rsidRPr="00D51736">
                    <w:rPr>
                      <w:rFonts w:cs="Arial"/>
                      <w:b/>
                      <w:szCs w:val="18"/>
                    </w:rPr>
                    <w:t>100.0</w:t>
                  </w:r>
                </w:p>
              </w:tc>
              <w:tc>
                <w:tcPr>
                  <w:tcW w:w="676" w:type="pct"/>
                  <w:tcBorders>
                    <w:top w:val="single" w:sz="6" w:space="0" w:color="FFFFFF" w:themeColor="background1"/>
                    <w:left w:val="single" w:sz="48" w:space="0" w:color="FFFFFF" w:themeColor="background1"/>
                    <w:bottom w:val="single" w:sz="12" w:space="0" w:color="FFFFFF" w:themeColor="background1"/>
                    <w:right w:val="single" w:sz="6" w:space="0" w:color="FFFFFF" w:themeColor="background1"/>
                  </w:tcBorders>
                  <w:shd w:val="clear" w:color="auto" w:fill="A2D6E9" w:themeFill="text2" w:themeFillTint="99"/>
                </w:tcPr>
                <w:p w14:paraId="23CDF2B0" w14:textId="77777777" w:rsidR="004A3151" w:rsidRPr="00D51736" w:rsidRDefault="004A3151" w:rsidP="008C14B7">
                  <w:pPr>
                    <w:pStyle w:val="TableBodyText"/>
                    <w:spacing w:after="80"/>
                    <w:rPr>
                      <w:rFonts w:cs="Arial"/>
                      <w:szCs w:val="18"/>
                    </w:rPr>
                  </w:pPr>
                  <w:r w:rsidRPr="00D51736">
                    <w:rPr>
                      <w:rFonts w:cs="Arial"/>
                      <w:b/>
                      <w:szCs w:val="18"/>
                    </w:rPr>
                    <w:t>4.0</w:t>
                  </w:r>
                </w:p>
              </w:tc>
              <w:tc>
                <w:tcPr>
                  <w:tcW w:w="680" w:type="pct"/>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A2D6E9" w:themeFill="text2" w:themeFillTint="99"/>
                </w:tcPr>
                <w:p w14:paraId="2EE40522" w14:textId="77777777" w:rsidR="004A3151" w:rsidRPr="00D51736" w:rsidRDefault="004A3151" w:rsidP="008C14B7">
                  <w:pPr>
                    <w:pStyle w:val="TableBodyText"/>
                    <w:spacing w:after="80"/>
                    <w:rPr>
                      <w:rFonts w:cs="Arial"/>
                      <w:szCs w:val="18"/>
                    </w:rPr>
                  </w:pPr>
                  <w:r w:rsidRPr="00D51736">
                    <w:rPr>
                      <w:rFonts w:cs="Arial"/>
                      <w:b/>
                      <w:szCs w:val="18"/>
                    </w:rPr>
                    <w:t>2.6</w:t>
                  </w:r>
                </w:p>
              </w:tc>
              <w:tc>
                <w:tcPr>
                  <w:tcW w:w="676" w:type="pct"/>
                  <w:tcBorders>
                    <w:top w:val="single" w:sz="6" w:space="0" w:color="FFFFFF" w:themeColor="background1"/>
                    <w:left w:val="single" w:sz="6" w:space="0" w:color="FFFFFF" w:themeColor="background1"/>
                    <w:bottom w:val="single" w:sz="12" w:space="0" w:color="FFFFFF" w:themeColor="background1"/>
                  </w:tcBorders>
                  <w:shd w:val="clear" w:color="auto" w:fill="A2D6E9" w:themeFill="text2" w:themeFillTint="99"/>
                </w:tcPr>
                <w:p w14:paraId="7CA5AFDB" w14:textId="77777777" w:rsidR="004A3151" w:rsidRPr="00D51736" w:rsidRDefault="004A3151" w:rsidP="008C14B7">
                  <w:pPr>
                    <w:pStyle w:val="TableBodyText"/>
                    <w:spacing w:after="80"/>
                    <w:rPr>
                      <w:rFonts w:cs="Arial"/>
                      <w:b/>
                      <w:szCs w:val="18"/>
                    </w:rPr>
                  </w:pPr>
                  <w:r w:rsidRPr="00D51736">
                    <w:rPr>
                      <w:rFonts w:cs="Arial"/>
                      <w:b/>
                      <w:szCs w:val="18"/>
                    </w:rPr>
                    <w:t>1.9</w:t>
                  </w:r>
                </w:p>
              </w:tc>
            </w:tr>
          </w:tbl>
          <w:p w14:paraId="08AE438F" w14:textId="77777777" w:rsidR="003C746D" w:rsidRDefault="003C746D" w:rsidP="00E51B43">
            <w:pPr>
              <w:pStyle w:val="Box"/>
            </w:pPr>
          </w:p>
        </w:tc>
      </w:tr>
      <w:tr w:rsidR="003C746D" w14:paraId="11AEA166" w14:textId="77777777" w:rsidTr="00E51B43">
        <w:tc>
          <w:tcPr>
            <w:tcW w:w="5000" w:type="pct"/>
            <w:tcBorders>
              <w:top w:val="nil"/>
              <w:left w:val="nil"/>
              <w:bottom w:val="nil"/>
              <w:right w:val="nil"/>
            </w:tcBorders>
            <w:shd w:val="clear" w:color="auto" w:fill="auto"/>
          </w:tcPr>
          <w:p w14:paraId="7DBB335E" w14:textId="77777777" w:rsidR="003C746D" w:rsidRDefault="00447324" w:rsidP="00E51B43">
            <w:pPr>
              <w:pStyle w:val="Note"/>
              <w:rPr>
                <w:i/>
              </w:rPr>
            </w:pPr>
            <w:r w:rsidRPr="008E77FE">
              <w:rPr>
                <w:rStyle w:val="NoteLabel"/>
              </w:rPr>
              <w:t>a</w:t>
            </w:r>
            <w:r>
              <w:rPr>
                <w:rStyle w:val="NoteLabel"/>
              </w:rPr>
              <w:t> </w:t>
            </w:r>
            <w:r>
              <w:t>1974</w:t>
            </w:r>
            <w:r>
              <w:noBreakHyphen/>
              <w:t>75 to 2017</w:t>
            </w:r>
            <w:r>
              <w:noBreakHyphen/>
              <w:t xml:space="preserve">18. </w:t>
            </w:r>
            <w:r>
              <w:rPr>
                <w:rStyle w:val="NoteLabel"/>
              </w:rPr>
              <w:t>b</w:t>
            </w:r>
            <w:r>
              <w:t> 2011</w:t>
            </w:r>
            <w:r>
              <w:noBreakHyphen/>
              <w:t>12 to 2017</w:t>
            </w:r>
            <w:r>
              <w:noBreakHyphen/>
              <w:t>18.</w:t>
            </w:r>
          </w:p>
        </w:tc>
      </w:tr>
      <w:tr w:rsidR="003C746D" w14:paraId="0D1CC082" w14:textId="77777777" w:rsidTr="00E51B43">
        <w:tc>
          <w:tcPr>
            <w:tcW w:w="5000" w:type="pct"/>
            <w:tcBorders>
              <w:top w:val="nil"/>
              <w:left w:val="nil"/>
              <w:bottom w:val="nil"/>
              <w:right w:val="nil"/>
            </w:tcBorders>
            <w:shd w:val="clear" w:color="auto" w:fill="auto"/>
          </w:tcPr>
          <w:p w14:paraId="73729075" w14:textId="37ABF188" w:rsidR="003C746D" w:rsidRPr="008C14B7" w:rsidRDefault="00447324" w:rsidP="005E10BA">
            <w:pPr>
              <w:pStyle w:val="Source"/>
              <w:rPr>
                <w:spacing w:val="-2"/>
              </w:rPr>
            </w:pPr>
            <w:r w:rsidRPr="008C14B7">
              <w:rPr>
                <w:i/>
                <w:spacing w:val="-2"/>
              </w:rPr>
              <w:t>Source</w:t>
            </w:r>
            <w:r w:rsidR="00513C18" w:rsidRPr="008C14B7">
              <w:rPr>
                <w:i/>
                <w:spacing w:val="-2"/>
              </w:rPr>
              <w:t>s</w:t>
            </w:r>
            <w:r w:rsidRPr="008C14B7">
              <w:rPr>
                <w:spacing w:val="-2"/>
              </w:rPr>
              <w:t>: Estimates based on</w:t>
            </w:r>
            <w:r w:rsidR="005E10BA" w:rsidRPr="008C14B7">
              <w:rPr>
                <w:spacing w:val="-2"/>
              </w:rPr>
              <w:t>:</w:t>
            </w:r>
            <w:r w:rsidRPr="008C14B7">
              <w:rPr>
                <w:spacing w:val="-2"/>
              </w:rPr>
              <w:t xml:space="preserve"> </w:t>
            </w:r>
            <w:r w:rsidR="00AD2B56" w:rsidRPr="00AD2B56">
              <w:rPr>
                <w:spacing w:val="-2"/>
              </w:rPr>
              <w:t xml:space="preserve">ABS (2018, </w:t>
            </w:r>
            <w:r w:rsidR="00AD2B56" w:rsidRPr="00AD2B56">
              <w:rPr>
                <w:i/>
                <w:iCs/>
                <w:spacing w:val="-2"/>
              </w:rPr>
              <w:t>Australian System of National Accounts</w:t>
            </w:r>
            <w:r w:rsidR="00AD2B56" w:rsidRPr="00AD2B56">
              <w:rPr>
                <w:spacing w:val="-2"/>
              </w:rPr>
              <w:t xml:space="preserve">, 2017-18, Cat. no. 5204.0, tables 46 and 58); ABS (2018, </w:t>
            </w:r>
            <w:r w:rsidR="00AD2B56" w:rsidRPr="00AD2B56">
              <w:rPr>
                <w:i/>
                <w:iCs/>
                <w:spacing w:val="-2"/>
              </w:rPr>
              <w:t>Estimates of Industry Multifactor Productivity</w:t>
            </w:r>
            <w:r w:rsidR="00AD2B56" w:rsidRPr="00AD2B56">
              <w:rPr>
                <w:spacing w:val="-2"/>
              </w:rPr>
              <w:t>, 2017-18, Cat. no. 5260.0.55.002, tables 10 and 14); and ABS (unpublished data).</w:t>
            </w:r>
          </w:p>
        </w:tc>
      </w:tr>
      <w:tr w:rsidR="003C746D" w14:paraId="02ABB94F" w14:textId="77777777" w:rsidTr="00E51B43">
        <w:tc>
          <w:tcPr>
            <w:tcW w:w="5000" w:type="pct"/>
            <w:tcBorders>
              <w:top w:val="nil"/>
              <w:left w:val="nil"/>
              <w:bottom w:val="single" w:sz="6" w:space="0" w:color="78A22F"/>
              <w:right w:val="nil"/>
            </w:tcBorders>
            <w:shd w:val="clear" w:color="auto" w:fill="auto"/>
          </w:tcPr>
          <w:p w14:paraId="2311F333" w14:textId="77777777" w:rsidR="003C746D" w:rsidRDefault="003C746D" w:rsidP="00E51B43">
            <w:pPr>
              <w:pStyle w:val="Box"/>
              <w:spacing w:before="0" w:line="120" w:lineRule="exact"/>
            </w:pPr>
          </w:p>
        </w:tc>
      </w:tr>
      <w:tr w:rsidR="003C746D" w:rsidRPr="000863A5" w14:paraId="7C425148" w14:textId="77777777" w:rsidTr="00E51B43">
        <w:tc>
          <w:tcPr>
            <w:tcW w:w="5000" w:type="pct"/>
            <w:tcBorders>
              <w:top w:val="single" w:sz="6" w:space="0" w:color="78A22F"/>
              <w:left w:val="nil"/>
              <w:bottom w:val="nil"/>
              <w:right w:val="nil"/>
            </w:tcBorders>
          </w:tcPr>
          <w:p w14:paraId="10F0ADA5" w14:textId="77777777" w:rsidR="003C746D" w:rsidRPr="00626D32" w:rsidRDefault="003C746D" w:rsidP="00E51B43">
            <w:pPr>
              <w:pStyle w:val="BoxSpaceBelow"/>
            </w:pPr>
          </w:p>
        </w:tc>
      </w:tr>
    </w:tbl>
    <w:p w14:paraId="17352CCC" w14:textId="77777777" w:rsidR="00865ADB" w:rsidRDefault="00865ADB" w:rsidP="00241E6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65ADB" w14:paraId="59CFD7BD" w14:textId="77777777" w:rsidTr="00241E65">
        <w:trPr>
          <w:tblHeader/>
        </w:trPr>
        <w:tc>
          <w:tcPr>
            <w:tcW w:w="5000" w:type="pct"/>
            <w:tcBorders>
              <w:top w:val="single" w:sz="6" w:space="0" w:color="78A22F"/>
              <w:left w:val="nil"/>
              <w:bottom w:val="nil"/>
              <w:right w:val="nil"/>
            </w:tcBorders>
            <w:shd w:val="clear" w:color="auto" w:fill="auto"/>
          </w:tcPr>
          <w:p w14:paraId="6E04487A" w14:textId="77777777" w:rsidR="00865ADB" w:rsidRDefault="00865ADB" w:rsidP="00241E65">
            <w:pPr>
              <w:pStyle w:val="FigureTitle"/>
            </w:pPr>
            <w:r w:rsidRPr="00784A05">
              <w:rPr>
                <w:b w:val="0"/>
              </w:rPr>
              <w:t xml:space="preserve">Figure </w:t>
            </w:r>
            <w:r w:rsidR="00C047F7">
              <w:rPr>
                <w:b w:val="0"/>
              </w:rPr>
              <w:t>2.</w:t>
            </w:r>
            <w:r w:rsidR="00133131">
              <w:rPr>
                <w:b w:val="0"/>
              </w:rPr>
              <w:t>6</w:t>
            </w:r>
            <w:r>
              <w:tab/>
            </w:r>
            <w:r w:rsidR="00241E65">
              <w:t>Average real investment is slumping for many industries</w:t>
            </w:r>
            <w:r w:rsidR="005E10BA" w:rsidRPr="008C14B7">
              <w:rPr>
                <w:rStyle w:val="NoteLabel"/>
                <w:b/>
                <w:position w:val="10"/>
              </w:rPr>
              <w:t>a</w:t>
            </w:r>
          </w:p>
          <w:p w14:paraId="355D5D44" w14:textId="1F594405" w:rsidR="00865ADB" w:rsidRPr="00176D3F" w:rsidRDefault="00241E65" w:rsidP="0043624A">
            <w:pPr>
              <w:pStyle w:val="Subtitle"/>
            </w:pPr>
            <w:r>
              <w:t>Per</w:t>
            </w:r>
            <w:r w:rsidR="006507C8">
              <w:t> </w:t>
            </w:r>
            <w:r>
              <w:t xml:space="preserve">cent </w:t>
            </w:r>
            <w:r w:rsidR="005E10BA">
              <w:t>per</w:t>
            </w:r>
            <w:r w:rsidR="0043624A">
              <w:t> </w:t>
            </w:r>
            <w:r w:rsidR="005E10BA">
              <w:t>year</w:t>
            </w:r>
          </w:p>
        </w:tc>
      </w:tr>
      <w:tr w:rsidR="00865ADB" w14:paraId="78E15B84" w14:textId="77777777" w:rsidTr="00241E6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844"/>
              <w:gridCol w:w="1831"/>
              <w:gridCol w:w="1830"/>
            </w:tblGrid>
            <w:tr w:rsidR="00BE4A85" w:rsidRPr="00B1465D" w14:paraId="432C0CD8" w14:textId="77777777" w:rsidTr="00BE4A85">
              <w:trPr>
                <w:tblHeader/>
                <w:jc w:val="center"/>
              </w:trPr>
              <w:tc>
                <w:tcPr>
                  <w:tcW w:w="2848" w:type="pct"/>
                  <w:tcBorders>
                    <w:top w:val="nil"/>
                    <w:bottom w:val="nil"/>
                  </w:tcBorders>
                </w:tcPr>
                <w:p w14:paraId="159445EE" w14:textId="77777777" w:rsidR="00BE4A85" w:rsidRPr="00B1465D" w:rsidRDefault="00BE4A85" w:rsidP="008C14B7">
                  <w:pPr>
                    <w:pStyle w:val="Figure"/>
                    <w:spacing w:before="60" w:after="60"/>
                    <w:ind w:left="1984"/>
                    <w:rPr>
                      <w:rFonts w:ascii="Arial" w:hAnsi="Arial" w:cs="Arial"/>
                      <w:sz w:val="18"/>
                      <w:szCs w:val="18"/>
                    </w:rPr>
                  </w:pPr>
                  <w:r>
                    <w:rPr>
                      <w:rFonts w:ascii="Arial" w:hAnsi="Arial" w:cs="Arial"/>
                      <w:sz w:val="18"/>
                      <w:szCs w:val="18"/>
                    </w:rPr>
                    <w:t>Average growth</w:t>
                  </w:r>
                  <w:r>
                    <w:rPr>
                      <w:rFonts w:ascii="Arial" w:hAnsi="Arial" w:cs="Arial"/>
                      <w:sz w:val="18"/>
                      <w:szCs w:val="18"/>
                    </w:rPr>
                    <w:br/>
                  </w:r>
                  <w:r w:rsidR="005E10BA">
                    <w:rPr>
                      <w:rFonts w:ascii="Arial" w:hAnsi="Arial" w:cs="Arial"/>
                      <w:sz w:val="18"/>
                      <w:szCs w:val="18"/>
                    </w:rPr>
                    <w:t>1974</w:t>
                  </w:r>
                  <w:r w:rsidR="00D33627">
                    <w:rPr>
                      <w:rFonts w:ascii="Arial" w:hAnsi="Arial" w:cs="Arial"/>
                      <w:sz w:val="18"/>
                      <w:szCs w:val="18"/>
                    </w:rPr>
                    <w:noBreakHyphen/>
                  </w:r>
                  <w:r w:rsidR="005E10BA">
                    <w:rPr>
                      <w:rFonts w:ascii="Arial" w:hAnsi="Arial" w:cs="Arial"/>
                      <w:sz w:val="18"/>
                      <w:szCs w:val="18"/>
                    </w:rPr>
                    <w:t xml:space="preserve">75 </w:t>
                  </w:r>
                  <w:r>
                    <w:rPr>
                      <w:rFonts w:ascii="Arial" w:hAnsi="Arial" w:cs="Arial"/>
                      <w:sz w:val="18"/>
                      <w:szCs w:val="18"/>
                    </w:rPr>
                    <w:t>to 2014</w:t>
                  </w:r>
                  <w:r>
                    <w:rPr>
                      <w:rFonts w:ascii="Arial" w:hAnsi="Arial" w:cs="Arial"/>
                      <w:sz w:val="18"/>
                      <w:szCs w:val="18"/>
                    </w:rPr>
                    <w:noBreakHyphen/>
                    <w:t>15</w:t>
                  </w:r>
                </w:p>
              </w:tc>
              <w:tc>
                <w:tcPr>
                  <w:tcW w:w="1076" w:type="pct"/>
                  <w:tcBorders>
                    <w:top w:val="nil"/>
                    <w:bottom w:val="nil"/>
                  </w:tcBorders>
                </w:tcPr>
                <w:p w14:paraId="744B6DE3" w14:textId="77777777" w:rsidR="00BE4A85" w:rsidRPr="00B1465D" w:rsidRDefault="00BE4A85" w:rsidP="00C4572F">
                  <w:pPr>
                    <w:pStyle w:val="Figure"/>
                    <w:spacing w:before="60" w:after="60"/>
                    <w:rPr>
                      <w:rFonts w:ascii="Arial" w:hAnsi="Arial" w:cs="Arial"/>
                      <w:sz w:val="18"/>
                      <w:szCs w:val="18"/>
                    </w:rPr>
                  </w:pPr>
                  <w:r>
                    <w:rPr>
                      <w:rFonts w:ascii="Arial" w:hAnsi="Arial" w:cs="Arial"/>
                      <w:sz w:val="18"/>
                      <w:szCs w:val="18"/>
                    </w:rPr>
                    <w:t>Average growth 201</w:t>
                  </w:r>
                  <w:r w:rsidR="00C4572F">
                    <w:rPr>
                      <w:rFonts w:ascii="Arial" w:hAnsi="Arial" w:cs="Arial"/>
                      <w:sz w:val="18"/>
                      <w:szCs w:val="18"/>
                    </w:rPr>
                    <w:t>4</w:t>
                  </w:r>
                  <w:r>
                    <w:rPr>
                      <w:rFonts w:ascii="Arial" w:hAnsi="Arial" w:cs="Arial"/>
                      <w:sz w:val="18"/>
                      <w:szCs w:val="18"/>
                    </w:rPr>
                    <w:noBreakHyphen/>
                    <w:t>1</w:t>
                  </w:r>
                  <w:r w:rsidR="00C4572F">
                    <w:rPr>
                      <w:rFonts w:ascii="Arial" w:hAnsi="Arial" w:cs="Arial"/>
                      <w:sz w:val="18"/>
                      <w:szCs w:val="18"/>
                    </w:rPr>
                    <w:t>5</w:t>
                  </w:r>
                  <w:r>
                    <w:rPr>
                      <w:rFonts w:ascii="Arial" w:hAnsi="Arial" w:cs="Arial"/>
                      <w:sz w:val="18"/>
                      <w:szCs w:val="18"/>
                    </w:rPr>
                    <w:t xml:space="preserve"> to 2017</w:t>
                  </w:r>
                  <w:r>
                    <w:rPr>
                      <w:rFonts w:ascii="Arial" w:hAnsi="Arial" w:cs="Arial"/>
                      <w:sz w:val="18"/>
                      <w:szCs w:val="18"/>
                    </w:rPr>
                    <w:noBreakHyphen/>
                    <w:t>18</w:t>
                  </w:r>
                </w:p>
              </w:tc>
              <w:tc>
                <w:tcPr>
                  <w:tcW w:w="1076" w:type="pct"/>
                  <w:tcBorders>
                    <w:top w:val="nil"/>
                    <w:bottom w:val="nil"/>
                  </w:tcBorders>
                </w:tcPr>
                <w:p w14:paraId="0CC380AC" w14:textId="77777777" w:rsidR="00BE4A85" w:rsidRPr="00B1465D" w:rsidRDefault="00BE4A85" w:rsidP="00241E65">
                  <w:pPr>
                    <w:pStyle w:val="Figure"/>
                    <w:spacing w:before="60" w:after="60"/>
                    <w:rPr>
                      <w:rFonts w:ascii="Arial" w:hAnsi="Arial" w:cs="Arial"/>
                      <w:sz w:val="18"/>
                      <w:szCs w:val="18"/>
                    </w:rPr>
                  </w:pPr>
                  <w:r>
                    <w:rPr>
                      <w:rFonts w:ascii="Arial" w:hAnsi="Arial" w:cs="Arial"/>
                      <w:sz w:val="18"/>
                      <w:szCs w:val="18"/>
                    </w:rPr>
                    <w:t xml:space="preserve">Difference in </w:t>
                  </w:r>
                  <w:r w:rsidR="008C14B7">
                    <w:rPr>
                      <w:rFonts w:ascii="Arial" w:hAnsi="Arial" w:cs="Arial"/>
                      <w:sz w:val="18"/>
                      <w:szCs w:val="18"/>
                    </w:rPr>
                    <w:br/>
                  </w:r>
                  <w:r>
                    <w:rPr>
                      <w:rFonts w:ascii="Arial" w:hAnsi="Arial" w:cs="Arial"/>
                      <w:sz w:val="18"/>
                      <w:szCs w:val="18"/>
                    </w:rPr>
                    <w:t>growth rates</w:t>
                  </w:r>
                </w:p>
              </w:tc>
            </w:tr>
            <w:tr w:rsidR="00241E65" w:rsidRPr="00B1465D" w14:paraId="64C0A978" w14:textId="77777777" w:rsidTr="00241E65">
              <w:trPr>
                <w:tblHeader/>
                <w:jc w:val="center"/>
              </w:trPr>
              <w:tc>
                <w:tcPr>
                  <w:tcW w:w="5000" w:type="pct"/>
                  <w:gridSpan w:val="3"/>
                  <w:tcBorders>
                    <w:top w:val="nil"/>
                    <w:bottom w:val="nil"/>
                  </w:tcBorders>
                </w:tcPr>
                <w:p w14:paraId="0BF58374" w14:textId="77777777" w:rsidR="00241E65" w:rsidRPr="00B1465D" w:rsidRDefault="002247D4" w:rsidP="00241E65">
                  <w:pPr>
                    <w:pStyle w:val="Figure"/>
                    <w:spacing w:before="60" w:after="60"/>
                    <w:rPr>
                      <w:rFonts w:ascii="Arial" w:hAnsi="Arial" w:cs="Arial"/>
                      <w:sz w:val="18"/>
                      <w:szCs w:val="18"/>
                    </w:rPr>
                  </w:pPr>
                  <w:r w:rsidRPr="002247D4">
                    <w:rPr>
                      <w:rFonts w:ascii="Arial" w:hAnsi="Arial" w:cs="Arial"/>
                      <w:noProof/>
                      <w:sz w:val="18"/>
                      <w:szCs w:val="18"/>
                    </w:rPr>
                    <w:drawing>
                      <wp:inline distT="0" distB="0" distL="0" distR="0" wp14:anchorId="649CC002" wp14:editId="6C7F0C2D">
                        <wp:extent cx="5403600" cy="2950121"/>
                        <wp:effectExtent l="0" t="0" r="6985" b="3175"/>
                        <wp:docPr id="57" name="Picture 57" descr="This is a 3 panel graph. The first 2 panels show the average annual growth in real investment by industry for 2 periods – 1974-75 to 2014-15 and 2014-15 to 2017-18, while the third panel shows the difference in growth between these 2 periods. The most notable feature is the large reduction in growth rates in mining and construction investment between the 2 periods." title="This is a 3 panel graph. The first 2 panels show the average annual growth in real investment by industry for 2 periods – 1974-75 to 2014-15 and 2014-15 to 2017-18, while the third panel shows the difference in growth between these 2 periods. The most notable feature is the large reduction in growth rates in mining and construction investment between the 2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1758" r="576"/>
                                <a:stretch/>
                              </pic:blipFill>
                              <pic:spPr bwMode="auto">
                                <a:xfrm>
                                  <a:off x="0" y="0"/>
                                  <a:ext cx="5403600" cy="29501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324080" w14:textId="77777777" w:rsidR="00865ADB" w:rsidRDefault="00865ADB" w:rsidP="00241E65">
            <w:pPr>
              <w:pStyle w:val="Figure"/>
            </w:pPr>
          </w:p>
        </w:tc>
      </w:tr>
      <w:tr w:rsidR="005E10BA" w14:paraId="03717859" w14:textId="77777777" w:rsidTr="00241E65">
        <w:tc>
          <w:tcPr>
            <w:tcW w:w="5000" w:type="pct"/>
            <w:tcBorders>
              <w:top w:val="nil"/>
              <w:left w:val="nil"/>
              <w:bottom w:val="nil"/>
              <w:right w:val="nil"/>
            </w:tcBorders>
            <w:shd w:val="clear" w:color="auto" w:fill="auto"/>
            <w:tcMar>
              <w:top w:w="28" w:type="dxa"/>
              <w:bottom w:w="28" w:type="dxa"/>
            </w:tcMar>
          </w:tcPr>
          <w:p w14:paraId="7880E22B" w14:textId="77777777" w:rsidR="005E10BA" w:rsidRDefault="005E10BA" w:rsidP="00BF7C91">
            <w:pPr>
              <w:pStyle w:val="Note"/>
            </w:pPr>
            <w:proofErr w:type="spellStart"/>
            <w:r w:rsidRPr="005E10BA">
              <w:rPr>
                <w:rStyle w:val="NoteLabel"/>
              </w:rPr>
              <w:t>a</w:t>
            </w:r>
            <w:proofErr w:type="spellEnd"/>
            <w:r>
              <w:t xml:space="preserve"> Does not include real investment undertaken by industries in the non</w:t>
            </w:r>
            <w:r>
              <w:noBreakHyphen/>
              <w:t>market sector.</w:t>
            </w:r>
          </w:p>
        </w:tc>
      </w:tr>
      <w:tr w:rsidR="00865ADB" w:rsidRPr="00176D3F" w14:paraId="502270D7" w14:textId="77777777" w:rsidTr="00241E65">
        <w:tc>
          <w:tcPr>
            <w:tcW w:w="5000" w:type="pct"/>
            <w:tcBorders>
              <w:top w:val="nil"/>
              <w:left w:val="nil"/>
              <w:bottom w:val="nil"/>
              <w:right w:val="nil"/>
            </w:tcBorders>
            <w:shd w:val="clear" w:color="auto" w:fill="auto"/>
          </w:tcPr>
          <w:p w14:paraId="33229106" w14:textId="4F9DBD38" w:rsidR="00865ADB" w:rsidRPr="00176D3F" w:rsidRDefault="00241E65" w:rsidP="0043624A">
            <w:pPr>
              <w:pStyle w:val="Source"/>
            </w:pPr>
            <w:r>
              <w:rPr>
                <w:i/>
              </w:rPr>
              <w:t>S</w:t>
            </w:r>
            <w:r w:rsidRPr="00784A05">
              <w:rPr>
                <w:i/>
              </w:rPr>
              <w:t>ource</w:t>
            </w:r>
            <w:r w:rsidRPr="00176D3F">
              <w:t xml:space="preserve">: </w:t>
            </w:r>
            <w:r>
              <w:t xml:space="preserve">ABS </w:t>
            </w:r>
            <w:r w:rsidR="00BE0FBF">
              <w:t>(</w:t>
            </w:r>
            <w:r>
              <w:t xml:space="preserve">2018, </w:t>
            </w:r>
            <w:r w:rsidRPr="00ED75CA">
              <w:rPr>
                <w:i/>
              </w:rPr>
              <w:t>Australian System of National Accounts</w:t>
            </w:r>
            <w:r w:rsidRPr="0082674F">
              <w:t>, 2017</w:t>
            </w:r>
            <w:r w:rsidRPr="0082674F">
              <w:noBreakHyphen/>
              <w:t>18</w:t>
            </w:r>
            <w:r>
              <w:t>, Cat.</w:t>
            </w:r>
            <w:r w:rsidR="0043624A">
              <w:t> </w:t>
            </w:r>
            <w:r>
              <w:t>no. </w:t>
            </w:r>
            <w:r w:rsidRPr="00ED75CA">
              <w:t>5204.0</w:t>
            </w:r>
            <w:r>
              <w:t>, table 58</w:t>
            </w:r>
            <w:r w:rsidR="00BE0FBF">
              <w:t>)</w:t>
            </w:r>
            <w:r>
              <w:t>.</w:t>
            </w:r>
          </w:p>
        </w:tc>
      </w:tr>
      <w:tr w:rsidR="00865ADB" w14:paraId="131AEF3A" w14:textId="77777777" w:rsidTr="00241E65">
        <w:tc>
          <w:tcPr>
            <w:tcW w:w="5000" w:type="pct"/>
            <w:tcBorders>
              <w:top w:val="nil"/>
              <w:left w:val="nil"/>
              <w:bottom w:val="single" w:sz="6" w:space="0" w:color="78A22F"/>
              <w:right w:val="nil"/>
            </w:tcBorders>
            <w:shd w:val="clear" w:color="auto" w:fill="auto"/>
          </w:tcPr>
          <w:p w14:paraId="544FC3E4" w14:textId="77777777" w:rsidR="00865ADB" w:rsidRDefault="00865ADB" w:rsidP="00241E65">
            <w:pPr>
              <w:pStyle w:val="Figurespace"/>
            </w:pPr>
          </w:p>
        </w:tc>
      </w:tr>
      <w:tr w:rsidR="00865ADB" w:rsidRPr="000863A5" w14:paraId="53773A99" w14:textId="77777777" w:rsidTr="00241E65">
        <w:tc>
          <w:tcPr>
            <w:tcW w:w="5000" w:type="pct"/>
            <w:tcBorders>
              <w:top w:val="single" w:sz="6" w:space="0" w:color="78A22F"/>
              <w:left w:val="nil"/>
              <w:bottom w:val="nil"/>
              <w:right w:val="nil"/>
            </w:tcBorders>
          </w:tcPr>
          <w:p w14:paraId="0B583F0B" w14:textId="77777777" w:rsidR="00865ADB" w:rsidRPr="00626D32" w:rsidRDefault="00865ADB" w:rsidP="00241E65">
            <w:pPr>
              <w:pStyle w:val="BoxSpaceBelow"/>
            </w:pPr>
          </w:p>
        </w:tc>
      </w:tr>
    </w:tbl>
    <w:p w14:paraId="200FE2DD" w14:textId="77777777" w:rsidR="00055BE9" w:rsidRDefault="00055BE9" w:rsidP="00DB60E1">
      <w:pPr>
        <w:pStyle w:val="BodyText"/>
      </w:pPr>
    </w:p>
    <w:p w14:paraId="1C7F059D" w14:textId="77777777" w:rsidR="00F63704" w:rsidRDefault="00F63704" w:rsidP="00120072">
      <w:pPr>
        <w:pStyle w:val="BodyText"/>
        <w:sectPr w:rsidR="00F63704" w:rsidSect="00474A19">
          <w:type w:val="oddPage"/>
          <w:pgSz w:w="11907" w:h="16840" w:code="9"/>
          <w:pgMar w:top="1985" w:right="1304" w:bottom="1247" w:left="1814" w:header="1701" w:footer="397" w:gutter="0"/>
          <w:pgNumType w:chapSep="period"/>
          <w:cols w:space="720"/>
        </w:sectPr>
      </w:pPr>
    </w:p>
    <w:p w14:paraId="50071CE5" w14:textId="77777777" w:rsidR="00F63704" w:rsidRPr="00531669" w:rsidRDefault="00F63704" w:rsidP="00531669">
      <w:pPr>
        <w:pStyle w:val="Heading1"/>
      </w:pPr>
      <w:bookmarkStart w:id="24" w:name="_Toc5636661"/>
      <w:bookmarkStart w:id="25" w:name="_Toc5690111"/>
      <w:r w:rsidRPr="00531669">
        <w:lastRenderedPageBreak/>
        <w:t>3</w:t>
      </w:r>
      <w:r w:rsidRPr="00531669">
        <w:tab/>
        <w:t>Labour productivity</w:t>
      </w:r>
      <w:r w:rsidR="00924E71" w:rsidRPr="00531669">
        <w:t xml:space="preserve"> and </w:t>
      </w:r>
      <w:r w:rsidRPr="00531669">
        <w:t>wages</w:t>
      </w:r>
      <w:bookmarkEnd w:id="24"/>
      <w:bookmarkEnd w:id="25"/>
    </w:p>
    <w:p w14:paraId="3BEC5442" w14:textId="77777777" w:rsidR="00936A5B" w:rsidRDefault="00C15018" w:rsidP="00F63704">
      <w:pPr>
        <w:pStyle w:val="BodyText"/>
      </w:pPr>
      <w:r w:rsidRPr="00C15018">
        <w:t xml:space="preserve">While recent labour productivity growth has been sluggish by </w:t>
      </w:r>
      <w:r w:rsidR="005A0AC7" w:rsidRPr="00C15018">
        <w:t>long</w:t>
      </w:r>
      <w:r w:rsidR="005A0AC7">
        <w:noBreakHyphen/>
      </w:r>
      <w:r w:rsidRPr="00C15018">
        <w:t xml:space="preserve">run standards, it has still been positive. However, this productivity improvement has not translated into </w:t>
      </w:r>
      <w:r w:rsidR="00936A5B">
        <w:t xml:space="preserve">comparable </w:t>
      </w:r>
      <w:r w:rsidRPr="00C15018">
        <w:t>real wage growth over the period from 2011</w:t>
      </w:r>
      <w:r w:rsidR="00476376">
        <w:noBreakHyphen/>
      </w:r>
      <w:r w:rsidRPr="00C15018">
        <w:t xml:space="preserve">12, with employees’ nominal hourly wages just keeping up with consumer prices. </w:t>
      </w:r>
      <w:r w:rsidR="00CE55AB">
        <w:t xml:space="preserve">This has sometimes been referred to as </w:t>
      </w:r>
      <w:r w:rsidR="005E10BA">
        <w:t>‘</w:t>
      </w:r>
      <w:r w:rsidR="00CE55AB">
        <w:t>the wage growth puzzle</w:t>
      </w:r>
      <w:r w:rsidR="005E10BA">
        <w:t>’</w:t>
      </w:r>
      <w:r w:rsidR="00CE55AB">
        <w:t xml:space="preserve">. </w:t>
      </w:r>
      <w:r w:rsidRPr="00C15018">
        <w:t>Given the importance of wages to household income</w:t>
      </w:r>
      <w:r w:rsidR="00CE55AB">
        <w:t>, real growth in consumption,</w:t>
      </w:r>
      <w:r w:rsidR="00067D04">
        <w:t xml:space="preserve"> and to shared prosperity</w:t>
      </w:r>
      <w:r w:rsidRPr="00C15018">
        <w:t xml:space="preserve">, real wage stagnation has attracted concern in Australia and the numerous other countries where the same trends appear to be at work. </w:t>
      </w:r>
    </w:p>
    <w:p w14:paraId="7469445C" w14:textId="77777777" w:rsidR="00C15018" w:rsidRDefault="00284106" w:rsidP="00F63704">
      <w:pPr>
        <w:pStyle w:val="BodyText"/>
      </w:pPr>
      <w:r>
        <w:t xml:space="preserve">An </w:t>
      </w:r>
      <w:r w:rsidR="00D640FC">
        <w:t>in</w:t>
      </w:r>
      <w:r w:rsidR="00D33627">
        <w:noBreakHyphen/>
      </w:r>
      <w:r w:rsidR="00D640FC">
        <w:t>depth</w:t>
      </w:r>
      <w:r>
        <w:t xml:space="preserve"> examination of this issue is beyond the scope of this Bull</w:t>
      </w:r>
      <w:r w:rsidR="00D640FC">
        <w:t>etin</w:t>
      </w:r>
      <w:r w:rsidR="00936A5B">
        <w:t xml:space="preserve">, but </w:t>
      </w:r>
      <w:r w:rsidR="002B106B">
        <w:t xml:space="preserve">an important framing issue rests on how </w:t>
      </w:r>
      <w:r w:rsidR="00A56EA3">
        <w:t xml:space="preserve">wages are defined and how </w:t>
      </w:r>
      <w:r w:rsidR="002B106B">
        <w:t xml:space="preserve">different parties view </w:t>
      </w:r>
      <w:r w:rsidR="00A56EA3">
        <w:t>them (box 3.1)</w:t>
      </w:r>
      <w:r w:rsidR="002B106B">
        <w:t xml:space="preserve">. </w:t>
      </w:r>
      <w:r w:rsidR="00CE55AB" w:rsidRPr="00C15018">
        <w:t xml:space="preserve">Unlike workers who are interested in the purchasing power of their wages (the real consumer wage), producers’ </w:t>
      </w:r>
      <w:r w:rsidR="00CE55AB">
        <w:t>decision making</w:t>
      </w:r>
      <w:r w:rsidR="00CE55AB" w:rsidRPr="00C15018">
        <w:t xml:space="preserve"> rel</w:t>
      </w:r>
      <w:r w:rsidR="00CE55AB">
        <w:t>y</w:t>
      </w:r>
      <w:r w:rsidR="00CE55AB" w:rsidRPr="00C15018">
        <w:t xml:space="preserve">, amongst other factors, on the degree to which nominal wages exceed </w:t>
      </w:r>
      <w:r w:rsidR="00CE55AB" w:rsidRPr="0022783C">
        <w:rPr>
          <w:i/>
        </w:rPr>
        <w:t>producer</w:t>
      </w:r>
      <w:r w:rsidR="00FC2FF6">
        <w:t xml:space="preserve"> prices — </w:t>
      </w:r>
      <w:r w:rsidR="00CE55AB" w:rsidRPr="00C15018">
        <w:t>the real producer price</w:t>
      </w:r>
      <w:r w:rsidR="00CE55AB">
        <w:t>. Where they are out of step, it can affect labour hiring</w:t>
      </w:r>
      <w:r w:rsidR="00CE55AB" w:rsidRPr="00C15018">
        <w:t xml:space="preserve"> </w:t>
      </w:r>
      <w:r w:rsidR="00CE55AB">
        <w:t>and investment</w:t>
      </w:r>
      <w:r w:rsidR="00CE55AB" w:rsidRPr="00C15018">
        <w:t>.</w:t>
      </w:r>
      <w:r w:rsidR="00CE55AB">
        <w:t xml:space="preserve"> </w:t>
      </w:r>
      <w:r w:rsidR="00C15018" w:rsidRPr="00C15018">
        <w:t xml:space="preserve">If stubbornly slow real wage growth is remarkable </w:t>
      </w:r>
      <w:r w:rsidR="00617800">
        <w:t>when compared with that over the</w:t>
      </w:r>
      <w:r w:rsidR="00BF7C91">
        <w:t xml:space="preserve"> </w:t>
      </w:r>
      <w:r w:rsidR="00F95A1F">
        <w:t>past</w:t>
      </w:r>
      <w:r w:rsidR="00BF7C91">
        <w:t xml:space="preserve"> </w:t>
      </w:r>
      <w:r w:rsidR="00F95A1F">
        <w:t>few</w:t>
      </w:r>
      <w:r w:rsidR="00BF7C91">
        <w:t xml:space="preserve"> decades</w:t>
      </w:r>
      <w:r w:rsidR="00C15018" w:rsidRPr="00C15018">
        <w:t xml:space="preserve">, recent trends in wages are less </w:t>
      </w:r>
      <w:r w:rsidR="00CE55AB">
        <w:t>so</w:t>
      </w:r>
      <w:r w:rsidR="00C15018" w:rsidRPr="00C15018">
        <w:t xml:space="preserve"> when viewed through a business lens. </w:t>
      </w:r>
      <w:r w:rsidR="00CE55AB">
        <w:t>Indeed, f</w:t>
      </w:r>
      <w:r w:rsidR="006B3DD4">
        <w:t>rom the employer’s perspective, there is little evidence of a contemporary slow wage ‘puzzle’.</w:t>
      </w:r>
      <w:r w:rsidR="00C15018" w:rsidRPr="007A5DC9">
        <w:rPr>
          <w:rStyle w:val="FootnoteReference"/>
        </w:rPr>
        <w:footnoteReference w:id="10"/>
      </w:r>
      <w:r w:rsidR="002B106B">
        <w:t xml:space="preserve"> </w:t>
      </w:r>
    </w:p>
    <w:p w14:paraId="05707C34" w14:textId="77777777" w:rsidR="00476376" w:rsidRDefault="00476376" w:rsidP="00476376">
      <w:pPr>
        <w:pStyle w:val="BodyText"/>
      </w:pPr>
      <w:r>
        <w:t xml:space="preserve">Over the medium term, wages increase in line with labour productivity measured in terms of the </w:t>
      </w:r>
      <w:r w:rsidRPr="00665C80">
        <w:rPr>
          <w:i/>
        </w:rPr>
        <w:t>prices of output</w:t>
      </w:r>
      <w:r>
        <w:t>. This</w:t>
      </w:r>
      <w:r w:rsidDel="000B49D9">
        <w:t xml:space="preserve"> </w:t>
      </w:r>
      <w:r>
        <w:t xml:space="preserve">occurred in Australia during and after the mining boom (figure 3.1). Indeed, the association between real product wages and labour productivity has been more stable from the </w:t>
      </w:r>
      <w:proofErr w:type="spellStart"/>
      <w:r>
        <w:t>1990s</w:t>
      </w:r>
      <w:proofErr w:type="spellEnd"/>
      <w:r>
        <w:t xml:space="preserve"> to 2017</w:t>
      </w:r>
      <w:r>
        <w:noBreakHyphen/>
        <w:t>18, including the recent decade, than it was for the period from the mid</w:t>
      </w:r>
      <w:r>
        <w:noBreakHyphen/>
      </w:r>
      <w:proofErr w:type="spellStart"/>
      <w:r>
        <w:t>1970s</w:t>
      </w:r>
      <w:proofErr w:type="spellEnd"/>
      <w:r>
        <w:t xml:space="preserve"> to the early </w:t>
      </w:r>
      <w:proofErr w:type="spellStart"/>
      <w:r>
        <w:t>1980s</w:t>
      </w:r>
      <w:proofErr w:type="spellEnd"/>
      <w:r>
        <w:t xml:space="preserve">, when there was a pronounced ‘real wage overhang’ </w:t>
      </w:r>
      <w:r w:rsidR="004A036D" w:rsidRPr="004A036D">
        <w:rPr>
          <w:szCs w:val="24"/>
        </w:rPr>
        <w:t>(Russell and Tease 1991)</w:t>
      </w:r>
      <w:r>
        <w:t xml:space="preserve">. </w:t>
      </w:r>
    </w:p>
    <w:p w14:paraId="47599741" w14:textId="77777777" w:rsidR="00476376" w:rsidRDefault="00476376" w:rsidP="00476376">
      <w:pPr>
        <w:pStyle w:val="BodyText"/>
      </w:pPr>
      <w:r>
        <w:t xml:space="preserve">Over the very long run, the wages measured in terms of their capacity to meet workers’ needs </w:t>
      </w:r>
      <w:r w:rsidRPr="009A1F2D">
        <w:rPr>
          <w:i/>
        </w:rPr>
        <w:t>as consumers</w:t>
      </w:r>
      <w:r>
        <w:t xml:space="preserve"> have also grown by </w:t>
      </w:r>
      <w:r w:rsidR="007C1D5B">
        <w:t>about</w:t>
      </w:r>
      <w:r>
        <w:t xml:space="preserve"> the same as productivity growth, though this is more of a stylised fact rather than an inevitability. However, the relationship between real consumer wages and productivity has been far less stable than that between real product wages and productivity. The current disparity is not unique, with other periods of divergence over the past 60 years, with growth </w:t>
      </w:r>
      <w:r w:rsidR="00A56EA3">
        <w:t xml:space="preserve">in real consumer wages </w:t>
      </w:r>
      <w:r>
        <w:t xml:space="preserve">sometimes above productivity and sometimes below. </w:t>
      </w:r>
    </w:p>
    <w:p w14:paraId="530C7393" w14:textId="77777777" w:rsidR="002B106B" w:rsidRDefault="002B10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106B" w14:paraId="59C64250" w14:textId="77777777" w:rsidTr="00E03745">
        <w:trPr>
          <w:tblHeader/>
        </w:trPr>
        <w:tc>
          <w:tcPr>
            <w:tcW w:w="5000" w:type="pct"/>
            <w:tcBorders>
              <w:top w:val="single" w:sz="6" w:space="0" w:color="78A22F"/>
              <w:left w:val="nil"/>
              <w:bottom w:val="nil"/>
              <w:right w:val="nil"/>
            </w:tcBorders>
            <w:shd w:val="clear" w:color="auto" w:fill="F2F2F2"/>
          </w:tcPr>
          <w:p w14:paraId="1FBABBE0" w14:textId="77777777" w:rsidR="002B106B" w:rsidRDefault="002B106B" w:rsidP="00617D55">
            <w:pPr>
              <w:pStyle w:val="BoxTitle"/>
            </w:pPr>
            <w:r>
              <w:rPr>
                <w:b w:val="0"/>
              </w:rPr>
              <w:t xml:space="preserve">Box </w:t>
            </w:r>
            <w:r w:rsidR="00556657">
              <w:rPr>
                <w:b w:val="0"/>
              </w:rPr>
              <w:t>3.1</w:t>
            </w:r>
            <w:r>
              <w:tab/>
              <w:t>Defining real wages is not as easy as</w:t>
            </w:r>
            <w:r w:rsidR="00617D55">
              <w:t xml:space="preserve"> </w:t>
            </w:r>
            <w:r>
              <w:t>may be thought</w:t>
            </w:r>
          </w:p>
        </w:tc>
      </w:tr>
      <w:tr w:rsidR="002B106B" w14:paraId="4F041DF3" w14:textId="77777777" w:rsidTr="00E03745">
        <w:tc>
          <w:tcPr>
            <w:tcW w:w="5000" w:type="pct"/>
            <w:tcBorders>
              <w:top w:val="nil"/>
              <w:left w:val="nil"/>
              <w:bottom w:val="nil"/>
              <w:right w:val="nil"/>
            </w:tcBorders>
            <w:shd w:val="clear" w:color="auto" w:fill="F2F2F2"/>
          </w:tcPr>
          <w:p w14:paraId="25EACAE9" w14:textId="77777777" w:rsidR="00EA396D" w:rsidRDefault="002B106B" w:rsidP="00E03745">
            <w:pPr>
              <w:pStyle w:val="Box"/>
            </w:pPr>
            <w:r>
              <w:t xml:space="preserve">The analysis presented here is </w:t>
            </w:r>
            <w:r w:rsidR="00A56EA3">
              <w:t xml:space="preserve">largely </w:t>
            </w:r>
            <w:r>
              <w:t>couched in</w:t>
            </w:r>
            <w:r w:rsidR="00D7712B">
              <w:t xml:space="preserve"> terms of average labour income</w:t>
            </w:r>
            <w:r>
              <w:t xml:space="preserve"> per hour worked. </w:t>
            </w:r>
            <w:r w:rsidR="00EA396D" w:rsidRPr="00EA396D">
              <w:t>Compensation of employees comprises wages and salaries (in cash and in kind) and employers’ social contributions. It does not include any unpaid work undertaken voluntarily or any taxes payable by the employer on the wage and salary bill such as payro</w:t>
            </w:r>
            <w:r w:rsidR="00EA396D">
              <w:t xml:space="preserve">ll tax </w:t>
            </w:r>
            <w:r w:rsidR="007A7E0C" w:rsidRPr="007A7E0C">
              <w:rPr>
                <w:rFonts w:cs="Arial"/>
                <w:szCs w:val="24"/>
              </w:rPr>
              <w:t>(ABS 2016)</w:t>
            </w:r>
            <w:r w:rsidR="00501B05">
              <w:t>.</w:t>
            </w:r>
            <w:r w:rsidR="00EA396D">
              <w:t xml:space="preserve"> </w:t>
            </w:r>
            <w:r>
              <w:t>It includes an imputation for the labour income of the self</w:t>
            </w:r>
            <w:r>
              <w:noBreakHyphen/>
              <w:t xml:space="preserve">employed, which requires differentiating between their income from providing labour and that from the returns on capital. </w:t>
            </w:r>
            <w:r w:rsidR="00EA396D" w:rsidRPr="00EA396D">
              <w:t>Wage income of the self</w:t>
            </w:r>
            <w:r w:rsidR="00D33627">
              <w:noBreakHyphen/>
            </w:r>
            <w:r w:rsidR="00EA396D" w:rsidRPr="00EA396D">
              <w:t xml:space="preserve">employed is based on the labour income shares in </w:t>
            </w:r>
            <w:r w:rsidR="00240C1D">
              <w:t xml:space="preserve">the ABS </w:t>
            </w:r>
            <w:r w:rsidR="00EA396D" w:rsidRPr="00240C1D">
              <w:rPr>
                <w:i/>
              </w:rPr>
              <w:t>Estimates of Industry Multifactor Productivity</w:t>
            </w:r>
            <w:r w:rsidR="00EA396D" w:rsidRPr="00EA396D">
              <w:t xml:space="preserve"> </w:t>
            </w:r>
            <w:r w:rsidR="007A7E0C" w:rsidRPr="007A7E0C">
              <w:rPr>
                <w:rFonts w:cs="Arial"/>
                <w:szCs w:val="24"/>
              </w:rPr>
              <w:t>(ABS </w:t>
            </w:r>
            <w:proofErr w:type="spellStart"/>
            <w:r w:rsidR="007A7E0C" w:rsidRPr="007A7E0C">
              <w:rPr>
                <w:rFonts w:cs="Arial"/>
                <w:szCs w:val="24"/>
              </w:rPr>
              <w:t>2018a</w:t>
            </w:r>
            <w:proofErr w:type="spellEnd"/>
            <w:r w:rsidR="007A7E0C" w:rsidRPr="007A7E0C">
              <w:rPr>
                <w:rFonts w:cs="Arial"/>
                <w:szCs w:val="24"/>
              </w:rPr>
              <w:t>)</w:t>
            </w:r>
            <w:r w:rsidR="007A7E0C">
              <w:t>.</w:t>
            </w:r>
            <w:r w:rsidR="00EA396D">
              <w:t xml:space="preserve"> </w:t>
            </w:r>
            <w:r w:rsidR="004E6279">
              <w:t>Th</w:t>
            </w:r>
            <w:r w:rsidR="00EA396D">
              <w:t>e</w:t>
            </w:r>
            <w:r w:rsidR="004E6279">
              <w:t xml:space="preserve"> </w:t>
            </w:r>
            <w:r w:rsidR="00EA396D">
              <w:t>overall wage rate excludes any taxes payable on labour income, and so is not a measure of</w:t>
            </w:r>
            <w:r w:rsidR="004E6279">
              <w:t xml:space="preserve"> disposable income. </w:t>
            </w:r>
          </w:p>
          <w:p w14:paraId="3B7709F0" w14:textId="77777777" w:rsidR="004E2319" w:rsidRDefault="004E2319" w:rsidP="00E03745">
            <w:pPr>
              <w:pStyle w:val="Box"/>
            </w:pPr>
            <w:r>
              <w:t xml:space="preserve">There are other measures of wages — such as the wage price index (which controls for shifts in the </w:t>
            </w:r>
            <w:r w:rsidR="00D23FCB">
              <w:t>quality and quantity of work performed</w:t>
            </w:r>
            <w:r>
              <w:t xml:space="preserve">) </w:t>
            </w:r>
            <w:r w:rsidR="004B0B60">
              <w:t xml:space="preserve">and </w:t>
            </w:r>
            <w:r w:rsidR="00322DE9">
              <w:t xml:space="preserve">various measures of average weekly earnings, </w:t>
            </w:r>
            <w:r>
              <w:t>inc</w:t>
            </w:r>
            <w:r w:rsidR="00322DE9">
              <w:t>lusive or not of overtime hours</w:t>
            </w:r>
            <w:r w:rsidR="00726A47">
              <w:t xml:space="preserve"> </w:t>
            </w:r>
            <w:r w:rsidR="001C326B" w:rsidRPr="001C326B">
              <w:rPr>
                <w:rFonts w:cs="Arial"/>
                <w:szCs w:val="24"/>
              </w:rPr>
              <w:t>(Stanford 2018)</w:t>
            </w:r>
            <w:r>
              <w:t>. These measures ignore the self</w:t>
            </w:r>
            <w:r w:rsidR="00D33627">
              <w:noBreakHyphen/>
            </w:r>
            <w:r>
              <w:t>employed. However, all measures show recent stagnation of real consumer wages</w:t>
            </w:r>
            <w:r w:rsidR="00A56EA3">
              <w:t>, though to a different degree</w:t>
            </w:r>
            <w:r w:rsidR="00322DE9">
              <w:t xml:space="preserve"> (table 3.1).</w:t>
            </w:r>
          </w:p>
          <w:p w14:paraId="60C505FD" w14:textId="77777777" w:rsidR="00EC057C" w:rsidRDefault="002B106B" w:rsidP="00EC057C">
            <w:pPr>
              <w:pStyle w:val="Box"/>
            </w:pPr>
            <w:r>
              <w:t xml:space="preserve">The GDP deflator is used as a proxy for output prices to determine the real producer wage, while the Consumer Price Index (CPI) is used in the </w:t>
            </w:r>
            <w:r w:rsidR="004E2319">
              <w:t>construction</w:t>
            </w:r>
            <w:r>
              <w:t xml:space="preserve"> of the real consumer wage.</w:t>
            </w:r>
          </w:p>
          <w:p w14:paraId="0183B7E5" w14:textId="77777777" w:rsidR="0012392C" w:rsidRDefault="00AF7813" w:rsidP="00BB566C">
            <w:pPr>
              <w:pStyle w:val="Box"/>
            </w:pPr>
            <w:r>
              <w:t xml:space="preserve">There is some debate about the validity of the CPI as a measure of the buying power of income. </w:t>
            </w:r>
            <w:r w:rsidR="00BB52AB">
              <w:t>T</w:t>
            </w:r>
            <w:r w:rsidR="004E2319">
              <w:t xml:space="preserve">he CPI is the most commonly used </w:t>
            </w:r>
            <w:r w:rsidR="00BB52AB">
              <w:t xml:space="preserve">and internationally recognised </w:t>
            </w:r>
            <w:r w:rsidR="004E2319">
              <w:t>measure of the prices of consumption goods and services</w:t>
            </w:r>
            <w:r w:rsidR="00BE49B8">
              <w:t xml:space="preserve"> (and from a </w:t>
            </w:r>
            <w:r w:rsidR="00BB52AB">
              <w:t>macroeconomic</w:t>
            </w:r>
            <w:r w:rsidR="00BE49B8">
              <w:t xml:space="preserve"> perspective, inflation)</w:t>
            </w:r>
            <w:r w:rsidR="00BB52AB">
              <w:t>. However,</w:t>
            </w:r>
            <w:r w:rsidR="00BE49B8">
              <w:t xml:space="preserve"> it is </w:t>
            </w:r>
            <w:r w:rsidR="00BB52AB">
              <w:t>not strictly speaking a ‘cost of living’ measure, and the basket of goods and services used to estimate it cannot cater for the different expenditure patterns of sub</w:t>
            </w:r>
            <w:r w:rsidR="00BB52AB">
              <w:noBreakHyphen/>
              <w:t>groups of people</w:t>
            </w:r>
            <w:r w:rsidR="00EC057C">
              <w:t xml:space="preserve">. </w:t>
            </w:r>
          </w:p>
          <w:p w14:paraId="35327EC5" w14:textId="77777777" w:rsidR="0012392C" w:rsidRDefault="00EC057C" w:rsidP="00BB566C">
            <w:pPr>
              <w:pStyle w:val="Box"/>
            </w:pPr>
            <w:r>
              <w:t xml:space="preserve">As noted by the ABS, expenditure on housing raises a particular dilemma because it comprises a dual investment in an asset (with investments in assets </w:t>
            </w:r>
            <w:r w:rsidR="00BB566C">
              <w:t xml:space="preserve">appropriately </w:t>
            </w:r>
            <w:r>
              <w:t xml:space="preserve">excluded from the CPI) and a payment for housing services (ABS 2019, </w:t>
            </w:r>
            <w:r w:rsidRPr="00EC057C">
              <w:rPr>
                <w:i/>
              </w:rPr>
              <w:t>Consumer Price Index: Concepts, Sources and Methods, 2018</w:t>
            </w:r>
            <w:r>
              <w:t>, Cat. no</w:t>
            </w:r>
            <w:r w:rsidR="001435B2">
              <w:t>. </w:t>
            </w:r>
            <w:r>
              <w:t xml:space="preserve">6461.0). </w:t>
            </w:r>
            <w:r w:rsidR="00BB566C">
              <w:t>Accordingly, some aspects of housing (most notably the costs of acquiring land) are excluded from the measure, while other costs, such as rent, purchase of the dwelling</w:t>
            </w:r>
            <w:r w:rsidR="00AF7813">
              <w:t>,</w:t>
            </w:r>
            <w:r w:rsidR="00BB566C">
              <w:t xml:space="preserve"> and maintenance charges are included. </w:t>
            </w:r>
            <w:r w:rsidR="00AF7813">
              <w:t>The change in prices measured by the CPI and households’ impressions of the cost of living (which for many, will include the costs of buying land) can therefore be at odds</w:t>
            </w:r>
            <w:r w:rsidR="00581828">
              <w:t xml:space="preserve">, a reflection of a different framework for assessing cost pressures facing households, rather than a conceptual flaw in the CPI. </w:t>
            </w:r>
          </w:p>
          <w:p w14:paraId="6D361658" w14:textId="77777777" w:rsidR="002B106B" w:rsidRDefault="00581828" w:rsidP="0004013C">
            <w:pPr>
              <w:pStyle w:val="Box"/>
            </w:pPr>
            <w:r>
              <w:t>We have used the CPI as the deflator for wages, but recognise that cost of living measures</w:t>
            </w:r>
            <w:r w:rsidR="00740203">
              <w:t xml:space="preserve"> will capture other aspects of the buying power of wages</w:t>
            </w:r>
            <w:r w:rsidR="00A42EF6">
              <w:t>, such as total housing purchase costs (including land and mortgage costs)</w:t>
            </w:r>
            <w:r w:rsidR="00740203">
              <w:t>.</w:t>
            </w:r>
            <w:r w:rsidR="0012392C">
              <w:t xml:space="preserve"> The ABS publishes a range of living cost indexes</w:t>
            </w:r>
            <w:r w:rsidR="00A42EF6">
              <w:t xml:space="preserve"> </w:t>
            </w:r>
            <w:r w:rsidR="00501B05" w:rsidRPr="00501B05">
              <w:rPr>
                <w:rFonts w:cs="Arial"/>
                <w:szCs w:val="24"/>
              </w:rPr>
              <w:t>(ABS </w:t>
            </w:r>
            <w:proofErr w:type="spellStart"/>
            <w:r w:rsidR="00501B05" w:rsidRPr="00501B05">
              <w:rPr>
                <w:rFonts w:cs="Arial"/>
                <w:szCs w:val="24"/>
              </w:rPr>
              <w:t>2019c</w:t>
            </w:r>
            <w:proofErr w:type="spellEnd"/>
            <w:r w:rsidR="00501B05" w:rsidRPr="00501B05">
              <w:rPr>
                <w:rFonts w:cs="Arial"/>
                <w:szCs w:val="24"/>
              </w:rPr>
              <w:t>)</w:t>
            </w:r>
            <w:r w:rsidR="00501B05">
              <w:t xml:space="preserve">, </w:t>
            </w:r>
            <w:r w:rsidR="0012392C">
              <w:t xml:space="preserve">but these have not been used in </w:t>
            </w:r>
            <w:r w:rsidR="00A42EF6">
              <w:t>the figures shown in this</w:t>
            </w:r>
            <w:r w:rsidR="0012392C">
              <w:t xml:space="preserve"> </w:t>
            </w:r>
            <w:r w:rsidR="00B73A1C">
              <w:t>Bulletin</w:t>
            </w:r>
            <w:r w:rsidR="0012392C">
              <w:t>.</w:t>
            </w:r>
            <w:r w:rsidR="00A42EF6">
              <w:t xml:space="preserve"> Nevertheless, the ABS selected living cost index for employees rose by 7.2 per cent between 2012</w:t>
            </w:r>
            <w:r w:rsidR="00A42EF6">
              <w:noBreakHyphen/>
              <w:t>13 and 2017</w:t>
            </w:r>
            <w:r w:rsidR="00A42EF6">
              <w:noBreakHyphen/>
              <w:t xml:space="preserve">18 — a period of particular nominal wage stagnation — while the CPI increased by 9.8 per cent over the same period. To the extent that </w:t>
            </w:r>
            <w:r w:rsidR="0004013C">
              <w:t>the living cost index</w:t>
            </w:r>
            <w:r w:rsidR="00A42EF6">
              <w:t xml:space="preserve"> adequately captures living costs of employees, real wage changes over this period have been </w:t>
            </w:r>
            <w:r w:rsidR="00726A47">
              <w:t xml:space="preserve">slightly </w:t>
            </w:r>
            <w:r w:rsidR="00A42EF6">
              <w:t xml:space="preserve">higher than suggested by the CPI. </w:t>
            </w:r>
          </w:p>
        </w:tc>
      </w:tr>
      <w:tr w:rsidR="002B106B" w14:paraId="027F0BE7" w14:textId="77777777" w:rsidTr="00E03745">
        <w:tc>
          <w:tcPr>
            <w:tcW w:w="5000" w:type="pct"/>
            <w:tcBorders>
              <w:top w:val="nil"/>
              <w:left w:val="nil"/>
              <w:bottom w:val="single" w:sz="6" w:space="0" w:color="78A22F"/>
              <w:right w:val="nil"/>
            </w:tcBorders>
            <w:shd w:val="clear" w:color="auto" w:fill="F2F2F2"/>
          </w:tcPr>
          <w:p w14:paraId="6BFDCBC4" w14:textId="77777777" w:rsidR="002B106B" w:rsidRDefault="002B106B">
            <w:pPr>
              <w:pStyle w:val="Box"/>
              <w:spacing w:before="0" w:line="120" w:lineRule="exact"/>
            </w:pPr>
          </w:p>
        </w:tc>
      </w:tr>
      <w:tr w:rsidR="002B106B" w:rsidRPr="000863A5" w14:paraId="76BE0989" w14:textId="77777777" w:rsidTr="00E03745">
        <w:tc>
          <w:tcPr>
            <w:tcW w:w="5000" w:type="pct"/>
            <w:tcBorders>
              <w:top w:val="single" w:sz="6" w:space="0" w:color="78A22F"/>
              <w:left w:val="nil"/>
              <w:bottom w:val="nil"/>
              <w:right w:val="nil"/>
            </w:tcBorders>
          </w:tcPr>
          <w:p w14:paraId="5EF84D65" w14:textId="77777777" w:rsidR="002B106B" w:rsidRPr="00626D32" w:rsidRDefault="002B106B" w:rsidP="00E03745">
            <w:pPr>
              <w:pStyle w:val="BoxSpaceBelow"/>
            </w:pPr>
          </w:p>
        </w:tc>
      </w:tr>
    </w:tbl>
    <w:p w14:paraId="7380C88C" w14:textId="77777777" w:rsidR="006B530A" w:rsidRDefault="0012394C" w:rsidP="00F63704">
      <w:pPr>
        <w:pStyle w:val="BodyText"/>
      </w:pPr>
      <w:r>
        <w:t xml:space="preserve">More recently, two distinct wage growth episodes can be distinguished — </w:t>
      </w:r>
      <w:r w:rsidR="00DE35DD">
        <w:t xml:space="preserve">buoyant </w:t>
      </w:r>
      <w:r w:rsidR="0099492A">
        <w:t>increases</w:t>
      </w:r>
      <w:r>
        <w:t xml:space="preserve"> during the mining boom, and in its aftermath, </w:t>
      </w:r>
      <w:r w:rsidR="00DE35DD">
        <w:t xml:space="preserve">listless growth. </w:t>
      </w:r>
      <w:r w:rsidR="003C34E6">
        <w:t xml:space="preserve">Notwithstanding relatively high inflation, in the first wage growth phase from </w:t>
      </w:r>
      <w:r w:rsidR="00FE2E22">
        <w:t>2002</w:t>
      </w:r>
      <w:r w:rsidR="003C34E6">
        <w:noBreakHyphen/>
      </w:r>
      <w:r w:rsidR="00FE2E22">
        <w:t xml:space="preserve">03 </w:t>
      </w:r>
      <w:r w:rsidR="003C34E6">
        <w:t xml:space="preserve">to </w:t>
      </w:r>
      <w:r w:rsidR="00C412FD">
        <w:t>2012</w:t>
      </w:r>
      <w:r w:rsidR="00C412FD">
        <w:noBreakHyphen/>
        <w:t>13</w:t>
      </w:r>
      <w:r w:rsidR="003C34E6">
        <w:t xml:space="preserve">, nominal </w:t>
      </w:r>
      <w:r w:rsidR="00894A88">
        <w:t xml:space="preserve">wage growth </w:t>
      </w:r>
      <w:r w:rsidR="003C34E6">
        <w:t xml:space="preserve">was </w:t>
      </w:r>
      <w:r w:rsidR="007C1D5B">
        <w:t>about</w:t>
      </w:r>
      <w:r w:rsidR="003C34E6">
        <w:t xml:space="preserve"> 5 per cent per year, </w:t>
      </w:r>
      <w:r w:rsidR="00894A88">
        <w:t xml:space="preserve">well </w:t>
      </w:r>
      <w:r w:rsidR="003C34E6">
        <w:t xml:space="preserve">above the average increase in consumer prices of </w:t>
      </w:r>
      <w:r w:rsidR="00A23524">
        <w:t xml:space="preserve">about </w:t>
      </w:r>
      <w:r w:rsidR="003C34E6">
        <w:t>2.</w:t>
      </w:r>
      <w:r w:rsidR="00A23524">
        <w:t>8</w:t>
      </w:r>
      <w:r w:rsidR="003C34E6">
        <w:t> per cent</w:t>
      </w:r>
      <w:r w:rsidR="007B16BD">
        <w:t xml:space="preserve"> (and growing more rapidly than productivity)</w:t>
      </w:r>
      <w:r w:rsidR="003C34E6">
        <w:t xml:space="preserve">. This pattern was common </w:t>
      </w:r>
      <w:r w:rsidR="003C34E6">
        <w:lastRenderedPageBreak/>
        <w:t xml:space="preserve">across the economy, though it was far stronger in those industries most stimulated by the resources boom — the </w:t>
      </w:r>
      <w:r w:rsidR="003C34E6" w:rsidRPr="00B303BD">
        <w:rPr>
          <w:i/>
        </w:rPr>
        <w:t>mining</w:t>
      </w:r>
      <w:r w:rsidR="003C34E6">
        <w:t xml:space="preserve">, </w:t>
      </w:r>
      <w:r w:rsidR="003C34E6" w:rsidRPr="00B303BD">
        <w:rPr>
          <w:i/>
        </w:rPr>
        <w:t>construction</w:t>
      </w:r>
      <w:r w:rsidR="003C34E6">
        <w:t xml:space="preserve">, and </w:t>
      </w:r>
      <w:r w:rsidR="003C34E6" w:rsidRPr="00B303BD">
        <w:rPr>
          <w:i/>
        </w:rPr>
        <w:t>professional, scientific and technical services</w:t>
      </w:r>
      <w:r w:rsidR="003C34E6">
        <w:t xml:space="preserve"> industries, the latter including people with specialist technical skills relevant to mining (figure 3.</w:t>
      </w:r>
      <w:r w:rsidR="00556657">
        <w:t>2</w:t>
      </w:r>
      <w:r w:rsidR="003C34E6">
        <w:t>)</w:t>
      </w:r>
      <w:r w:rsidR="007B3D2A">
        <w:t>.</w:t>
      </w:r>
    </w:p>
    <w:p w14:paraId="2E9AA5C3" w14:textId="77777777" w:rsidR="00322DE9" w:rsidRDefault="00322DE9" w:rsidP="00C632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22DE9" w14:paraId="19C89C41" w14:textId="77777777" w:rsidTr="00C632EA">
        <w:trPr>
          <w:tblHeader/>
        </w:trPr>
        <w:tc>
          <w:tcPr>
            <w:tcW w:w="5000" w:type="pct"/>
            <w:tcBorders>
              <w:top w:val="single" w:sz="6" w:space="0" w:color="78A22F"/>
              <w:left w:val="nil"/>
              <w:bottom w:val="nil"/>
              <w:right w:val="nil"/>
            </w:tcBorders>
            <w:shd w:val="clear" w:color="auto" w:fill="auto"/>
          </w:tcPr>
          <w:p w14:paraId="7DD5E9E6" w14:textId="77777777" w:rsidR="00322DE9" w:rsidRDefault="00322DE9" w:rsidP="00C632EA">
            <w:pPr>
              <w:pStyle w:val="TableTitle"/>
            </w:pPr>
            <w:r>
              <w:rPr>
                <w:b w:val="0"/>
              </w:rPr>
              <w:t xml:space="preserve">Table </w:t>
            </w:r>
            <w:r w:rsidR="004A201F">
              <w:rPr>
                <w:b w:val="0"/>
              </w:rPr>
              <w:t>3.1</w:t>
            </w:r>
            <w:r>
              <w:tab/>
            </w:r>
            <w:r w:rsidR="00BF3BBF">
              <w:t xml:space="preserve">All </w:t>
            </w:r>
            <w:r w:rsidR="00546FEE">
              <w:t xml:space="preserve">real </w:t>
            </w:r>
            <w:r w:rsidR="004A201F">
              <w:t xml:space="preserve">consumer </w:t>
            </w:r>
            <w:r w:rsidR="00BF3BBF">
              <w:t>wage measures show a slowdown, but by varying degrees</w:t>
            </w:r>
          </w:p>
          <w:p w14:paraId="127B2860" w14:textId="77777777" w:rsidR="00322DE9" w:rsidRPr="00784A05" w:rsidRDefault="0018732D" w:rsidP="00C632EA">
            <w:pPr>
              <w:pStyle w:val="Subtitle"/>
            </w:pPr>
            <w:r>
              <w:t>Average annual growth (per cent), 2002</w:t>
            </w:r>
            <w:r>
              <w:noBreakHyphen/>
              <w:t>03 to 2017</w:t>
            </w:r>
            <w:r>
              <w:noBreakHyphen/>
              <w:t>18</w:t>
            </w:r>
            <w:r w:rsidRPr="0018732D">
              <w:rPr>
                <w:rStyle w:val="NoteLabel"/>
              </w:rPr>
              <w:t>a</w:t>
            </w:r>
          </w:p>
        </w:tc>
      </w:tr>
      <w:tr w:rsidR="00322DE9" w14:paraId="121A8831" w14:textId="77777777" w:rsidTr="00C632E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245"/>
              <w:gridCol w:w="1276"/>
              <w:gridCol w:w="1133"/>
              <w:gridCol w:w="851"/>
            </w:tblGrid>
            <w:tr w:rsidR="00C632EA" w14:paraId="205D5506" w14:textId="77777777" w:rsidTr="00A179D2">
              <w:trPr>
                <w:tblHeader/>
              </w:trPr>
              <w:tc>
                <w:tcPr>
                  <w:tcW w:w="3083" w:type="pct"/>
                  <w:tcBorders>
                    <w:bottom w:val="single" w:sz="12" w:space="0" w:color="FFFFFF" w:themeColor="background1"/>
                  </w:tcBorders>
                  <w:shd w:val="clear" w:color="auto" w:fill="A2D6E9" w:themeFill="text2" w:themeFillTint="99"/>
                  <w:tcMar>
                    <w:top w:w="28" w:type="dxa"/>
                  </w:tcMar>
                </w:tcPr>
                <w:p w14:paraId="401F37FD" w14:textId="77777777" w:rsidR="00C632EA" w:rsidRPr="00D51736" w:rsidRDefault="00C632EA" w:rsidP="00D51736">
                  <w:pPr>
                    <w:pStyle w:val="TableColumnHeading"/>
                    <w:ind w:left="113"/>
                    <w:jc w:val="left"/>
                    <w:rPr>
                      <w:b/>
                      <w:i w:val="0"/>
                    </w:rPr>
                  </w:pPr>
                  <w:r w:rsidRPr="00D51736">
                    <w:rPr>
                      <w:b/>
                      <w:i w:val="0"/>
                    </w:rPr>
                    <w:t>Wage measure</w:t>
                  </w:r>
                </w:p>
              </w:tc>
              <w:tc>
                <w:tcPr>
                  <w:tcW w:w="750" w:type="pct"/>
                  <w:tcBorders>
                    <w:bottom w:val="single" w:sz="12" w:space="0" w:color="FFFFFF" w:themeColor="background1"/>
                    <w:right w:val="single" w:sz="12" w:space="0" w:color="FFFFFF" w:themeColor="background1"/>
                  </w:tcBorders>
                  <w:shd w:val="clear" w:color="auto" w:fill="A2D6E9" w:themeFill="text2" w:themeFillTint="99"/>
                </w:tcPr>
                <w:p w14:paraId="08B3BE9A" w14:textId="77777777" w:rsidR="00C632EA" w:rsidRPr="00D51736" w:rsidRDefault="00C632EA" w:rsidP="00E72756">
                  <w:pPr>
                    <w:pStyle w:val="TableColumnHeading"/>
                    <w:rPr>
                      <w:b/>
                      <w:i w:val="0"/>
                    </w:rPr>
                  </w:pPr>
                  <w:r w:rsidRPr="00D51736">
                    <w:rPr>
                      <w:b/>
                      <w:i w:val="0"/>
                    </w:rPr>
                    <w:t>2002</w:t>
                  </w:r>
                  <w:r w:rsidR="00C52398" w:rsidRPr="00D51736">
                    <w:rPr>
                      <w:b/>
                      <w:i w:val="0"/>
                    </w:rPr>
                    <w:noBreakHyphen/>
                  </w:r>
                  <w:r w:rsidRPr="00D51736">
                    <w:rPr>
                      <w:b/>
                      <w:i w:val="0"/>
                    </w:rPr>
                    <w:t>03 to 201</w:t>
                  </w:r>
                  <w:r w:rsidR="00E72756" w:rsidRPr="00D51736">
                    <w:rPr>
                      <w:b/>
                      <w:i w:val="0"/>
                    </w:rPr>
                    <w:t>2</w:t>
                  </w:r>
                  <w:r w:rsidR="00E72756" w:rsidRPr="00D51736">
                    <w:rPr>
                      <w:b/>
                      <w:i w:val="0"/>
                    </w:rPr>
                    <w:noBreakHyphen/>
                    <w:t>13</w:t>
                  </w:r>
                </w:p>
              </w:tc>
              <w:tc>
                <w:tcPr>
                  <w:tcW w:w="666" w:type="pct"/>
                  <w:tcBorders>
                    <w:left w:val="single" w:sz="12" w:space="0" w:color="FFFFFF" w:themeColor="background1"/>
                    <w:bottom w:val="single" w:sz="12" w:space="0" w:color="FFFFFF" w:themeColor="background1"/>
                    <w:right w:val="single" w:sz="12" w:space="0" w:color="FFFFFF" w:themeColor="background1"/>
                  </w:tcBorders>
                  <w:shd w:val="clear" w:color="auto" w:fill="A2D6E9" w:themeFill="text2" w:themeFillTint="99"/>
                  <w:tcMar>
                    <w:top w:w="28" w:type="dxa"/>
                  </w:tcMar>
                </w:tcPr>
                <w:p w14:paraId="72A3DDAD" w14:textId="77777777" w:rsidR="00C632EA" w:rsidRPr="00D51736" w:rsidRDefault="00E72756" w:rsidP="00E72756">
                  <w:pPr>
                    <w:pStyle w:val="TableColumnHeading"/>
                    <w:rPr>
                      <w:b/>
                      <w:i w:val="0"/>
                    </w:rPr>
                  </w:pPr>
                  <w:r w:rsidRPr="00D51736">
                    <w:rPr>
                      <w:b/>
                      <w:i w:val="0"/>
                    </w:rPr>
                    <w:t>2012</w:t>
                  </w:r>
                  <w:r w:rsidRPr="00D51736">
                    <w:rPr>
                      <w:b/>
                      <w:i w:val="0"/>
                    </w:rPr>
                    <w:noBreakHyphen/>
                    <w:t>13</w:t>
                  </w:r>
                  <w:r w:rsidR="00C632EA" w:rsidRPr="00D51736">
                    <w:rPr>
                      <w:b/>
                      <w:i w:val="0"/>
                    </w:rPr>
                    <w:t xml:space="preserve"> to 2017</w:t>
                  </w:r>
                  <w:r w:rsidR="00C52398" w:rsidRPr="00D51736">
                    <w:rPr>
                      <w:b/>
                      <w:i w:val="0"/>
                    </w:rPr>
                    <w:noBreakHyphen/>
                  </w:r>
                  <w:r w:rsidR="00C632EA" w:rsidRPr="00D51736">
                    <w:rPr>
                      <w:b/>
                      <w:i w:val="0"/>
                    </w:rPr>
                    <w:t>18</w:t>
                  </w:r>
                </w:p>
              </w:tc>
              <w:tc>
                <w:tcPr>
                  <w:tcW w:w="500" w:type="pct"/>
                  <w:tcBorders>
                    <w:left w:val="single" w:sz="12" w:space="0" w:color="FFFFFF" w:themeColor="background1"/>
                    <w:bottom w:val="single" w:sz="12" w:space="0" w:color="FFFFFF" w:themeColor="background1"/>
                  </w:tcBorders>
                  <w:shd w:val="clear" w:color="auto" w:fill="A2D6E9" w:themeFill="text2" w:themeFillTint="99"/>
                  <w:tcMar>
                    <w:top w:w="28" w:type="dxa"/>
                  </w:tcMar>
                </w:tcPr>
                <w:p w14:paraId="137C3DD8" w14:textId="77777777" w:rsidR="00C632EA" w:rsidRPr="00D51736" w:rsidRDefault="00C632EA" w:rsidP="00C632EA">
                  <w:pPr>
                    <w:pStyle w:val="TableColumnHeading"/>
                    <w:ind w:right="28"/>
                    <w:rPr>
                      <w:b/>
                      <w:i w:val="0"/>
                    </w:rPr>
                  </w:pPr>
                  <w:r w:rsidRPr="00D51736">
                    <w:rPr>
                      <w:b/>
                      <w:i w:val="0"/>
                    </w:rPr>
                    <w:t>Change</w:t>
                  </w:r>
                </w:p>
              </w:tc>
            </w:tr>
            <w:tr w:rsidR="00641CB4" w14:paraId="3874327C" w14:textId="77777777" w:rsidTr="000A3B52">
              <w:tc>
                <w:tcPr>
                  <w:tcW w:w="3083" w:type="pct"/>
                  <w:tcBorders>
                    <w:top w:val="single" w:sz="12" w:space="0" w:color="FFFFFF" w:themeColor="background1"/>
                    <w:bottom w:val="single" w:sz="12" w:space="0" w:color="FFFFFF" w:themeColor="background1"/>
                  </w:tcBorders>
                  <w:shd w:val="clear" w:color="auto" w:fill="E0F1F7" w:themeFill="text2" w:themeFillTint="33"/>
                </w:tcPr>
                <w:p w14:paraId="37937A95" w14:textId="77777777" w:rsidR="00641CB4" w:rsidRDefault="00641CB4" w:rsidP="00D51736">
                  <w:pPr>
                    <w:pStyle w:val="TableUnitsRow"/>
                    <w:tabs>
                      <w:tab w:val="left" w:pos="425"/>
                    </w:tabs>
                    <w:ind w:left="113"/>
                    <w:jc w:val="left"/>
                  </w:pPr>
                  <w:r w:rsidRPr="007079F5">
                    <w:t>1.</w:t>
                  </w:r>
                  <w:r w:rsidR="008C14B7">
                    <w:tab/>
                  </w:r>
                  <w:r w:rsidRPr="007079F5">
                    <w:t xml:space="preserve">Growth in real </w:t>
                  </w:r>
                  <w:r>
                    <w:t>wage price index including bonuses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2FD270D5" w14:textId="77777777" w:rsidR="00641CB4" w:rsidRDefault="00641CB4" w:rsidP="00641CB4">
                  <w:pPr>
                    <w:pStyle w:val="TableUnitsRow"/>
                  </w:pPr>
                  <w:r w:rsidRPr="00C61F7B">
                    <w:t>1.0</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73F78E4" w14:textId="77777777" w:rsidR="00641CB4" w:rsidRDefault="00641CB4" w:rsidP="00641CB4">
                  <w:pPr>
                    <w:pStyle w:val="TableUnitsRow"/>
                  </w:pPr>
                  <w:r w:rsidRPr="00C61F7B">
                    <w:t>0.4</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190D90AE" w14:textId="77777777" w:rsidR="00641CB4" w:rsidRDefault="00C52398" w:rsidP="00A352B7">
                  <w:pPr>
                    <w:pStyle w:val="TableUnitsRow"/>
                    <w:tabs>
                      <w:tab w:val="left" w:pos="284"/>
                    </w:tabs>
                    <w:spacing w:before="0"/>
                  </w:pPr>
                  <w:r>
                    <w:noBreakHyphen/>
                  </w:r>
                  <w:r w:rsidR="00641CB4" w:rsidRPr="00C61F7B">
                    <w:t>0.6</w:t>
                  </w:r>
                </w:p>
              </w:tc>
            </w:tr>
            <w:tr w:rsidR="00641CB4" w14:paraId="69512C3B"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5CC19FA1" w14:textId="77777777" w:rsidR="00641CB4" w:rsidRDefault="00641CB4" w:rsidP="000A3B52">
                  <w:pPr>
                    <w:pStyle w:val="TableUnitsRow"/>
                    <w:tabs>
                      <w:tab w:val="left" w:pos="425"/>
                    </w:tabs>
                    <w:ind w:left="113"/>
                    <w:jc w:val="left"/>
                  </w:pPr>
                  <w:r w:rsidRPr="007079F5">
                    <w:t>2.</w:t>
                  </w:r>
                  <w:r w:rsidR="008C14B7">
                    <w:tab/>
                  </w:r>
                  <w:r w:rsidRPr="007079F5">
                    <w:t>Growth in adult male full time real ordinary time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0B15C280" w14:textId="77777777" w:rsidR="00641CB4" w:rsidRDefault="00641CB4" w:rsidP="00641CB4">
                  <w:pPr>
                    <w:pStyle w:val="TableBodyText"/>
                  </w:pPr>
                  <w:r w:rsidRPr="00C61F7B">
                    <w:t>1.9</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5CD36843" w14:textId="77777777" w:rsidR="00641CB4" w:rsidRDefault="00641CB4" w:rsidP="00641CB4">
                  <w:pPr>
                    <w:pStyle w:val="TableBodyText"/>
                  </w:pPr>
                  <w:r w:rsidRPr="00C61F7B">
                    <w:t>0.2</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3553C249" w14:textId="77777777" w:rsidR="00641CB4" w:rsidRDefault="00C52398" w:rsidP="00A352B7">
                  <w:pPr>
                    <w:pStyle w:val="TableUnitsRow"/>
                    <w:tabs>
                      <w:tab w:val="left" w:pos="284"/>
                    </w:tabs>
                    <w:spacing w:before="0"/>
                  </w:pPr>
                  <w:r>
                    <w:noBreakHyphen/>
                  </w:r>
                  <w:r w:rsidR="00641CB4" w:rsidRPr="00C61F7B">
                    <w:t>1.7</w:t>
                  </w:r>
                </w:p>
              </w:tc>
            </w:tr>
            <w:tr w:rsidR="00641CB4" w14:paraId="4DB3A64D"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6A1AB8BC" w14:textId="77777777" w:rsidR="00641CB4" w:rsidRDefault="00641CB4" w:rsidP="000A3B52">
                  <w:pPr>
                    <w:pStyle w:val="TableUnitsRow"/>
                    <w:tabs>
                      <w:tab w:val="left" w:pos="425"/>
                    </w:tabs>
                    <w:ind w:left="113"/>
                    <w:jc w:val="left"/>
                  </w:pPr>
                  <w:r w:rsidRPr="007079F5">
                    <w:t>3.</w:t>
                  </w:r>
                  <w:r w:rsidR="008C14B7">
                    <w:tab/>
                  </w:r>
                  <w:r w:rsidRPr="007079F5">
                    <w:t>Growth in adult male full time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1E2DF451" w14:textId="77777777" w:rsidR="00641CB4" w:rsidRDefault="00641CB4" w:rsidP="008C14B7">
                  <w:pPr>
                    <w:pStyle w:val="TableUnitsRow"/>
                    <w:tabs>
                      <w:tab w:val="left" w:pos="284"/>
                    </w:tabs>
                    <w:spacing w:before="0"/>
                  </w:pPr>
                  <w:r w:rsidRPr="00C61F7B">
                    <w:t>1.9</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6402901B" w14:textId="77777777" w:rsidR="00641CB4" w:rsidRDefault="00641CB4" w:rsidP="008C14B7">
                  <w:pPr>
                    <w:pStyle w:val="TableUnitsRow"/>
                    <w:tabs>
                      <w:tab w:val="left" w:pos="284"/>
                    </w:tabs>
                    <w:spacing w:before="0"/>
                  </w:pPr>
                  <w:r w:rsidRPr="00C61F7B">
                    <w:t>0.2</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515F3CFD" w14:textId="77777777" w:rsidR="00641CB4" w:rsidRDefault="00C52398" w:rsidP="00A352B7">
                  <w:pPr>
                    <w:pStyle w:val="TableUnitsRow"/>
                    <w:tabs>
                      <w:tab w:val="left" w:pos="284"/>
                    </w:tabs>
                    <w:spacing w:before="0"/>
                  </w:pPr>
                  <w:r>
                    <w:noBreakHyphen/>
                  </w:r>
                  <w:r w:rsidR="00641CB4" w:rsidRPr="00C61F7B">
                    <w:t>1.7</w:t>
                  </w:r>
                </w:p>
              </w:tc>
            </w:tr>
            <w:tr w:rsidR="00641CB4" w14:paraId="1B728887"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7FFFC37E" w14:textId="77777777" w:rsidR="00641CB4" w:rsidRDefault="00641CB4" w:rsidP="000A3B52">
                  <w:pPr>
                    <w:pStyle w:val="TableUnitsRow"/>
                    <w:tabs>
                      <w:tab w:val="left" w:pos="425"/>
                    </w:tabs>
                    <w:ind w:left="113"/>
                    <w:jc w:val="left"/>
                  </w:pPr>
                  <w:r w:rsidRPr="007079F5">
                    <w:t>4.</w:t>
                  </w:r>
                  <w:r w:rsidR="008C14B7">
                    <w:tab/>
                  </w:r>
                  <w:r w:rsidRPr="007079F5">
                    <w:t>Growth in male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11FBABB7" w14:textId="77777777" w:rsidR="00641CB4" w:rsidRDefault="00641CB4" w:rsidP="008C14B7">
                  <w:pPr>
                    <w:pStyle w:val="TableUnitsRow"/>
                    <w:tabs>
                      <w:tab w:val="left" w:pos="284"/>
                    </w:tabs>
                    <w:spacing w:before="0"/>
                  </w:pPr>
                  <w:r w:rsidRPr="00C61F7B">
                    <w:t>1.8</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7EF75787" w14:textId="77777777" w:rsidR="00641CB4" w:rsidRDefault="00C52398" w:rsidP="008C14B7">
                  <w:pPr>
                    <w:pStyle w:val="TableUnitsRow"/>
                    <w:tabs>
                      <w:tab w:val="left" w:pos="284"/>
                    </w:tabs>
                    <w:spacing w:before="0"/>
                  </w:pPr>
                  <w:r>
                    <w:noBreakHyphen/>
                  </w:r>
                  <w:r w:rsidR="00641CB4" w:rsidRPr="00C61F7B">
                    <w:t>0.5</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71E5E441" w14:textId="77777777" w:rsidR="00641CB4" w:rsidRDefault="00C52398" w:rsidP="00A352B7">
                  <w:pPr>
                    <w:pStyle w:val="TableUnitsRow"/>
                    <w:tabs>
                      <w:tab w:val="left" w:pos="284"/>
                    </w:tabs>
                    <w:spacing w:before="0"/>
                  </w:pPr>
                  <w:r>
                    <w:noBreakHyphen/>
                  </w:r>
                  <w:r w:rsidR="00641CB4" w:rsidRPr="00C61F7B">
                    <w:t>2.3</w:t>
                  </w:r>
                </w:p>
              </w:tc>
            </w:tr>
            <w:tr w:rsidR="00641CB4" w14:paraId="0BABBE56"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13EC60B6" w14:textId="77777777" w:rsidR="00641CB4" w:rsidRDefault="00641CB4" w:rsidP="000A3B52">
                  <w:pPr>
                    <w:pStyle w:val="TableUnitsRow"/>
                    <w:tabs>
                      <w:tab w:val="left" w:pos="425"/>
                    </w:tabs>
                    <w:ind w:left="113"/>
                    <w:jc w:val="left"/>
                  </w:pPr>
                  <w:r w:rsidRPr="007079F5">
                    <w:t>5.</w:t>
                  </w:r>
                  <w:r w:rsidR="008C14B7">
                    <w:tab/>
                  </w:r>
                  <w:r w:rsidRPr="007079F5">
                    <w:t>Growth in adult female full time real ordinary time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6E46EC66" w14:textId="77777777" w:rsidR="00641CB4" w:rsidRDefault="00641CB4" w:rsidP="008C14B7">
                  <w:pPr>
                    <w:pStyle w:val="TableUnitsRow"/>
                    <w:tabs>
                      <w:tab w:val="left" w:pos="284"/>
                    </w:tabs>
                    <w:spacing w:before="0"/>
                  </w:pPr>
                  <w:r w:rsidRPr="00C61F7B">
                    <w:t>1.7</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1E7ED6E" w14:textId="77777777" w:rsidR="00641CB4" w:rsidRDefault="00641CB4" w:rsidP="008C14B7">
                  <w:pPr>
                    <w:pStyle w:val="TableUnitsRow"/>
                    <w:tabs>
                      <w:tab w:val="left" w:pos="284"/>
                    </w:tabs>
                    <w:spacing w:before="0"/>
                  </w:pPr>
                  <w:r w:rsidRPr="00C61F7B">
                    <w:t>0.9</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298C6FDA" w14:textId="77777777" w:rsidR="00641CB4" w:rsidRDefault="00C52398" w:rsidP="00A352B7">
                  <w:pPr>
                    <w:pStyle w:val="TableUnitsRow"/>
                    <w:tabs>
                      <w:tab w:val="left" w:pos="284"/>
                    </w:tabs>
                    <w:spacing w:before="0"/>
                  </w:pPr>
                  <w:r>
                    <w:noBreakHyphen/>
                  </w:r>
                  <w:r w:rsidR="00641CB4" w:rsidRPr="00C61F7B">
                    <w:t>0.8</w:t>
                  </w:r>
                </w:p>
              </w:tc>
            </w:tr>
            <w:tr w:rsidR="00641CB4" w14:paraId="7C36CC4B"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56B1AF4D" w14:textId="77777777" w:rsidR="00641CB4" w:rsidRDefault="00641CB4" w:rsidP="000A3B52">
                  <w:pPr>
                    <w:pStyle w:val="TableUnitsRow"/>
                    <w:tabs>
                      <w:tab w:val="left" w:pos="425"/>
                    </w:tabs>
                    <w:ind w:left="113"/>
                    <w:jc w:val="left"/>
                  </w:pPr>
                  <w:r w:rsidRPr="007079F5">
                    <w:t>6.</w:t>
                  </w:r>
                  <w:r w:rsidR="008C14B7">
                    <w:tab/>
                  </w:r>
                  <w:r w:rsidRPr="007079F5">
                    <w:t>Growth in adult female full time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799EF071" w14:textId="77777777" w:rsidR="00641CB4" w:rsidRDefault="00641CB4" w:rsidP="008C14B7">
                  <w:pPr>
                    <w:pStyle w:val="TableUnitsRow"/>
                    <w:tabs>
                      <w:tab w:val="left" w:pos="284"/>
                    </w:tabs>
                    <w:spacing w:before="0"/>
                  </w:pPr>
                  <w:r w:rsidRPr="00C61F7B">
                    <w:t>1.6</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617B063A" w14:textId="77777777" w:rsidR="00641CB4" w:rsidRDefault="00641CB4" w:rsidP="008C14B7">
                  <w:pPr>
                    <w:pStyle w:val="TableUnitsRow"/>
                    <w:tabs>
                      <w:tab w:val="left" w:pos="284"/>
                    </w:tabs>
                    <w:spacing w:before="0"/>
                  </w:pPr>
                  <w:r w:rsidRPr="00C61F7B">
                    <w:t>0.9</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47AABD8E" w14:textId="77777777" w:rsidR="00641CB4" w:rsidRDefault="00C52398" w:rsidP="00A352B7">
                  <w:pPr>
                    <w:pStyle w:val="TableUnitsRow"/>
                    <w:tabs>
                      <w:tab w:val="left" w:pos="284"/>
                    </w:tabs>
                    <w:spacing w:before="0"/>
                  </w:pPr>
                  <w:r>
                    <w:noBreakHyphen/>
                  </w:r>
                  <w:r w:rsidR="00641CB4" w:rsidRPr="00C61F7B">
                    <w:t>0.8</w:t>
                  </w:r>
                </w:p>
              </w:tc>
            </w:tr>
            <w:tr w:rsidR="00641CB4" w14:paraId="711C40C7"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5D486609" w14:textId="77777777" w:rsidR="00641CB4" w:rsidRDefault="00641CB4" w:rsidP="000A3B52">
                  <w:pPr>
                    <w:pStyle w:val="TableUnitsRow"/>
                    <w:tabs>
                      <w:tab w:val="left" w:pos="425"/>
                    </w:tabs>
                    <w:ind w:left="113"/>
                    <w:jc w:val="left"/>
                  </w:pPr>
                  <w:r w:rsidRPr="007079F5">
                    <w:t>7.</w:t>
                  </w:r>
                  <w:r w:rsidR="008C14B7">
                    <w:tab/>
                  </w:r>
                  <w:r w:rsidRPr="007079F5">
                    <w:t>Growth in female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D7F4CCC" w14:textId="77777777" w:rsidR="00641CB4" w:rsidRDefault="00641CB4" w:rsidP="008C14B7">
                  <w:pPr>
                    <w:pStyle w:val="TableUnitsRow"/>
                    <w:tabs>
                      <w:tab w:val="left" w:pos="284"/>
                    </w:tabs>
                    <w:spacing w:before="0"/>
                  </w:pPr>
                  <w:r w:rsidRPr="00C61F7B">
                    <w:t>1.5</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57B20CAB" w14:textId="77777777" w:rsidR="00641CB4" w:rsidRDefault="00641CB4" w:rsidP="008C14B7">
                  <w:pPr>
                    <w:pStyle w:val="TableUnitsRow"/>
                    <w:tabs>
                      <w:tab w:val="left" w:pos="284"/>
                    </w:tabs>
                    <w:spacing w:before="0"/>
                  </w:pPr>
                  <w:r w:rsidRPr="00C61F7B">
                    <w:t>0.9</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649CDECD" w14:textId="77777777" w:rsidR="00641CB4" w:rsidRDefault="00C52398" w:rsidP="00A352B7">
                  <w:pPr>
                    <w:pStyle w:val="TableUnitsRow"/>
                    <w:tabs>
                      <w:tab w:val="left" w:pos="284"/>
                    </w:tabs>
                    <w:spacing w:before="0"/>
                  </w:pPr>
                  <w:r>
                    <w:noBreakHyphen/>
                  </w:r>
                  <w:r w:rsidR="00641CB4" w:rsidRPr="00C61F7B">
                    <w:t>0.7</w:t>
                  </w:r>
                </w:p>
              </w:tc>
            </w:tr>
            <w:tr w:rsidR="00641CB4" w14:paraId="5CA6AFB2"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63EDF81E" w14:textId="77777777" w:rsidR="00641CB4" w:rsidRDefault="00641CB4" w:rsidP="000A3B52">
                  <w:pPr>
                    <w:pStyle w:val="TableUnitsRow"/>
                    <w:tabs>
                      <w:tab w:val="left" w:pos="425"/>
                    </w:tabs>
                    <w:ind w:left="113"/>
                    <w:jc w:val="left"/>
                  </w:pPr>
                  <w:r w:rsidRPr="007079F5">
                    <w:t>8.</w:t>
                  </w:r>
                  <w:r w:rsidR="008C14B7">
                    <w:tab/>
                  </w:r>
                  <w:r w:rsidRPr="007079F5">
                    <w:t>Growth in adult full time real ordinary time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B549168" w14:textId="77777777" w:rsidR="00641CB4" w:rsidRDefault="00641CB4" w:rsidP="008C14B7">
                  <w:pPr>
                    <w:pStyle w:val="TableUnitsRow"/>
                    <w:tabs>
                      <w:tab w:val="left" w:pos="284"/>
                    </w:tabs>
                    <w:spacing w:before="0"/>
                  </w:pPr>
                  <w:r w:rsidRPr="00C61F7B">
                    <w:t>1.8</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65B1BF2" w14:textId="77777777" w:rsidR="00641CB4" w:rsidRDefault="00641CB4" w:rsidP="008C14B7">
                  <w:pPr>
                    <w:pStyle w:val="TableUnitsRow"/>
                    <w:tabs>
                      <w:tab w:val="left" w:pos="284"/>
                    </w:tabs>
                    <w:spacing w:before="0"/>
                  </w:pPr>
                  <w:r w:rsidRPr="00C61F7B">
                    <w:t>0.4</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604BF299" w14:textId="77777777" w:rsidR="00641CB4" w:rsidRDefault="00C52398" w:rsidP="00A352B7">
                  <w:pPr>
                    <w:pStyle w:val="TableUnitsRow"/>
                    <w:tabs>
                      <w:tab w:val="left" w:pos="284"/>
                    </w:tabs>
                    <w:spacing w:before="0"/>
                  </w:pPr>
                  <w:r>
                    <w:noBreakHyphen/>
                  </w:r>
                  <w:r w:rsidR="00641CB4" w:rsidRPr="00C61F7B">
                    <w:t>1.4</w:t>
                  </w:r>
                </w:p>
              </w:tc>
            </w:tr>
            <w:tr w:rsidR="00641CB4" w14:paraId="13A3FB71" w14:textId="77777777" w:rsidTr="00D51736">
              <w:tc>
                <w:tcPr>
                  <w:tcW w:w="3083" w:type="pct"/>
                  <w:tcBorders>
                    <w:top w:val="single" w:sz="12" w:space="0" w:color="FFFFFF" w:themeColor="background1"/>
                    <w:bottom w:val="single" w:sz="12" w:space="0" w:color="FFFFFF" w:themeColor="background1"/>
                  </w:tcBorders>
                  <w:shd w:val="clear" w:color="auto" w:fill="E0F1F7" w:themeFill="text2" w:themeFillTint="33"/>
                </w:tcPr>
                <w:p w14:paraId="01AF30E3" w14:textId="77777777" w:rsidR="00641CB4" w:rsidRDefault="00641CB4" w:rsidP="000A3B52">
                  <w:pPr>
                    <w:pStyle w:val="TableUnitsRow"/>
                    <w:tabs>
                      <w:tab w:val="left" w:pos="425"/>
                    </w:tabs>
                    <w:ind w:left="113"/>
                    <w:jc w:val="left"/>
                  </w:pPr>
                  <w:r w:rsidRPr="007079F5">
                    <w:t>9.</w:t>
                  </w:r>
                  <w:r w:rsidR="008C14B7">
                    <w:tab/>
                  </w:r>
                  <w:r w:rsidRPr="007079F5">
                    <w:t>Growth in adult full time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38F31330" w14:textId="77777777" w:rsidR="00641CB4" w:rsidRDefault="00641CB4" w:rsidP="008C14B7">
                  <w:pPr>
                    <w:pStyle w:val="TableUnitsRow"/>
                    <w:tabs>
                      <w:tab w:val="left" w:pos="284"/>
                    </w:tabs>
                    <w:spacing w:before="0"/>
                  </w:pPr>
                  <w:r w:rsidRPr="00C61F7B">
                    <w:t>1.8</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6033DE0C" w14:textId="77777777" w:rsidR="00641CB4" w:rsidRDefault="00641CB4" w:rsidP="008C14B7">
                  <w:pPr>
                    <w:pStyle w:val="TableUnitsRow"/>
                    <w:tabs>
                      <w:tab w:val="left" w:pos="284"/>
                    </w:tabs>
                    <w:spacing w:before="0"/>
                  </w:pPr>
                  <w:r w:rsidRPr="00C61F7B">
                    <w:t>0.3</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40DA5963" w14:textId="77777777" w:rsidR="00641CB4" w:rsidRDefault="00C52398" w:rsidP="00A352B7">
                  <w:pPr>
                    <w:pStyle w:val="TableUnitsRow"/>
                    <w:tabs>
                      <w:tab w:val="left" w:pos="284"/>
                    </w:tabs>
                    <w:spacing w:before="0"/>
                  </w:pPr>
                  <w:r>
                    <w:noBreakHyphen/>
                  </w:r>
                  <w:r w:rsidR="00641CB4" w:rsidRPr="00C61F7B">
                    <w:t>1.5</w:t>
                  </w:r>
                </w:p>
              </w:tc>
            </w:tr>
            <w:tr w:rsidR="00641CB4" w14:paraId="37D10469" w14:textId="77777777" w:rsidTr="00A352B7">
              <w:tc>
                <w:tcPr>
                  <w:tcW w:w="3083" w:type="pct"/>
                  <w:tcBorders>
                    <w:top w:val="single" w:sz="12" w:space="0" w:color="FFFFFF" w:themeColor="background1"/>
                    <w:bottom w:val="single" w:sz="12" w:space="0" w:color="FFFFFF" w:themeColor="background1"/>
                  </w:tcBorders>
                  <w:shd w:val="clear" w:color="auto" w:fill="E0F1F7" w:themeFill="text2" w:themeFillTint="33"/>
                </w:tcPr>
                <w:p w14:paraId="14F1D4AD" w14:textId="77777777" w:rsidR="00641CB4" w:rsidRDefault="00641CB4" w:rsidP="000A3B52">
                  <w:pPr>
                    <w:pStyle w:val="TableUnitsRow"/>
                    <w:tabs>
                      <w:tab w:val="left" w:pos="425"/>
                    </w:tabs>
                    <w:ind w:left="113"/>
                    <w:jc w:val="left"/>
                  </w:pPr>
                  <w:r w:rsidRPr="007079F5">
                    <w:t>10.</w:t>
                  </w:r>
                  <w:r w:rsidR="008C14B7">
                    <w:tab/>
                  </w:r>
                  <w:r w:rsidRPr="007079F5">
                    <w:t>Growth in real total earnings</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1C78B449" w14:textId="77777777" w:rsidR="00641CB4" w:rsidRDefault="00641CB4" w:rsidP="008C14B7">
                  <w:pPr>
                    <w:pStyle w:val="TableUnitsRow"/>
                    <w:tabs>
                      <w:tab w:val="left" w:pos="284"/>
                    </w:tabs>
                    <w:spacing w:before="0"/>
                  </w:pPr>
                  <w:r w:rsidRPr="00C61F7B">
                    <w:t>1.6</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5DA91A47" w14:textId="77777777" w:rsidR="00641CB4" w:rsidRDefault="00641CB4" w:rsidP="008C14B7">
                  <w:pPr>
                    <w:pStyle w:val="TableUnitsRow"/>
                    <w:tabs>
                      <w:tab w:val="left" w:pos="284"/>
                    </w:tabs>
                    <w:spacing w:before="0"/>
                  </w:pPr>
                  <w:r w:rsidRPr="00C61F7B">
                    <w:t>0.0</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3B61F3C1" w14:textId="77777777" w:rsidR="00641CB4" w:rsidRDefault="00C52398" w:rsidP="00A352B7">
                  <w:pPr>
                    <w:pStyle w:val="TableUnitsRow"/>
                    <w:tabs>
                      <w:tab w:val="left" w:pos="284"/>
                    </w:tabs>
                    <w:spacing w:before="0"/>
                  </w:pPr>
                  <w:r>
                    <w:noBreakHyphen/>
                  </w:r>
                  <w:r w:rsidR="00641CB4" w:rsidRPr="00C61F7B">
                    <w:t>1.6</w:t>
                  </w:r>
                </w:p>
              </w:tc>
            </w:tr>
            <w:tr w:rsidR="00641CB4" w14:paraId="13B65790" w14:textId="77777777" w:rsidTr="00A352B7">
              <w:tc>
                <w:tcPr>
                  <w:tcW w:w="3083" w:type="pct"/>
                  <w:tcBorders>
                    <w:top w:val="single" w:sz="12" w:space="0" w:color="FFFFFF" w:themeColor="background1"/>
                    <w:bottom w:val="single" w:sz="12" w:space="0" w:color="FFFFFF" w:themeColor="background1"/>
                  </w:tcBorders>
                  <w:shd w:val="clear" w:color="auto" w:fill="E0F1F7" w:themeFill="text2" w:themeFillTint="33"/>
                </w:tcPr>
                <w:p w14:paraId="68A30D0E" w14:textId="77777777" w:rsidR="00641CB4" w:rsidRDefault="00641CB4" w:rsidP="000A3B52">
                  <w:pPr>
                    <w:pStyle w:val="TableUnitsRow"/>
                    <w:tabs>
                      <w:tab w:val="left" w:pos="425"/>
                    </w:tabs>
                    <w:ind w:left="113"/>
                    <w:jc w:val="left"/>
                  </w:pPr>
                  <w:r w:rsidRPr="007079F5">
                    <w:t>11.</w:t>
                  </w:r>
                  <w:r w:rsidR="008C14B7">
                    <w:tab/>
                  </w:r>
                  <w:r w:rsidRPr="007079F5">
                    <w:t>Growth in real adjusted hourly compensation of employed</w:t>
                  </w:r>
                </w:p>
              </w:tc>
              <w:tc>
                <w:tcPr>
                  <w:tcW w:w="750" w:type="pct"/>
                  <w:tcBorders>
                    <w:top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5238B4EA" w14:textId="77777777" w:rsidR="00641CB4" w:rsidRDefault="00641CB4" w:rsidP="008C14B7">
                  <w:pPr>
                    <w:pStyle w:val="TableUnitsRow"/>
                    <w:tabs>
                      <w:tab w:val="left" w:pos="284"/>
                    </w:tabs>
                    <w:spacing w:before="0"/>
                  </w:pPr>
                  <w:r w:rsidRPr="00C61F7B">
                    <w:t>2.0</w:t>
                  </w:r>
                </w:p>
              </w:tc>
              <w:tc>
                <w:tcPr>
                  <w:tcW w:w="66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0F1F7" w:themeFill="text2" w:themeFillTint="33"/>
                </w:tcPr>
                <w:p w14:paraId="64816540" w14:textId="77777777" w:rsidR="00641CB4" w:rsidRDefault="00641CB4" w:rsidP="008C14B7">
                  <w:pPr>
                    <w:pStyle w:val="TableUnitsRow"/>
                    <w:tabs>
                      <w:tab w:val="left" w:pos="284"/>
                    </w:tabs>
                    <w:spacing w:before="0"/>
                  </w:pPr>
                  <w:r w:rsidRPr="00C61F7B">
                    <w:t>0.1</w:t>
                  </w:r>
                </w:p>
              </w:tc>
              <w:tc>
                <w:tcPr>
                  <w:tcW w:w="500" w:type="pct"/>
                  <w:tcBorders>
                    <w:top w:val="single" w:sz="12" w:space="0" w:color="FFFFFF" w:themeColor="background1"/>
                    <w:left w:val="single" w:sz="12" w:space="0" w:color="FFFFFF" w:themeColor="background1"/>
                    <w:bottom w:val="single" w:sz="12" w:space="0" w:color="FFFFFF" w:themeColor="background1"/>
                  </w:tcBorders>
                  <w:shd w:val="clear" w:color="auto" w:fill="E0F1F7" w:themeFill="text2" w:themeFillTint="33"/>
                </w:tcPr>
                <w:p w14:paraId="531625D6" w14:textId="77777777" w:rsidR="00641CB4" w:rsidRDefault="00C52398" w:rsidP="00A352B7">
                  <w:pPr>
                    <w:pStyle w:val="TableUnitsRow"/>
                    <w:tabs>
                      <w:tab w:val="left" w:pos="284"/>
                    </w:tabs>
                    <w:spacing w:before="0"/>
                  </w:pPr>
                  <w:r>
                    <w:noBreakHyphen/>
                  </w:r>
                  <w:r w:rsidR="00641CB4" w:rsidRPr="00C61F7B">
                    <w:t>1.8</w:t>
                  </w:r>
                </w:p>
              </w:tc>
            </w:tr>
          </w:tbl>
          <w:p w14:paraId="5549FA77" w14:textId="77777777" w:rsidR="00322DE9" w:rsidRDefault="00322DE9" w:rsidP="00C632EA">
            <w:pPr>
              <w:pStyle w:val="Box"/>
            </w:pPr>
          </w:p>
        </w:tc>
      </w:tr>
      <w:tr w:rsidR="00322DE9" w14:paraId="307D799F" w14:textId="77777777" w:rsidTr="00C632EA">
        <w:tc>
          <w:tcPr>
            <w:tcW w:w="5000" w:type="pct"/>
            <w:tcBorders>
              <w:top w:val="nil"/>
              <w:left w:val="nil"/>
              <w:bottom w:val="nil"/>
              <w:right w:val="nil"/>
            </w:tcBorders>
            <w:shd w:val="clear" w:color="auto" w:fill="auto"/>
          </w:tcPr>
          <w:p w14:paraId="1EE774ED" w14:textId="77777777" w:rsidR="00322DE9" w:rsidRDefault="00546FEE" w:rsidP="0099706E">
            <w:pPr>
              <w:pStyle w:val="Note"/>
              <w:rPr>
                <w:i/>
              </w:rPr>
            </w:pPr>
            <w:r>
              <w:rPr>
                <w:rStyle w:val="NoteLabel"/>
              </w:rPr>
              <w:t>a</w:t>
            </w:r>
            <w:r>
              <w:t xml:space="preserve"> Measure no. 11 corresponds to that used in </w:t>
            </w:r>
            <w:r w:rsidR="00382EE2">
              <w:t>figure 3.1</w:t>
            </w:r>
            <w:r>
              <w:t xml:space="preserve">. It is the most comprehensive measure of actual earnings in all sectors and by </w:t>
            </w:r>
            <w:r w:rsidRPr="00B60E08">
              <w:rPr>
                <w:i/>
              </w:rPr>
              <w:t>all</w:t>
            </w:r>
            <w:r>
              <w:t xml:space="preserve"> of the employed, but </w:t>
            </w:r>
            <w:r w:rsidR="00B60E08">
              <w:t xml:space="preserve">includes all changes in labour income that reflect </w:t>
            </w:r>
            <w:r>
              <w:t xml:space="preserve">changes in the composition of jobs and pay changes due to different </w:t>
            </w:r>
            <w:proofErr w:type="spellStart"/>
            <w:r>
              <w:t>takeup</w:t>
            </w:r>
            <w:proofErr w:type="spellEnd"/>
            <w:r>
              <w:t xml:space="preserve"> of overtime and </w:t>
            </w:r>
            <w:r w:rsidR="00B60E08">
              <w:t>penalty</w:t>
            </w:r>
            <w:r>
              <w:t xml:space="preserve"> rates. In contrast, the </w:t>
            </w:r>
            <w:r w:rsidR="00B60E08">
              <w:t xml:space="preserve">methodology underpinning the </w:t>
            </w:r>
            <w:r>
              <w:t xml:space="preserve">real wage price index </w:t>
            </w:r>
            <w:r w:rsidR="00B60E08">
              <w:t xml:space="preserve">(measure 1) </w:t>
            </w:r>
            <w:r>
              <w:t xml:space="preserve">is </w:t>
            </w:r>
            <w:r w:rsidR="00B60E08">
              <w:t xml:space="preserve">like that of </w:t>
            </w:r>
            <w:r>
              <w:t>the CPI</w:t>
            </w:r>
            <w:r w:rsidR="00B60E08">
              <w:t>, and controls for changes in the ‘basket’ of jobs</w:t>
            </w:r>
            <w:r w:rsidR="000B664D">
              <w:t>, for example reductions in overtime use or switches between casual and part or full time work</w:t>
            </w:r>
            <w:r w:rsidR="00B60E08">
              <w:t xml:space="preserve">. The first indicates what has happened to labour income per hour over time (which is what determines the overall purchasing power of one hour of work), while the second measures better the </w:t>
            </w:r>
            <w:r w:rsidR="0099706E">
              <w:t xml:space="preserve">wage growth that a worker would experience if there were no changes in their job. </w:t>
            </w:r>
          </w:p>
        </w:tc>
      </w:tr>
      <w:tr w:rsidR="00322DE9" w14:paraId="62D5D872" w14:textId="77777777" w:rsidTr="00C632EA">
        <w:tc>
          <w:tcPr>
            <w:tcW w:w="5000" w:type="pct"/>
            <w:tcBorders>
              <w:top w:val="nil"/>
              <w:left w:val="nil"/>
              <w:bottom w:val="nil"/>
              <w:right w:val="nil"/>
            </w:tcBorders>
            <w:shd w:val="clear" w:color="auto" w:fill="auto"/>
          </w:tcPr>
          <w:p w14:paraId="58AF9437" w14:textId="2B51E633" w:rsidR="00322DE9" w:rsidRPr="00D51736" w:rsidRDefault="00546FEE" w:rsidP="00F6451E">
            <w:pPr>
              <w:pStyle w:val="Source"/>
              <w:rPr>
                <w:spacing w:val="-4"/>
              </w:rPr>
            </w:pPr>
            <w:r w:rsidRPr="00D51736">
              <w:rPr>
                <w:i/>
                <w:spacing w:val="-4"/>
              </w:rPr>
              <w:t>Sources</w:t>
            </w:r>
            <w:r w:rsidR="00322DE9" w:rsidRPr="00D51736">
              <w:rPr>
                <w:spacing w:val="-4"/>
              </w:rPr>
              <w:t xml:space="preserve">: </w:t>
            </w:r>
            <w:r w:rsidRPr="00D51736">
              <w:rPr>
                <w:spacing w:val="-4"/>
              </w:rPr>
              <w:t xml:space="preserve">ABS (2019, </w:t>
            </w:r>
            <w:r w:rsidRPr="00D51736">
              <w:rPr>
                <w:i/>
                <w:spacing w:val="-4"/>
              </w:rPr>
              <w:t>Average Weekly Earnings, Australia</w:t>
            </w:r>
            <w:r w:rsidRPr="0082674F">
              <w:rPr>
                <w:spacing w:val="-4"/>
              </w:rPr>
              <w:t>, Dec 2018</w:t>
            </w:r>
            <w:r w:rsidRPr="00D51736">
              <w:rPr>
                <w:spacing w:val="-4"/>
              </w:rPr>
              <w:t>, Cat.</w:t>
            </w:r>
            <w:r w:rsidR="00F6451E">
              <w:rPr>
                <w:spacing w:val="-4"/>
              </w:rPr>
              <w:t> </w:t>
            </w:r>
            <w:r w:rsidRPr="00D51736">
              <w:rPr>
                <w:spacing w:val="-4"/>
              </w:rPr>
              <w:t>no.</w:t>
            </w:r>
            <w:r w:rsidR="00F6451E">
              <w:rPr>
                <w:spacing w:val="-4"/>
              </w:rPr>
              <w:t> </w:t>
            </w:r>
            <w:r w:rsidRPr="00D51736">
              <w:rPr>
                <w:spacing w:val="-4"/>
              </w:rPr>
              <w:t>6302.0, table</w:t>
            </w:r>
            <w:r w:rsidR="00C52398" w:rsidRPr="00D51736">
              <w:rPr>
                <w:spacing w:val="-4"/>
              </w:rPr>
              <w:t> </w:t>
            </w:r>
            <w:r w:rsidRPr="00D51736">
              <w:rPr>
                <w:spacing w:val="-4"/>
              </w:rPr>
              <w:t xml:space="preserve">3); ABS (2019, </w:t>
            </w:r>
            <w:r w:rsidRPr="00D51736">
              <w:rPr>
                <w:i/>
                <w:spacing w:val="-4"/>
              </w:rPr>
              <w:t>Wage Price Index, Australia</w:t>
            </w:r>
            <w:r w:rsidRPr="0082674F">
              <w:rPr>
                <w:spacing w:val="-4"/>
              </w:rPr>
              <w:t xml:space="preserve">, </w:t>
            </w:r>
            <w:r w:rsidR="00B60E08" w:rsidRPr="0082674F">
              <w:rPr>
                <w:spacing w:val="-4"/>
              </w:rPr>
              <w:t>Dec 2018,</w:t>
            </w:r>
            <w:r w:rsidR="00B60E08" w:rsidRPr="00D51736">
              <w:rPr>
                <w:spacing w:val="-4"/>
              </w:rPr>
              <w:t xml:space="preserve"> </w:t>
            </w:r>
            <w:r w:rsidRPr="00D51736">
              <w:rPr>
                <w:spacing w:val="-4"/>
              </w:rPr>
              <w:t>Cat. no.</w:t>
            </w:r>
            <w:r w:rsidR="00F6451E">
              <w:rPr>
                <w:spacing w:val="-4"/>
              </w:rPr>
              <w:t> </w:t>
            </w:r>
            <w:r w:rsidRPr="00D51736">
              <w:rPr>
                <w:spacing w:val="-4"/>
              </w:rPr>
              <w:t>6345.0, table</w:t>
            </w:r>
            <w:r w:rsidR="00C52398" w:rsidRPr="00D51736">
              <w:rPr>
                <w:spacing w:val="-4"/>
              </w:rPr>
              <w:t> </w:t>
            </w:r>
            <w:proofErr w:type="spellStart"/>
            <w:r w:rsidRPr="00D51736">
              <w:rPr>
                <w:spacing w:val="-4"/>
              </w:rPr>
              <w:t>7b</w:t>
            </w:r>
            <w:proofErr w:type="spellEnd"/>
            <w:r w:rsidR="00B60E08" w:rsidRPr="00D51736">
              <w:rPr>
                <w:spacing w:val="-4"/>
              </w:rPr>
              <w:t>);</w:t>
            </w:r>
            <w:r w:rsidRPr="00D51736">
              <w:rPr>
                <w:spacing w:val="-4"/>
              </w:rPr>
              <w:t xml:space="preserve"> and for measure</w:t>
            </w:r>
            <w:r w:rsidR="00F6451E">
              <w:rPr>
                <w:spacing w:val="-4"/>
              </w:rPr>
              <w:t> </w:t>
            </w:r>
            <w:r w:rsidRPr="00D51736">
              <w:rPr>
                <w:spacing w:val="-4"/>
              </w:rPr>
              <w:t>11, as specified in figure 3.1.</w:t>
            </w:r>
          </w:p>
        </w:tc>
      </w:tr>
      <w:tr w:rsidR="00322DE9" w14:paraId="0C5591AE" w14:textId="77777777" w:rsidTr="00C632EA">
        <w:tc>
          <w:tcPr>
            <w:tcW w:w="5000" w:type="pct"/>
            <w:tcBorders>
              <w:top w:val="nil"/>
              <w:left w:val="nil"/>
              <w:bottom w:val="single" w:sz="6" w:space="0" w:color="78A22F"/>
              <w:right w:val="nil"/>
            </w:tcBorders>
            <w:shd w:val="clear" w:color="auto" w:fill="auto"/>
          </w:tcPr>
          <w:p w14:paraId="40DD7EC8" w14:textId="77777777" w:rsidR="00322DE9" w:rsidRDefault="00322DE9" w:rsidP="00C632EA">
            <w:pPr>
              <w:pStyle w:val="Box"/>
              <w:spacing w:before="0" w:line="120" w:lineRule="exact"/>
            </w:pPr>
          </w:p>
        </w:tc>
      </w:tr>
      <w:tr w:rsidR="00322DE9" w:rsidRPr="000863A5" w14:paraId="4558678A" w14:textId="77777777" w:rsidTr="00C632EA">
        <w:tc>
          <w:tcPr>
            <w:tcW w:w="5000" w:type="pct"/>
            <w:tcBorders>
              <w:top w:val="single" w:sz="6" w:space="0" w:color="78A22F"/>
              <w:left w:val="nil"/>
              <w:bottom w:val="nil"/>
              <w:right w:val="nil"/>
            </w:tcBorders>
          </w:tcPr>
          <w:p w14:paraId="49C27D94" w14:textId="77777777" w:rsidR="00322DE9" w:rsidRPr="00626D32" w:rsidRDefault="00322DE9" w:rsidP="00C632EA">
            <w:pPr>
              <w:pStyle w:val="BoxSpaceBelow"/>
            </w:pPr>
          </w:p>
        </w:tc>
      </w:tr>
    </w:tbl>
    <w:p w14:paraId="6B88EBA0" w14:textId="77777777" w:rsidR="00641B37" w:rsidRDefault="00641B37" w:rsidP="00641B37">
      <w:pPr>
        <w:pStyle w:val="BodyText"/>
      </w:pPr>
      <w:r>
        <w:t>In the second phase until 2017</w:t>
      </w:r>
      <w:r>
        <w:noBreakHyphen/>
        <w:t xml:space="preserve">18, the outcomes were reversed, with average nominal wage rate growth at only </w:t>
      </w:r>
      <w:r w:rsidR="007C1D5B">
        <w:t>about</w:t>
      </w:r>
      <w:r>
        <w:t xml:space="preserve"> 2 per cent (table 3.2), which with inflation running at just 1.9 per cent per year, meant real consumer wage growth of </w:t>
      </w:r>
      <w:r w:rsidR="007C1D5B">
        <w:t>about</w:t>
      </w:r>
      <w:r w:rsidR="00C52398">
        <w:t xml:space="preserve"> </w:t>
      </w:r>
      <w:r>
        <w:t xml:space="preserve">0.1 per cent per year. Wage growth slowed particularly in those industries linked to the resources boom, but the slowdown affected most (but not all) industries. This period of flat real consumer wages growth in this second phase is the longest since the wage stagnation experienced in the late </w:t>
      </w:r>
      <w:proofErr w:type="spellStart"/>
      <w:r>
        <w:t>1980s</w:t>
      </w:r>
      <w:proofErr w:type="spellEnd"/>
      <w:r>
        <w:t xml:space="preserve"> and early </w:t>
      </w:r>
      <w:proofErr w:type="spellStart"/>
      <w:r>
        <w:t>1990s</w:t>
      </w:r>
      <w:proofErr w:type="spellEnd"/>
      <w:r>
        <w:t>, a time coinciding with the Prices and Income Accord (when unions agreed to trade off real wages growth to contain inflation) and a recession.</w:t>
      </w:r>
    </w:p>
    <w:p w14:paraId="7EC458CD" w14:textId="77777777" w:rsidR="00CF34A2" w:rsidRDefault="00CF34A2" w:rsidP="00C632E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CF34A2" w14:paraId="2EF548B2" w14:textId="77777777" w:rsidTr="00C632EA">
        <w:trPr>
          <w:tblHeader/>
        </w:trPr>
        <w:tc>
          <w:tcPr>
            <w:tcW w:w="5000" w:type="pct"/>
            <w:tcBorders>
              <w:top w:val="single" w:sz="6" w:space="0" w:color="78A22F"/>
              <w:left w:val="nil"/>
              <w:bottom w:val="nil"/>
              <w:right w:val="nil"/>
            </w:tcBorders>
            <w:shd w:val="clear" w:color="auto" w:fill="auto"/>
          </w:tcPr>
          <w:p w14:paraId="4D8F9E18" w14:textId="77777777" w:rsidR="00CF34A2" w:rsidRDefault="00CF34A2" w:rsidP="00C632EA">
            <w:pPr>
              <w:pStyle w:val="TableTitle"/>
            </w:pPr>
            <w:r>
              <w:rPr>
                <w:b w:val="0"/>
              </w:rPr>
              <w:t xml:space="preserve">Table </w:t>
            </w:r>
            <w:r w:rsidR="00322DE9">
              <w:rPr>
                <w:b w:val="0"/>
              </w:rPr>
              <w:t>3.2</w:t>
            </w:r>
            <w:r>
              <w:tab/>
            </w:r>
            <w:r w:rsidR="00382EE2">
              <w:t>Real consumer wages and real producer wages are following different trajectories</w:t>
            </w:r>
          </w:p>
          <w:p w14:paraId="19B0CEAB" w14:textId="77777777" w:rsidR="00CF34A2" w:rsidRPr="00784A05" w:rsidRDefault="00CF34A2" w:rsidP="00C632EA">
            <w:pPr>
              <w:pStyle w:val="Subtitle"/>
            </w:pPr>
            <w:r>
              <w:t>Average yearly growth rates (per cent)</w:t>
            </w:r>
            <w:r w:rsidR="00577FAF">
              <w:t>, 2002</w:t>
            </w:r>
            <w:r w:rsidR="00577FAF">
              <w:noBreakHyphen/>
              <w:t>03 to 2017</w:t>
            </w:r>
            <w:r w:rsidR="00577FAF">
              <w:noBreakHyphen/>
              <w:t>18</w:t>
            </w:r>
            <w:r w:rsidR="00B85C4E" w:rsidRPr="00B85C4E">
              <w:rPr>
                <w:rStyle w:val="NoteLabel"/>
              </w:rPr>
              <w:t>a</w:t>
            </w:r>
          </w:p>
        </w:tc>
      </w:tr>
      <w:tr w:rsidR="00CF34A2" w14:paraId="3BE77733" w14:textId="77777777" w:rsidTr="00C632EA">
        <w:tc>
          <w:tcPr>
            <w:tcW w:w="5000" w:type="pct"/>
            <w:tcBorders>
              <w:top w:val="nil"/>
              <w:left w:val="nil"/>
              <w:bottom w:val="nil"/>
              <w:right w:val="nil"/>
            </w:tcBorders>
            <w:shd w:val="clear" w:color="auto" w:fill="auto"/>
          </w:tcPr>
          <w:tbl>
            <w:tblPr>
              <w:tblW w:w="5000" w:type="pct"/>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CellMar>
                <w:top w:w="28" w:type="dxa"/>
                <w:left w:w="0" w:type="dxa"/>
                <w:right w:w="0" w:type="dxa"/>
              </w:tblCellMar>
              <w:tblLook w:val="0000" w:firstRow="0" w:lastRow="0" w:firstColumn="0" w:lastColumn="0" w:noHBand="0" w:noVBand="0"/>
            </w:tblPr>
            <w:tblGrid>
              <w:gridCol w:w="2557"/>
              <w:gridCol w:w="1010"/>
              <w:gridCol w:w="999"/>
              <w:gridCol w:w="1180"/>
              <w:gridCol w:w="860"/>
              <w:gridCol w:w="1040"/>
              <w:gridCol w:w="859"/>
            </w:tblGrid>
            <w:tr w:rsidR="00CF34A2" w:rsidRPr="002B468E" w14:paraId="53BD631D" w14:textId="77777777" w:rsidTr="00781577">
              <w:trPr>
                <w:tblHeader/>
              </w:trPr>
              <w:tc>
                <w:tcPr>
                  <w:tcW w:w="1571" w:type="pct"/>
                  <w:shd w:val="clear" w:color="auto" w:fill="A2D6E9" w:themeFill="text2" w:themeFillTint="99"/>
                  <w:tcMar>
                    <w:top w:w="28" w:type="dxa"/>
                  </w:tcMar>
                </w:tcPr>
                <w:p w14:paraId="12F28E96" w14:textId="77777777" w:rsidR="00CF34A2" w:rsidRPr="002B468E" w:rsidRDefault="00CF34A2" w:rsidP="00CF34A2">
                  <w:pPr>
                    <w:pStyle w:val="TableColumnHeading"/>
                    <w:jc w:val="left"/>
                    <w:rPr>
                      <w:b/>
                      <w:i w:val="0"/>
                    </w:rPr>
                  </w:pPr>
                </w:p>
              </w:tc>
              <w:tc>
                <w:tcPr>
                  <w:tcW w:w="535" w:type="pct"/>
                  <w:shd w:val="clear" w:color="auto" w:fill="A2D6E9" w:themeFill="text2" w:themeFillTint="99"/>
                </w:tcPr>
                <w:p w14:paraId="7E54D3A0" w14:textId="77777777" w:rsidR="00CF34A2" w:rsidRPr="002B468E" w:rsidRDefault="00B85C4E" w:rsidP="00CF34A2">
                  <w:pPr>
                    <w:pStyle w:val="TableColumnHeading"/>
                    <w:rPr>
                      <w:b/>
                      <w:i w:val="0"/>
                    </w:rPr>
                  </w:pPr>
                  <w:r w:rsidRPr="002B468E">
                    <w:rPr>
                      <w:b/>
                      <w:i w:val="0"/>
                    </w:rPr>
                    <w:t>Real consume</w:t>
                  </w:r>
                  <w:r w:rsidR="006E00B4" w:rsidRPr="002B468E">
                    <w:rPr>
                      <w:b/>
                      <w:i w:val="0"/>
                    </w:rPr>
                    <w:t>r</w:t>
                  </w:r>
                  <w:r w:rsidR="00CF34A2" w:rsidRPr="002B468E">
                    <w:rPr>
                      <w:b/>
                      <w:i w:val="0"/>
                    </w:rPr>
                    <w:t xml:space="preserve"> wage</w:t>
                  </w:r>
                </w:p>
              </w:tc>
              <w:tc>
                <w:tcPr>
                  <w:tcW w:w="655" w:type="pct"/>
                  <w:shd w:val="clear" w:color="auto" w:fill="A2D6E9" w:themeFill="text2" w:themeFillTint="99"/>
                </w:tcPr>
                <w:p w14:paraId="174797BD" w14:textId="77777777" w:rsidR="00CF34A2" w:rsidRPr="002B468E" w:rsidRDefault="00CF34A2" w:rsidP="00CF34A2">
                  <w:pPr>
                    <w:pStyle w:val="TableColumnHeading"/>
                    <w:rPr>
                      <w:b/>
                      <w:i w:val="0"/>
                    </w:rPr>
                  </w:pPr>
                  <w:r w:rsidRPr="002B468E">
                    <w:rPr>
                      <w:b/>
                      <w:i w:val="0"/>
                    </w:rPr>
                    <w:t>Real producer wage</w:t>
                  </w:r>
                </w:p>
              </w:tc>
              <w:tc>
                <w:tcPr>
                  <w:tcW w:w="606" w:type="pct"/>
                  <w:shd w:val="clear" w:color="auto" w:fill="A2D6E9" w:themeFill="text2" w:themeFillTint="99"/>
                </w:tcPr>
                <w:p w14:paraId="3094F5D1" w14:textId="77777777" w:rsidR="00CF34A2" w:rsidRPr="002B468E" w:rsidRDefault="00CF34A2" w:rsidP="00CF34A2">
                  <w:pPr>
                    <w:pStyle w:val="TableColumnHeading"/>
                    <w:rPr>
                      <w:b/>
                      <w:i w:val="0"/>
                    </w:rPr>
                  </w:pPr>
                  <w:r w:rsidRPr="002B468E">
                    <w:rPr>
                      <w:b/>
                      <w:i w:val="0"/>
                    </w:rPr>
                    <w:t>Labour productivity</w:t>
                  </w:r>
                </w:p>
              </w:tc>
              <w:tc>
                <w:tcPr>
                  <w:tcW w:w="489" w:type="pct"/>
                  <w:shd w:val="clear" w:color="auto" w:fill="A2D6E9" w:themeFill="text2" w:themeFillTint="99"/>
                </w:tcPr>
                <w:p w14:paraId="5DA729B1" w14:textId="77777777" w:rsidR="00CF34A2" w:rsidRPr="002B468E" w:rsidRDefault="00CF34A2" w:rsidP="00CF34A2">
                  <w:pPr>
                    <w:pStyle w:val="TableColumnHeading"/>
                    <w:rPr>
                      <w:b/>
                      <w:i w:val="0"/>
                    </w:rPr>
                  </w:pPr>
                  <w:r w:rsidRPr="002B468E">
                    <w:rPr>
                      <w:b/>
                      <w:i w:val="0"/>
                    </w:rPr>
                    <w:t>Nominal wage</w:t>
                  </w:r>
                </w:p>
              </w:tc>
              <w:tc>
                <w:tcPr>
                  <w:tcW w:w="572" w:type="pct"/>
                  <w:shd w:val="clear" w:color="auto" w:fill="A2D6E9" w:themeFill="text2" w:themeFillTint="99"/>
                  <w:tcMar>
                    <w:top w:w="28" w:type="dxa"/>
                  </w:tcMar>
                </w:tcPr>
                <w:p w14:paraId="70F7522D" w14:textId="77777777" w:rsidR="00CF34A2" w:rsidRPr="002B468E" w:rsidRDefault="006E00B4" w:rsidP="00CF34A2">
                  <w:pPr>
                    <w:pStyle w:val="TableColumnHeading"/>
                    <w:rPr>
                      <w:b/>
                      <w:i w:val="0"/>
                    </w:rPr>
                  </w:pPr>
                  <w:r w:rsidRPr="002B468E">
                    <w:rPr>
                      <w:b/>
                      <w:i w:val="0"/>
                    </w:rPr>
                    <w:t>Consumer price index</w:t>
                  </w:r>
                </w:p>
              </w:tc>
              <w:tc>
                <w:tcPr>
                  <w:tcW w:w="572" w:type="pct"/>
                  <w:shd w:val="clear" w:color="auto" w:fill="A2D6E9" w:themeFill="text2" w:themeFillTint="99"/>
                  <w:tcMar>
                    <w:top w:w="28" w:type="dxa"/>
                  </w:tcMar>
                </w:tcPr>
                <w:p w14:paraId="5B18713F" w14:textId="77777777" w:rsidR="00CF34A2" w:rsidRPr="002B468E" w:rsidRDefault="00CF34A2" w:rsidP="00CF34A2">
                  <w:pPr>
                    <w:pStyle w:val="TableColumnHeading"/>
                    <w:ind w:right="28"/>
                    <w:rPr>
                      <w:b/>
                      <w:i w:val="0"/>
                    </w:rPr>
                  </w:pPr>
                  <w:r w:rsidRPr="002B468E">
                    <w:rPr>
                      <w:b/>
                      <w:i w:val="0"/>
                    </w:rPr>
                    <w:t>Producer price</w:t>
                  </w:r>
                  <w:r w:rsidR="001E2860" w:rsidRPr="002B468E">
                    <w:rPr>
                      <w:b/>
                      <w:i w:val="0"/>
                    </w:rPr>
                    <w:t xml:space="preserve"> index</w:t>
                  </w:r>
                </w:p>
              </w:tc>
            </w:tr>
            <w:tr w:rsidR="00C412FD" w14:paraId="56F651AB" w14:textId="77777777" w:rsidTr="00781577">
              <w:tc>
                <w:tcPr>
                  <w:tcW w:w="1571" w:type="pct"/>
                  <w:shd w:val="clear" w:color="auto" w:fill="E0F1F7" w:themeFill="text2" w:themeFillTint="33"/>
                </w:tcPr>
                <w:p w14:paraId="23903896" w14:textId="77777777" w:rsidR="00C412FD" w:rsidRDefault="00C412FD" w:rsidP="002B468E">
                  <w:pPr>
                    <w:pStyle w:val="TableBodyText"/>
                    <w:spacing w:before="80"/>
                    <w:jc w:val="left"/>
                  </w:pPr>
                  <w:r w:rsidRPr="00032AA8">
                    <w:t>2002</w:t>
                  </w:r>
                  <w:r>
                    <w:noBreakHyphen/>
                  </w:r>
                  <w:r w:rsidRPr="00032AA8">
                    <w:t>03 to 201</w:t>
                  </w:r>
                  <w:r>
                    <w:t>2</w:t>
                  </w:r>
                  <w:r>
                    <w:noBreakHyphen/>
                    <w:t>13</w:t>
                  </w:r>
                </w:p>
              </w:tc>
              <w:tc>
                <w:tcPr>
                  <w:tcW w:w="535" w:type="pct"/>
                  <w:shd w:val="clear" w:color="auto" w:fill="E0F1F7" w:themeFill="text2" w:themeFillTint="33"/>
                </w:tcPr>
                <w:p w14:paraId="6ED79F4B" w14:textId="77777777" w:rsidR="00C412FD" w:rsidRDefault="00C412FD" w:rsidP="002B468E">
                  <w:pPr>
                    <w:pStyle w:val="TableBodyText"/>
                    <w:spacing w:before="80"/>
                  </w:pPr>
                  <w:r w:rsidRPr="006B6BC2">
                    <w:t>2.0</w:t>
                  </w:r>
                </w:p>
              </w:tc>
              <w:tc>
                <w:tcPr>
                  <w:tcW w:w="655" w:type="pct"/>
                  <w:shd w:val="clear" w:color="auto" w:fill="E0F1F7" w:themeFill="text2" w:themeFillTint="33"/>
                </w:tcPr>
                <w:p w14:paraId="6106E10D" w14:textId="77777777" w:rsidR="00C412FD" w:rsidRDefault="00C412FD" w:rsidP="002B468E">
                  <w:pPr>
                    <w:pStyle w:val="TableBodyText"/>
                    <w:spacing w:before="80"/>
                  </w:pPr>
                  <w:r w:rsidRPr="006B6BC2">
                    <w:t>1.0</w:t>
                  </w:r>
                </w:p>
              </w:tc>
              <w:tc>
                <w:tcPr>
                  <w:tcW w:w="606" w:type="pct"/>
                  <w:shd w:val="clear" w:color="auto" w:fill="E0F1F7" w:themeFill="text2" w:themeFillTint="33"/>
                </w:tcPr>
                <w:p w14:paraId="5FF4A3A3" w14:textId="77777777" w:rsidR="00C412FD" w:rsidRDefault="00C412FD" w:rsidP="002B468E">
                  <w:pPr>
                    <w:pStyle w:val="TableBodyText"/>
                    <w:spacing w:before="80"/>
                  </w:pPr>
                  <w:r w:rsidRPr="006B6BC2">
                    <w:t>1.2</w:t>
                  </w:r>
                </w:p>
              </w:tc>
              <w:tc>
                <w:tcPr>
                  <w:tcW w:w="489" w:type="pct"/>
                  <w:shd w:val="clear" w:color="auto" w:fill="E0F1F7" w:themeFill="text2" w:themeFillTint="33"/>
                </w:tcPr>
                <w:p w14:paraId="47367DFB" w14:textId="77777777" w:rsidR="00C412FD" w:rsidRDefault="00C412FD" w:rsidP="002B468E">
                  <w:pPr>
                    <w:pStyle w:val="TableBodyText"/>
                    <w:spacing w:before="80"/>
                  </w:pPr>
                  <w:r w:rsidRPr="006B6BC2">
                    <w:t>5.0</w:t>
                  </w:r>
                </w:p>
              </w:tc>
              <w:tc>
                <w:tcPr>
                  <w:tcW w:w="572" w:type="pct"/>
                  <w:shd w:val="clear" w:color="auto" w:fill="E0F1F7" w:themeFill="text2" w:themeFillTint="33"/>
                </w:tcPr>
                <w:p w14:paraId="108BD0E4" w14:textId="77777777" w:rsidR="00C412FD" w:rsidRDefault="00C412FD" w:rsidP="002B468E">
                  <w:pPr>
                    <w:pStyle w:val="TableBodyText"/>
                    <w:spacing w:before="80"/>
                  </w:pPr>
                  <w:r w:rsidRPr="006B6BC2">
                    <w:t>2.8</w:t>
                  </w:r>
                </w:p>
              </w:tc>
              <w:tc>
                <w:tcPr>
                  <w:tcW w:w="572" w:type="pct"/>
                  <w:shd w:val="clear" w:color="auto" w:fill="E0F1F7" w:themeFill="text2" w:themeFillTint="33"/>
                </w:tcPr>
                <w:p w14:paraId="5ED971F9" w14:textId="77777777" w:rsidR="00C412FD" w:rsidRDefault="00C412FD" w:rsidP="002B468E">
                  <w:pPr>
                    <w:pStyle w:val="TableBodyText"/>
                    <w:spacing w:before="80"/>
                    <w:ind w:right="28"/>
                  </w:pPr>
                  <w:r w:rsidRPr="006B6BC2">
                    <w:t>4.0</w:t>
                  </w:r>
                </w:p>
              </w:tc>
            </w:tr>
            <w:tr w:rsidR="00C412FD" w14:paraId="274077D7" w14:textId="77777777" w:rsidTr="00781577">
              <w:tc>
                <w:tcPr>
                  <w:tcW w:w="1571" w:type="pct"/>
                  <w:shd w:val="clear" w:color="auto" w:fill="E0F1F7" w:themeFill="text2" w:themeFillTint="33"/>
                </w:tcPr>
                <w:p w14:paraId="42A802C2" w14:textId="77777777" w:rsidR="00C412FD" w:rsidRDefault="00C412FD" w:rsidP="00C412FD">
                  <w:pPr>
                    <w:pStyle w:val="TableBodyText"/>
                    <w:jc w:val="left"/>
                  </w:pPr>
                  <w:r w:rsidRPr="00032AA8">
                    <w:t>2012</w:t>
                  </w:r>
                  <w:r>
                    <w:noBreakHyphen/>
                  </w:r>
                  <w:r w:rsidRPr="00032AA8">
                    <w:t>13 to 201</w:t>
                  </w:r>
                  <w:r>
                    <w:t>7</w:t>
                  </w:r>
                  <w:r>
                    <w:noBreakHyphen/>
                    <w:t>18</w:t>
                  </w:r>
                </w:p>
              </w:tc>
              <w:tc>
                <w:tcPr>
                  <w:tcW w:w="535" w:type="pct"/>
                  <w:shd w:val="clear" w:color="auto" w:fill="E0F1F7" w:themeFill="text2" w:themeFillTint="33"/>
                </w:tcPr>
                <w:p w14:paraId="427EAD0F" w14:textId="77777777" w:rsidR="00C412FD" w:rsidRDefault="00C412FD" w:rsidP="00C412FD">
                  <w:pPr>
                    <w:pStyle w:val="TableBodyText"/>
                  </w:pPr>
                  <w:r w:rsidRPr="006B6BC2">
                    <w:t>0.1</w:t>
                  </w:r>
                </w:p>
              </w:tc>
              <w:tc>
                <w:tcPr>
                  <w:tcW w:w="655" w:type="pct"/>
                  <w:shd w:val="clear" w:color="auto" w:fill="E0F1F7" w:themeFill="text2" w:themeFillTint="33"/>
                </w:tcPr>
                <w:p w14:paraId="10C1F776" w14:textId="77777777" w:rsidR="00C412FD" w:rsidRDefault="00C412FD" w:rsidP="00C412FD">
                  <w:pPr>
                    <w:pStyle w:val="TableBodyText"/>
                  </w:pPr>
                  <w:r w:rsidRPr="006B6BC2">
                    <w:t>1.1</w:t>
                  </w:r>
                </w:p>
              </w:tc>
              <w:tc>
                <w:tcPr>
                  <w:tcW w:w="606" w:type="pct"/>
                  <w:shd w:val="clear" w:color="auto" w:fill="E0F1F7" w:themeFill="text2" w:themeFillTint="33"/>
                </w:tcPr>
                <w:p w14:paraId="7C3F29A1" w14:textId="77777777" w:rsidR="00C412FD" w:rsidRDefault="00C412FD" w:rsidP="00C412FD">
                  <w:pPr>
                    <w:pStyle w:val="TableBodyText"/>
                  </w:pPr>
                  <w:r w:rsidRPr="006B6BC2">
                    <w:t>1.2</w:t>
                  </w:r>
                </w:p>
              </w:tc>
              <w:tc>
                <w:tcPr>
                  <w:tcW w:w="489" w:type="pct"/>
                  <w:shd w:val="clear" w:color="auto" w:fill="E0F1F7" w:themeFill="text2" w:themeFillTint="33"/>
                </w:tcPr>
                <w:p w14:paraId="1E2CF56F" w14:textId="77777777" w:rsidR="00C412FD" w:rsidRDefault="00C412FD" w:rsidP="00C412FD">
                  <w:pPr>
                    <w:pStyle w:val="TableBodyText"/>
                  </w:pPr>
                  <w:r w:rsidRPr="006B6BC2">
                    <w:t>2.0</w:t>
                  </w:r>
                </w:p>
              </w:tc>
              <w:tc>
                <w:tcPr>
                  <w:tcW w:w="572" w:type="pct"/>
                  <w:shd w:val="clear" w:color="auto" w:fill="E0F1F7" w:themeFill="text2" w:themeFillTint="33"/>
                </w:tcPr>
                <w:p w14:paraId="3DD06530" w14:textId="77777777" w:rsidR="00C412FD" w:rsidRDefault="00C412FD" w:rsidP="00C412FD">
                  <w:pPr>
                    <w:pStyle w:val="TableBodyText"/>
                  </w:pPr>
                  <w:r w:rsidRPr="006B6BC2">
                    <w:t>1.9</w:t>
                  </w:r>
                </w:p>
              </w:tc>
              <w:tc>
                <w:tcPr>
                  <w:tcW w:w="572" w:type="pct"/>
                  <w:shd w:val="clear" w:color="auto" w:fill="E0F1F7" w:themeFill="text2" w:themeFillTint="33"/>
                </w:tcPr>
                <w:p w14:paraId="7EC6AF4F" w14:textId="77777777" w:rsidR="00C412FD" w:rsidRDefault="00C412FD" w:rsidP="00C412FD">
                  <w:pPr>
                    <w:pStyle w:val="TableBodyText"/>
                    <w:ind w:right="28"/>
                  </w:pPr>
                  <w:r w:rsidRPr="006B6BC2">
                    <w:t>0.9</w:t>
                  </w:r>
                </w:p>
              </w:tc>
            </w:tr>
            <w:tr w:rsidR="00C412FD" w14:paraId="3FC5EA05" w14:textId="77777777" w:rsidTr="00781577">
              <w:tc>
                <w:tcPr>
                  <w:tcW w:w="1571" w:type="pct"/>
                  <w:shd w:val="clear" w:color="auto" w:fill="E0F1F7" w:themeFill="text2" w:themeFillTint="33"/>
                </w:tcPr>
                <w:p w14:paraId="6F423C9C" w14:textId="77777777" w:rsidR="00C412FD" w:rsidRDefault="00C412FD" w:rsidP="00C412FD">
                  <w:pPr>
                    <w:pStyle w:val="TableBodyText"/>
                    <w:jc w:val="left"/>
                  </w:pPr>
                  <w:r>
                    <w:t>Change</w:t>
                  </w:r>
                </w:p>
              </w:tc>
              <w:tc>
                <w:tcPr>
                  <w:tcW w:w="535" w:type="pct"/>
                  <w:shd w:val="clear" w:color="auto" w:fill="E0F1F7" w:themeFill="text2" w:themeFillTint="33"/>
                </w:tcPr>
                <w:p w14:paraId="5B1C0DC7" w14:textId="77777777" w:rsidR="00C412FD" w:rsidRDefault="00C52398" w:rsidP="00C412FD">
                  <w:pPr>
                    <w:pStyle w:val="TableBodyText"/>
                  </w:pPr>
                  <w:r>
                    <w:noBreakHyphen/>
                  </w:r>
                  <w:r w:rsidR="00C412FD" w:rsidRPr="006B6BC2">
                    <w:t>1.8</w:t>
                  </w:r>
                </w:p>
              </w:tc>
              <w:tc>
                <w:tcPr>
                  <w:tcW w:w="655" w:type="pct"/>
                  <w:shd w:val="clear" w:color="auto" w:fill="E0F1F7" w:themeFill="text2" w:themeFillTint="33"/>
                </w:tcPr>
                <w:p w14:paraId="5E4974B7" w14:textId="77777777" w:rsidR="00C412FD" w:rsidRDefault="00C412FD" w:rsidP="00C412FD">
                  <w:pPr>
                    <w:pStyle w:val="TableBodyText"/>
                  </w:pPr>
                  <w:r w:rsidRPr="006B6BC2">
                    <w:t>0.1</w:t>
                  </w:r>
                </w:p>
              </w:tc>
              <w:tc>
                <w:tcPr>
                  <w:tcW w:w="606" w:type="pct"/>
                  <w:shd w:val="clear" w:color="auto" w:fill="E0F1F7" w:themeFill="text2" w:themeFillTint="33"/>
                </w:tcPr>
                <w:p w14:paraId="430F8020" w14:textId="77777777" w:rsidR="00C412FD" w:rsidRDefault="00C412FD" w:rsidP="00C412FD">
                  <w:pPr>
                    <w:pStyle w:val="TableBodyText"/>
                  </w:pPr>
                  <w:r w:rsidRPr="006B6BC2">
                    <w:t>0.0</w:t>
                  </w:r>
                </w:p>
              </w:tc>
              <w:tc>
                <w:tcPr>
                  <w:tcW w:w="489" w:type="pct"/>
                  <w:shd w:val="clear" w:color="auto" w:fill="E0F1F7" w:themeFill="text2" w:themeFillTint="33"/>
                </w:tcPr>
                <w:p w14:paraId="44B317D4" w14:textId="77777777" w:rsidR="00C412FD" w:rsidRDefault="00C52398" w:rsidP="00C412FD">
                  <w:pPr>
                    <w:pStyle w:val="TableBodyText"/>
                  </w:pPr>
                  <w:r>
                    <w:noBreakHyphen/>
                  </w:r>
                  <w:r w:rsidR="00C412FD" w:rsidRPr="006B6BC2">
                    <w:t>3.0</w:t>
                  </w:r>
                </w:p>
              </w:tc>
              <w:tc>
                <w:tcPr>
                  <w:tcW w:w="572" w:type="pct"/>
                  <w:shd w:val="clear" w:color="auto" w:fill="E0F1F7" w:themeFill="text2" w:themeFillTint="33"/>
                </w:tcPr>
                <w:p w14:paraId="25A5EF71" w14:textId="77777777" w:rsidR="00C412FD" w:rsidRDefault="00C52398" w:rsidP="00C412FD">
                  <w:pPr>
                    <w:pStyle w:val="TableBodyText"/>
                  </w:pPr>
                  <w:r>
                    <w:noBreakHyphen/>
                  </w:r>
                  <w:r w:rsidR="00C412FD" w:rsidRPr="006B6BC2">
                    <w:t>0.8</w:t>
                  </w:r>
                </w:p>
              </w:tc>
              <w:tc>
                <w:tcPr>
                  <w:tcW w:w="572" w:type="pct"/>
                  <w:shd w:val="clear" w:color="auto" w:fill="E0F1F7" w:themeFill="text2" w:themeFillTint="33"/>
                </w:tcPr>
                <w:p w14:paraId="69DF8A34" w14:textId="77777777" w:rsidR="00C412FD" w:rsidRDefault="00C52398" w:rsidP="00C412FD">
                  <w:pPr>
                    <w:pStyle w:val="TableBodyText"/>
                    <w:ind w:right="28"/>
                  </w:pPr>
                  <w:r>
                    <w:noBreakHyphen/>
                  </w:r>
                  <w:r w:rsidR="00C412FD" w:rsidRPr="006B6BC2">
                    <w:t>3.1</w:t>
                  </w:r>
                </w:p>
              </w:tc>
            </w:tr>
          </w:tbl>
          <w:p w14:paraId="26AFA8B2" w14:textId="77777777" w:rsidR="00CF34A2" w:rsidRDefault="00CF34A2" w:rsidP="00C632EA">
            <w:pPr>
              <w:pStyle w:val="Box"/>
            </w:pPr>
          </w:p>
        </w:tc>
      </w:tr>
      <w:tr w:rsidR="00CF34A2" w14:paraId="328D092A" w14:textId="77777777" w:rsidTr="00C632EA">
        <w:tc>
          <w:tcPr>
            <w:tcW w:w="5000" w:type="pct"/>
            <w:tcBorders>
              <w:top w:val="nil"/>
              <w:left w:val="nil"/>
              <w:bottom w:val="nil"/>
              <w:right w:val="nil"/>
            </w:tcBorders>
            <w:shd w:val="clear" w:color="auto" w:fill="auto"/>
          </w:tcPr>
          <w:p w14:paraId="39D4C4C2" w14:textId="77777777" w:rsidR="00CF34A2" w:rsidRDefault="00CF34A2" w:rsidP="001E2860">
            <w:pPr>
              <w:pStyle w:val="Note"/>
              <w:rPr>
                <w:i/>
              </w:rPr>
            </w:pPr>
            <w:proofErr w:type="spellStart"/>
            <w:r w:rsidRPr="008E77FE">
              <w:rPr>
                <w:rStyle w:val="NoteLabel"/>
              </w:rPr>
              <w:t>a</w:t>
            </w:r>
            <w:proofErr w:type="spellEnd"/>
            <w:r>
              <w:t xml:space="preserve"> </w:t>
            </w:r>
            <w:r w:rsidR="001E2860">
              <w:t>The nominal wage rate is labour income per hour of all employed people</w:t>
            </w:r>
            <w:r w:rsidR="00577FAF">
              <w:t xml:space="preserve"> (including the self</w:t>
            </w:r>
            <w:r w:rsidR="00577FAF">
              <w:noBreakHyphen/>
              <w:t>employed)</w:t>
            </w:r>
            <w:r w:rsidR="001E2860">
              <w:t>. The producer price index is the implicit price deflator for GDP. Labour productivity is real GDP per hour worked.</w:t>
            </w:r>
            <w:r w:rsidR="00577FAF">
              <w:t xml:space="preserve"> The real consumer wage is the nominal wage deflated by the consumer price index, while the real producer wage is deflated by the producer price index</w:t>
            </w:r>
            <w:r w:rsidR="00137F29">
              <w:t xml:space="preserve"> (</w:t>
            </w:r>
            <w:proofErr w:type="spellStart"/>
            <w:r w:rsidR="00137F29">
              <w:t>proxied</w:t>
            </w:r>
            <w:proofErr w:type="spellEnd"/>
            <w:r w:rsidR="00137F29">
              <w:t xml:space="preserve"> by the GDP implicit price deflator).</w:t>
            </w:r>
          </w:p>
        </w:tc>
      </w:tr>
      <w:tr w:rsidR="00CF34A2" w14:paraId="4DEFE942" w14:textId="77777777" w:rsidTr="00C632EA">
        <w:tc>
          <w:tcPr>
            <w:tcW w:w="5000" w:type="pct"/>
            <w:tcBorders>
              <w:top w:val="nil"/>
              <w:left w:val="nil"/>
              <w:bottom w:val="nil"/>
              <w:right w:val="nil"/>
            </w:tcBorders>
            <w:shd w:val="clear" w:color="auto" w:fill="auto"/>
          </w:tcPr>
          <w:p w14:paraId="67A55D0F" w14:textId="77777777" w:rsidR="00CF34A2" w:rsidRDefault="00CF34A2" w:rsidP="004D3656">
            <w:pPr>
              <w:pStyle w:val="Source"/>
            </w:pPr>
            <w:r>
              <w:rPr>
                <w:i/>
              </w:rPr>
              <w:t>Source</w:t>
            </w:r>
            <w:r w:rsidRPr="00167F06">
              <w:t>:</w:t>
            </w:r>
            <w:r w:rsidR="008E0B0C">
              <w:t xml:space="preserve"> </w:t>
            </w:r>
            <w:r w:rsidR="0001016E">
              <w:t xml:space="preserve">As specified in </w:t>
            </w:r>
            <w:r w:rsidR="008E0B0C">
              <w:t>box 3.1 and figure</w:t>
            </w:r>
            <w:r w:rsidR="004D3656">
              <w:t> </w:t>
            </w:r>
            <w:r w:rsidR="008E0B0C">
              <w:t>3.1</w:t>
            </w:r>
            <w:r w:rsidR="00EC4675">
              <w:t>.</w:t>
            </w:r>
          </w:p>
        </w:tc>
      </w:tr>
      <w:tr w:rsidR="00CF34A2" w14:paraId="780852CE" w14:textId="77777777" w:rsidTr="00C632EA">
        <w:tc>
          <w:tcPr>
            <w:tcW w:w="5000" w:type="pct"/>
            <w:tcBorders>
              <w:top w:val="nil"/>
              <w:left w:val="nil"/>
              <w:bottom w:val="single" w:sz="6" w:space="0" w:color="78A22F"/>
              <w:right w:val="nil"/>
            </w:tcBorders>
            <w:shd w:val="clear" w:color="auto" w:fill="auto"/>
          </w:tcPr>
          <w:p w14:paraId="07D45688" w14:textId="77777777" w:rsidR="00CF34A2" w:rsidRDefault="00CF34A2" w:rsidP="00C632EA">
            <w:pPr>
              <w:pStyle w:val="Box"/>
              <w:spacing w:before="0" w:line="120" w:lineRule="exact"/>
            </w:pPr>
          </w:p>
        </w:tc>
      </w:tr>
      <w:tr w:rsidR="00CF34A2" w:rsidRPr="000863A5" w14:paraId="0BE61082" w14:textId="77777777" w:rsidTr="00C632EA">
        <w:tc>
          <w:tcPr>
            <w:tcW w:w="5000" w:type="pct"/>
            <w:tcBorders>
              <w:top w:val="single" w:sz="6" w:space="0" w:color="78A22F"/>
              <w:left w:val="nil"/>
              <w:bottom w:val="nil"/>
              <w:right w:val="nil"/>
            </w:tcBorders>
          </w:tcPr>
          <w:p w14:paraId="725D99E6" w14:textId="77777777" w:rsidR="00CF34A2" w:rsidRPr="00626D32" w:rsidRDefault="00CF34A2" w:rsidP="00C632EA">
            <w:pPr>
              <w:pStyle w:val="BoxSpaceBelow"/>
            </w:pPr>
          </w:p>
        </w:tc>
      </w:tr>
    </w:tbl>
    <w:p w14:paraId="1413F9C3" w14:textId="77777777" w:rsidR="007A0067" w:rsidRDefault="007A0067" w:rsidP="007600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A0067" w14:paraId="5E3D27BB" w14:textId="77777777" w:rsidTr="007600CD">
        <w:trPr>
          <w:tblHeader/>
        </w:trPr>
        <w:tc>
          <w:tcPr>
            <w:tcW w:w="5000" w:type="pct"/>
            <w:tcBorders>
              <w:top w:val="single" w:sz="6" w:space="0" w:color="78A22F"/>
              <w:left w:val="nil"/>
              <w:bottom w:val="nil"/>
              <w:right w:val="nil"/>
            </w:tcBorders>
            <w:shd w:val="clear" w:color="auto" w:fill="auto"/>
          </w:tcPr>
          <w:p w14:paraId="5D615999" w14:textId="77777777" w:rsidR="007A0067" w:rsidRDefault="007A0067" w:rsidP="007A0067">
            <w:pPr>
              <w:pStyle w:val="FigureTitle"/>
            </w:pPr>
            <w:r w:rsidRPr="00784A05">
              <w:rPr>
                <w:b w:val="0"/>
              </w:rPr>
              <w:t xml:space="preserve">Figure </w:t>
            </w:r>
            <w:r w:rsidR="00556657">
              <w:rPr>
                <w:b w:val="0"/>
              </w:rPr>
              <w:t>3.1</w:t>
            </w:r>
            <w:r>
              <w:tab/>
              <w:t>Current wage stagnation is only rivalled by the mid</w:t>
            </w:r>
            <w:r>
              <w:noBreakHyphen/>
            </w:r>
            <w:proofErr w:type="spellStart"/>
            <w:r>
              <w:t>1980s</w:t>
            </w:r>
            <w:proofErr w:type="spellEnd"/>
          </w:p>
          <w:p w14:paraId="7AB71F6A" w14:textId="1F27CB33" w:rsidR="004765EB" w:rsidRPr="004765EB" w:rsidRDefault="004765EB" w:rsidP="00DB4BAA">
            <w:pPr>
              <w:pStyle w:val="Subtitle"/>
            </w:pPr>
            <w:r>
              <w:t xml:space="preserve">Index </w:t>
            </w:r>
            <w:r w:rsidR="0096001B">
              <w:t>(</w:t>
            </w:r>
            <w:r>
              <w:t>1959</w:t>
            </w:r>
            <w:r>
              <w:noBreakHyphen/>
              <w:t xml:space="preserve">60 = </w:t>
            </w:r>
            <w:r w:rsidR="00DB4BAA">
              <w:t>100</w:t>
            </w:r>
            <w:r w:rsidR="0096001B">
              <w:t>)</w:t>
            </w:r>
            <w:r w:rsidR="00AC69DA" w:rsidRPr="00AC69DA">
              <w:rPr>
                <w:rStyle w:val="NoteLabel"/>
              </w:rPr>
              <w:t>a</w:t>
            </w:r>
          </w:p>
        </w:tc>
      </w:tr>
      <w:tr w:rsidR="007A0067" w14:paraId="294F2816" w14:textId="77777777" w:rsidTr="007600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7A0067" w:rsidRPr="00B1465D" w14:paraId="45707190" w14:textId="77777777" w:rsidTr="007A0067">
              <w:trPr>
                <w:tblHeader/>
                <w:jc w:val="center"/>
              </w:trPr>
              <w:tc>
                <w:tcPr>
                  <w:tcW w:w="2500" w:type="pct"/>
                  <w:tcBorders>
                    <w:top w:val="nil"/>
                    <w:bottom w:val="nil"/>
                  </w:tcBorders>
                </w:tcPr>
                <w:p w14:paraId="6B2A2572" w14:textId="77777777" w:rsidR="007A0067" w:rsidRPr="00B1465D" w:rsidRDefault="007A0067" w:rsidP="00F97C2F">
                  <w:pPr>
                    <w:pStyle w:val="Figure"/>
                    <w:spacing w:before="60" w:after="60"/>
                    <w:rPr>
                      <w:rFonts w:ascii="Arial" w:hAnsi="Arial" w:cs="Arial"/>
                      <w:sz w:val="18"/>
                      <w:szCs w:val="18"/>
                    </w:rPr>
                  </w:pPr>
                  <w:r>
                    <w:rPr>
                      <w:rFonts w:ascii="Arial" w:hAnsi="Arial" w:cs="Arial"/>
                      <w:sz w:val="18"/>
                      <w:szCs w:val="18"/>
                    </w:rPr>
                    <w:t>The long run (</w:t>
                  </w:r>
                  <w:r w:rsidR="00F97C2F">
                    <w:rPr>
                      <w:rFonts w:ascii="Arial" w:hAnsi="Arial" w:cs="Arial"/>
                      <w:sz w:val="18"/>
                      <w:szCs w:val="18"/>
                    </w:rPr>
                    <w:t>1959</w:t>
                  </w:r>
                  <w:r w:rsidR="00F97C2F">
                    <w:rPr>
                      <w:rFonts w:ascii="Arial" w:hAnsi="Arial" w:cs="Arial"/>
                      <w:sz w:val="18"/>
                      <w:szCs w:val="18"/>
                    </w:rPr>
                    <w:noBreakHyphen/>
                    <w:t>60 to 2017</w:t>
                  </w:r>
                  <w:r w:rsidR="00F97C2F">
                    <w:rPr>
                      <w:rFonts w:ascii="Arial" w:hAnsi="Arial" w:cs="Arial"/>
                      <w:sz w:val="18"/>
                      <w:szCs w:val="18"/>
                    </w:rPr>
                    <w:noBreakHyphen/>
                    <w:t>18</w:t>
                  </w:r>
                  <w:r>
                    <w:rPr>
                      <w:rFonts w:ascii="Arial" w:hAnsi="Arial" w:cs="Arial"/>
                      <w:sz w:val="18"/>
                      <w:szCs w:val="18"/>
                    </w:rPr>
                    <w:t>)</w:t>
                  </w:r>
                </w:p>
              </w:tc>
              <w:tc>
                <w:tcPr>
                  <w:tcW w:w="2500" w:type="pct"/>
                  <w:tcBorders>
                    <w:top w:val="nil"/>
                    <w:bottom w:val="nil"/>
                  </w:tcBorders>
                </w:tcPr>
                <w:p w14:paraId="4AEB7190" w14:textId="77777777" w:rsidR="007A0067" w:rsidRPr="00B1465D" w:rsidRDefault="007A0067" w:rsidP="00F97C2F">
                  <w:pPr>
                    <w:pStyle w:val="Figure"/>
                    <w:spacing w:before="60" w:after="60"/>
                    <w:rPr>
                      <w:rFonts w:ascii="Arial" w:hAnsi="Arial" w:cs="Arial"/>
                      <w:sz w:val="18"/>
                      <w:szCs w:val="18"/>
                    </w:rPr>
                  </w:pPr>
                  <w:r>
                    <w:rPr>
                      <w:rFonts w:ascii="Arial" w:hAnsi="Arial" w:cs="Arial"/>
                      <w:sz w:val="18"/>
                      <w:szCs w:val="18"/>
                    </w:rPr>
                    <w:t>Recent history (</w:t>
                  </w:r>
                  <w:r w:rsidR="00F97C2F">
                    <w:rPr>
                      <w:rFonts w:ascii="Arial" w:hAnsi="Arial" w:cs="Arial"/>
                      <w:sz w:val="18"/>
                      <w:szCs w:val="18"/>
                    </w:rPr>
                    <w:t>2000</w:t>
                  </w:r>
                  <w:r w:rsidR="00F97C2F">
                    <w:rPr>
                      <w:rFonts w:ascii="Arial" w:hAnsi="Arial" w:cs="Arial"/>
                      <w:sz w:val="18"/>
                      <w:szCs w:val="18"/>
                    </w:rPr>
                    <w:noBreakHyphen/>
                    <w:t>01 to 2017</w:t>
                  </w:r>
                  <w:r w:rsidR="00F97C2F">
                    <w:rPr>
                      <w:rFonts w:ascii="Arial" w:hAnsi="Arial" w:cs="Arial"/>
                      <w:sz w:val="18"/>
                      <w:szCs w:val="18"/>
                    </w:rPr>
                    <w:noBreakHyphen/>
                    <w:t>18</w:t>
                  </w:r>
                  <w:r>
                    <w:rPr>
                      <w:rFonts w:ascii="Arial" w:hAnsi="Arial" w:cs="Arial"/>
                      <w:sz w:val="18"/>
                      <w:szCs w:val="18"/>
                    </w:rPr>
                    <w:t>)</w:t>
                  </w:r>
                </w:p>
              </w:tc>
            </w:tr>
            <w:tr w:rsidR="007A0067" w:rsidRPr="00B1465D" w14:paraId="40930168" w14:textId="77777777" w:rsidTr="007A0067">
              <w:trPr>
                <w:tblHeader/>
                <w:jc w:val="center"/>
              </w:trPr>
              <w:tc>
                <w:tcPr>
                  <w:tcW w:w="2500" w:type="pct"/>
                  <w:tcBorders>
                    <w:top w:val="nil"/>
                    <w:bottom w:val="nil"/>
                  </w:tcBorders>
                </w:tcPr>
                <w:p w14:paraId="05C16966" w14:textId="77777777" w:rsidR="007A0067" w:rsidRPr="00B1465D" w:rsidRDefault="00663691" w:rsidP="007600CD">
                  <w:pPr>
                    <w:pStyle w:val="Figure"/>
                    <w:spacing w:before="60" w:after="60"/>
                    <w:rPr>
                      <w:rFonts w:ascii="Arial" w:hAnsi="Arial" w:cs="Arial"/>
                      <w:sz w:val="18"/>
                      <w:szCs w:val="18"/>
                    </w:rPr>
                  </w:pPr>
                  <w:r w:rsidRPr="00663691">
                    <w:rPr>
                      <w:rFonts w:ascii="Arial" w:hAnsi="Arial" w:cs="Arial"/>
                      <w:noProof/>
                      <w:sz w:val="18"/>
                      <w:szCs w:val="18"/>
                    </w:rPr>
                    <w:drawing>
                      <wp:inline distT="0" distB="0" distL="0" distR="0" wp14:anchorId="13FAB11C" wp14:editId="13693F63">
                        <wp:extent cx="2663825" cy="2337435"/>
                        <wp:effectExtent l="0" t="0" r="3175" b="5715"/>
                        <wp:docPr id="5" name="Picture 5" descr="This shows the index values of the real producer wage, the real consumer wage and labour productivity over the period from 1959-60 to 2017-18. A large gap opened between real wages (however measured) and labour productivity in the 1970s, but by the 2000s, labour productivity and real producer wages moved together. In contrast, real consumer wages rose above real producer wages close to the time of the resources boom, and have only grown weakly after the end of the boom." title="The long run (1959 60 to 2017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3825" cy="2337435"/>
                                </a:xfrm>
                                <a:prstGeom prst="rect">
                                  <a:avLst/>
                                </a:prstGeom>
                                <a:noFill/>
                                <a:ln>
                                  <a:noFill/>
                                </a:ln>
                              </pic:spPr>
                            </pic:pic>
                          </a:graphicData>
                        </a:graphic>
                      </wp:inline>
                    </w:drawing>
                  </w:r>
                </w:p>
              </w:tc>
              <w:tc>
                <w:tcPr>
                  <w:tcW w:w="2500" w:type="pct"/>
                  <w:tcBorders>
                    <w:top w:val="nil"/>
                    <w:bottom w:val="nil"/>
                  </w:tcBorders>
                </w:tcPr>
                <w:p w14:paraId="67F5177D" w14:textId="77777777" w:rsidR="007A0067" w:rsidRPr="00B1465D" w:rsidRDefault="00663691" w:rsidP="007600CD">
                  <w:pPr>
                    <w:pStyle w:val="Figure"/>
                    <w:spacing w:before="60" w:after="60"/>
                    <w:rPr>
                      <w:rFonts w:ascii="Arial" w:hAnsi="Arial" w:cs="Arial"/>
                      <w:sz w:val="18"/>
                      <w:szCs w:val="18"/>
                    </w:rPr>
                  </w:pPr>
                  <w:r w:rsidRPr="00663691">
                    <w:rPr>
                      <w:rFonts w:ascii="Arial" w:hAnsi="Arial" w:cs="Arial"/>
                      <w:noProof/>
                      <w:sz w:val="18"/>
                      <w:szCs w:val="18"/>
                    </w:rPr>
                    <w:drawing>
                      <wp:inline distT="0" distB="0" distL="0" distR="0" wp14:anchorId="47B185FE" wp14:editId="006E30A0">
                        <wp:extent cx="2663825" cy="2337435"/>
                        <wp:effectExtent l="0" t="0" r="3175" b="5715"/>
                        <wp:docPr id="7" name="Picture 7" descr="This shows the pattern of growth in the real producer wage, the real consumer wage and labour productivity over the period from 2000-01 to 2017-18, and shows even more clearly how real consumer wages departed from labour productivity." title="Recent history (2000-01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63825" cy="2337435"/>
                                </a:xfrm>
                                <a:prstGeom prst="rect">
                                  <a:avLst/>
                                </a:prstGeom>
                                <a:noFill/>
                                <a:ln>
                                  <a:noFill/>
                                </a:ln>
                              </pic:spPr>
                            </pic:pic>
                          </a:graphicData>
                        </a:graphic>
                      </wp:inline>
                    </w:drawing>
                  </w:r>
                </w:p>
              </w:tc>
            </w:tr>
          </w:tbl>
          <w:p w14:paraId="62A9DB4E" w14:textId="77777777" w:rsidR="007A0067" w:rsidRDefault="007A0067" w:rsidP="007600CD">
            <w:pPr>
              <w:pStyle w:val="Figure"/>
            </w:pPr>
          </w:p>
        </w:tc>
      </w:tr>
      <w:tr w:rsidR="007A0067" w:rsidRPr="00176D3F" w14:paraId="0CD4DA74" w14:textId="77777777" w:rsidTr="007600CD">
        <w:tc>
          <w:tcPr>
            <w:tcW w:w="5000" w:type="pct"/>
            <w:tcBorders>
              <w:top w:val="nil"/>
              <w:left w:val="nil"/>
              <w:bottom w:val="nil"/>
              <w:right w:val="nil"/>
            </w:tcBorders>
            <w:shd w:val="clear" w:color="auto" w:fill="auto"/>
          </w:tcPr>
          <w:p w14:paraId="5CC1AB48" w14:textId="77777777" w:rsidR="007A0067" w:rsidRPr="00176D3F" w:rsidRDefault="007A0067" w:rsidP="001435B2">
            <w:pPr>
              <w:pStyle w:val="Note"/>
            </w:pPr>
            <w:r>
              <w:rPr>
                <w:rStyle w:val="NoteLabel"/>
              </w:rPr>
              <w:t>a</w:t>
            </w:r>
            <w:r>
              <w:t xml:space="preserve"> </w:t>
            </w:r>
            <w:r w:rsidR="003901A9">
              <w:t>Wages comprise compensation of employees from the National Accounts, plus imputed labour income of the self</w:t>
            </w:r>
            <w:r w:rsidR="003901A9">
              <w:noBreakHyphen/>
              <w:t xml:space="preserve">employed, calculated using the approach described in the </w:t>
            </w:r>
            <w:r w:rsidR="001435B2">
              <w:t xml:space="preserve">data </w:t>
            </w:r>
            <w:r w:rsidR="003901A9">
              <w:t xml:space="preserve">annex. </w:t>
            </w:r>
          </w:p>
        </w:tc>
      </w:tr>
      <w:tr w:rsidR="007A0067" w:rsidRPr="00176D3F" w14:paraId="483061DE" w14:textId="77777777" w:rsidTr="007600CD">
        <w:tc>
          <w:tcPr>
            <w:tcW w:w="5000" w:type="pct"/>
            <w:tcBorders>
              <w:top w:val="nil"/>
              <w:left w:val="nil"/>
              <w:bottom w:val="nil"/>
              <w:right w:val="nil"/>
            </w:tcBorders>
            <w:shd w:val="clear" w:color="auto" w:fill="auto"/>
          </w:tcPr>
          <w:p w14:paraId="5CCD39D4" w14:textId="7A34322D" w:rsidR="007A0067" w:rsidRPr="00176D3F" w:rsidRDefault="007A0067" w:rsidP="009D3E04">
            <w:pPr>
              <w:pStyle w:val="Source"/>
            </w:pPr>
            <w:r>
              <w:rPr>
                <w:i/>
              </w:rPr>
              <w:t>S</w:t>
            </w:r>
            <w:r w:rsidRPr="00784A05">
              <w:rPr>
                <w:i/>
              </w:rPr>
              <w:t>ource</w:t>
            </w:r>
            <w:r w:rsidR="00CE67C8">
              <w:rPr>
                <w:i/>
              </w:rPr>
              <w:t>s</w:t>
            </w:r>
            <w:r w:rsidRPr="00176D3F">
              <w:t xml:space="preserve">: </w:t>
            </w:r>
            <w:r w:rsidR="009D3E04" w:rsidRPr="009D3E04">
              <w:t xml:space="preserve">ABS (2018, </w:t>
            </w:r>
            <w:r w:rsidR="009D3E04" w:rsidRPr="009D3E04">
              <w:rPr>
                <w:i/>
                <w:iCs/>
              </w:rPr>
              <w:t xml:space="preserve">Australian System of National Accounts, </w:t>
            </w:r>
            <w:r w:rsidR="009D3E04" w:rsidRPr="009D3E04">
              <w:t>2017</w:t>
            </w:r>
            <w:r w:rsidR="009D3E04" w:rsidRPr="009D3E04">
              <w:noBreakHyphen/>
              <w:t>18</w:t>
            </w:r>
            <w:r w:rsidR="009D3E04" w:rsidRPr="009D3E04">
              <w:rPr>
                <w:i/>
                <w:iCs/>
              </w:rPr>
              <w:t>,</w:t>
            </w:r>
            <w:r w:rsidR="009D3E04" w:rsidRPr="009D3E04">
              <w:t xml:space="preserve"> Cat. no. 5204.0, tables</w:t>
            </w:r>
            <w:r w:rsidR="009D3E04">
              <w:t> </w:t>
            </w:r>
            <w:r w:rsidR="009D3E04" w:rsidRPr="009D3E04">
              <w:t xml:space="preserve">1 and 6); ABS (2018, </w:t>
            </w:r>
            <w:r w:rsidR="009D3E04" w:rsidRPr="009D3E04">
              <w:rPr>
                <w:i/>
                <w:iCs/>
              </w:rPr>
              <w:t>Estimates of Industry Multifactor Productivity</w:t>
            </w:r>
            <w:r w:rsidR="009D3E04" w:rsidRPr="009D3E04">
              <w:t>, 2017</w:t>
            </w:r>
            <w:r w:rsidR="009D3E04" w:rsidRPr="009D3E04">
              <w:noBreakHyphen/>
              <w:t>18, Cat. no. 5260.0.55.002, table</w:t>
            </w:r>
            <w:r w:rsidR="009D3E04">
              <w:t> </w:t>
            </w:r>
            <w:r w:rsidR="009D3E04" w:rsidRPr="009D3E04">
              <w:t xml:space="preserve">14); ABS (2018, </w:t>
            </w:r>
            <w:r w:rsidR="009D3E04" w:rsidRPr="009D3E04">
              <w:rPr>
                <w:i/>
                <w:iCs/>
              </w:rPr>
              <w:t>Labour Force, Australia, Detailed, Quarterly</w:t>
            </w:r>
            <w:r w:rsidR="009D3E04" w:rsidRPr="009D3E04">
              <w:t>, Aug 2018, Cat. no. 6291.0.55.003, table</w:t>
            </w:r>
            <w:r w:rsidR="009D3E04">
              <w:t> </w:t>
            </w:r>
            <w:r w:rsidR="009D3E04" w:rsidRPr="009D3E04">
              <w:t>11); and ABS</w:t>
            </w:r>
            <w:r w:rsidR="009D3E04">
              <w:t> </w:t>
            </w:r>
            <w:r w:rsidR="009D3E04" w:rsidRPr="009D3E04">
              <w:t xml:space="preserve">(2019, </w:t>
            </w:r>
            <w:r w:rsidR="009D3E04" w:rsidRPr="009D3E04">
              <w:rPr>
                <w:i/>
                <w:iCs/>
              </w:rPr>
              <w:t>Consumer Price Index, Australia</w:t>
            </w:r>
            <w:r w:rsidR="009D3E04" w:rsidRPr="009D3E04">
              <w:t>, Dec 2018, Cat. no. 6401.0, tables</w:t>
            </w:r>
            <w:r w:rsidR="009D3E04">
              <w:t> </w:t>
            </w:r>
            <w:r w:rsidR="009D3E04" w:rsidRPr="009D3E04">
              <w:t>1 and 2).</w:t>
            </w:r>
          </w:p>
        </w:tc>
      </w:tr>
      <w:tr w:rsidR="007A0067" w14:paraId="16836C61" w14:textId="77777777" w:rsidTr="007600CD">
        <w:tc>
          <w:tcPr>
            <w:tcW w:w="5000" w:type="pct"/>
            <w:tcBorders>
              <w:top w:val="nil"/>
              <w:left w:val="nil"/>
              <w:bottom w:val="single" w:sz="6" w:space="0" w:color="78A22F"/>
              <w:right w:val="nil"/>
            </w:tcBorders>
            <w:shd w:val="clear" w:color="auto" w:fill="auto"/>
          </w:tcPr>
          <w:p w14:paraId="0327520D" w14:textId="77777777" w:rsidR="007A0067" w:rsidRDefault="007A0067" w:rsidP="007600CD">
            <w:pPr>
              <w:pStyle w:val="Figurespace"/>
            </w:pPr>
          </w:p>
        </w:tc>
      </w:tr>
      <w:tr w:rsidR="007A0067" w:rsidRPr="000863A5" w14:paraId="49E34A7F" w14:textId="77777777" w:rsidTr="007600CD">
        <w:tc>
          <w:tcPr>
            <w:tcW w:w="5000" w:type="pct"/>
            <w:tcBorders>
              <w:top w:val="single" w:sz="6" w:space="0" w:color="78A22F"/>
              <w:left w:val="nil"/>
              <w:bottom w:val="nil"/>
              <w:right w:val="nil"/>
            </w:tcBorders>
          </w:tcPr>
          <w:p w14:paraId="4AE18CCC" w14:textId="77777777" w:rsidR="007A0067" w:rsidRPr="00626D32" w:rsidRDefault="007A0067" w:rsidP="007600CD">
            <w:pPr>
              <w:pStyle w:val="BoxSpaceBelow"/>
            </w:pPr>
          </w:p>
        </w:tc>
      </w:tr>
    </w:tbl>
    <w:p w14:paraId="2FADC28E" w14:textId="77777777" w:rsidR="0076423E" w:rsidRDefault="0076423E">
      <w:pPr>
        <w:rPr>
          <w:szCs w:val="20"/>
        </w:rPr>
      </w:pPr>
      <w:r>
        <w:br w:type="page"/>
      </w:r>
    </w:p>
    <w:p w14:paraId="380D81F3" w14:textId="77777777" w:rsidR="00EF45D8" w:rsidRDefault="00EF45D8" w:rsidP="00202B2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F45D8" w14:paraId="655AE7DD" w14:textId="77777777" w:rsidTr="00202B22">
        <w:trPr>
          <w:tblHeader/>
        </w:trPr>
        <w:tc>
          <w:tcPr>
            <w:tcW w:w="5000" w:type="pct"/>
            <w:tcBorders>
              <w:top w:val="single" w:sz="6" w:space="0" w:color="78A22F"/>
              <w:left w:val="nil"/>
              <w:bottom w:val="nil"/>
              <w:right w:val="nil"/>
            </w:tcBorders>
            <w:shd w:val="clear" w:color="auto" w:fill="auto"/>
          </w:tcPr>
          <w:p w14:paraId="793F223D" w14:textId="77777777" w:rsidR="00EF45D8" w:rsidRDefault="00EF45D8" w:rsidP="00202B22">
            <w:pPr>
              <w:pStyle w:val="FigureTitle"/>
            </w:pPr>
            <w:r w:rsidRPr="00784A05">
              <w:rPr>
                <w:b w:val="0"/>
              </w:rPr>
              <w:t xml:space="preserve">Figure </w:t>
            </w:r>
            <w:r w:rsidR="00556657">
              <w:rPr>
                <w:b w:val="0"/>
              </w:rPr>
              <w:t>3.2</w:t>
            </w:r>
            <w:r>
              <w:tab/>
            </w:r>
            <w:r w:rsidR="00587665">
              <w:t>W</w:t>
            </w:r>
            <w:r>
              <w:t>age stagnation varied markedly by industry</w:t>
            </w:r>
          </w:p>
          <w:p w14:paraId="06116BA2" w14:textId="16C3FF38" w:rsidR="00EF45D8" w:rsidRPr="00176D3F" w:rsidRDefault="00587665" w:rsidP="0056245D">
            <w:pPr>
              <w:pStyle w:val="Subtitle"/>
            </w:pPr>
            <w:r>
              <w:t xml:space="preserve">Average annual real wage </w:t>
            </w:r>
            <w:r w:rsidR="00EF45D8">
              <w:t>growth by industry</w:t>
            </w:r>
            <w:r>
              <w:t xml:space="preserve"> by period</w:t>
            </w:r>
            <w:r w:rsidR="008B65A2">
              <w:t xml:space="preserve"> (per</w:t>
            </w:r>
            <w:r w:rsidR="008F37C3">
              <w:t> cent per</w:t>
            </w:r>
            <w:r w:rsidR="0056245D">
              <w:t> </w:t>
            </w:r>
            <w:r w:rsidR="008F37C3">
              <w:t>year</w:t>
            </w:r>
            <w:r w:rsidR="008B65A2">
              <w:t>)</w:t>
            </w:r>
            <w:r w:rsidR="00EF45D8" w:rsidRPr="00A84AAF">
              <w:rPr>
                <w:rStyle w:val="NoteLabel"/>
              </w:rPr>
              <w:t>a</w:t>
            </w:r>
          </w:p>
        </w:tc>
      </w:tr>
      <w:tr w:rsidR="00EF45D8" w14:paraId="40EDF583" w14:textId="77777777" w:rsidTr="00202B22">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EF45D8" w:rsidRPr="00B1465D" w14:paraId="5ACDE1A7" w14:textId="77777777" w:rsidTr="000D658D">
              <w:trPr>
                <w:tblHeader/>
                <w:jc w:val="center"/>
              </w:trPr>
              <w:tc>
                <w:tcPr>
                  <w:tcW w:w="5000" w:type="pct"/>
                  <w:tcBorders>
                    <w:top w:val="nil"/>
                    <w:bottom w:val="nil"/>
                  </w:tcBorders>
                </w:tcPr>
                <w:p w14:paraId="57A4729D" w14:textId="77777777" w:rsidR="00EF45D8" w:rsidRPr="00B1465D" w:rsidRDefault="000D658D" w:rsidP="00202B22">
                  <w:pPr>
                    <w:pStyle w:val="Figure"/>
                    <w:spacing w:before="60" w:after="60"/>
                    <w:rPr>
                      <w:rFonts w:ascii="Arial" w:hAnsi="Arial" w:cs="Arial"/>
                      <w:sz w:val="18"/>
                      <w:szCs w:val="18"/>
                    </w:rPr>
                  </w:pPr>
                  <w:r w:rsidRPr="000D658D">
                    <w:rPr>
                      <w:rFonts w:ascii="Arial" w:hAnsi="Arial" w:cs="Arial"/>
                      <w:noProof/>
                      <w:sz w:val="18"/>
                      <w:szCs w:val="18"/>
                    </w:rPr>
                    <w:drawing>
                      <wp:inline distT="0" distB="0" distL="0" distR="0" wp14:anchorId="1E4C2B51" wp14:editId="6B2676F3">
                        <wp:extent cx="5400000" cy="3871978"/>
                        <wp:effectExtent l="0" t="0" r="0" b="0"/>
                        <wp:docPr id="56" name="Picture 56" descr="Figure 3.2 Wage stagnation varied markedly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1215" r="43464"/>
                                <a:stretch/>
                              </pic:blipFill>
                              <pic:spPr bwMode="auto">
                                <a:xfrm>
                                  <a:off x="0" y="0"/>
                                  <a:ext cx="5400000" cy="38719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569DBC" w14:textId="77777777" w:rsidR="00EF45D8" w:rsidRDefault="00EF45D8" w:rsidP="00202B22">
            <w:pPr>
              <w:pStyle w:val="Figure"/>
            </w:pPr>
          </w:p>
        </w:tc>
      </w:tr>
      <w:tr w:rsidR="00EF45D8" w:rsidRPr="00176D3F" w14:paraId="39F6CFC0" w14:textId="77777777" w:rsidTr="00202B22">
        <w:tc>
          <w:tcPr>
            <w:tcW w:w="5000" w:type="pct"/>
            <w:tcBorders>
              <w:top w:val="nil"/>
              <w:left w:val="nil"/>
              <w:bottom w:val="nil"/>
              <w:right w:val="nil"/>
            </w:tcBorders>
            <w:shd w:val="clear" w:color="auto" w:fill="auto"/>
          </w:tcPr>
          <w:p w14:paraId="03F06F9F" w14:textId="77777777" w:rsidR="00EF45D8" w:rsidRPr="00176D3F" w:rsidRDefault="00EF45D8" w:rsidP="00640483">
            <w:pPr>
              <w:pStyle w:val="Note"/>
            </w:pPr>
            <w:proofErr w:type="spellStart"/>
            <w:r>
              <w:rPr>
                <w:rStyle w:val="NoteLabel"/>
              </w:rPr>
              <w:t>a</w:t>
            </w:r>
            <w:proofErr w:type="spellEnd"/>
            <w:r>
              <w:t xml:space="preserve"> </w:t>
            </w:r>
            <w:r w:rsidR="00813706">
              <w:t xml:space="preserve">The wage measure shown here </w:t>
            </w:r>
            <w:r w:rsidR="006D0348">
              <w:t>relates to non</w:t>
            </w:r>
            <w:r w:rsidR="006D0348">
              <w:noBreakHyphen/>
              <w:t>agricultural industries and uses the wage price index (</w:t>
            </w:r>
            <w:proofErr w:type="spellStart"/>
            <w:r w:rsidR="006D0348">
              <w:t>WPI</w:t>
            </w:r>
            <w:proofErr w:type="spellEnd"/>
            <w:r w:rsidR="006D0348">
              <w:t>) (box 3.1)</w:t>
            </w:r>
            <w:r w:rsidR="00640483">
              <w:t xml:space="preserve"> and is therefore a different measure of wage stagnation from that shown in figure 3.1 and table 3.2</w:t>
            </w:r>
            <w:r w:rsidR="006D0348">
              <w:t xml:space="preserve">. </w:t>
            </w:r>
            <w:r w:rsidR="00640483">
              <w:t>The ABS only reports d</w:t>
            </w:r>
            <w:r w:rsidR="006D0348">
              <w:t xml:space="preserve">ata on the </w:t>
            </w:r>
            <w:proofErr w:type="spellStart"/>
            <w:r w:rsidR="006D0348">
              <w:t>WPI</w:t>
            </w:r>
            <w:proofErr w:type="spellEnd"/>
            <w:r w:rsidR="006D0348">
              <w:t xml:space="preserve"> at the industry level for the combined public and private sector with bonuses excluded, which is why there is a small difference between the value shown for all industries in this chart compared with </w:t>
            </w:r>
            <w:r w:rsidR="00640483">
              <w:t xml:space="preserve">the </w:t>
            </w:r>
            <w:proofErr w:type="spellStart"/>
            <w:r w:rsidR="00640483">
              <w:t>WPI</w:t>
            </w:r>
            <w:proofErr w:type="spellEnd"/>
            <w:r w:rsidR="00640483">
              <w:t xml:space="preserve"> measure used in </w:t>
            </w:r>
            <w:r w:rsidR="006D0348">
              <w:t>table 3.1.</w:t>
            </w:r>
            <w:r w:rsidR="00640483">
              <w:t xml:space="preserve"> </w:t>
            </w:r>
          </w:p>
        </w:tc>
      </w:tr>
      <w:tr w:rsidR="00EF45D8" w:rsidRPr="00176D3F" w14:paraId="4DC60713" w14:textId="77777777" w:rsidTr="00202B22">
        <w:tc>
          <w:tcPr>
            <w:tcW w:w="5000" w:type="pct"/>
            <w:tcBorders>
              <w:top w:val="nil"/>
              <w:left w:val="nil"/>
              <w:bottom w:val="nil"/>
              <w:right w:val="nil"/>
            </w:tcBorders>
            <w:shd w:val="clear" w:color="auto" w:fill="auto"/>
          </w:tcPr>
          <w:p w14:paraId="4C8CB9F0" w14:textId="4DFE48EA" w:rsidR="00EF45D8" w:rsidRPr="00176D3F" w:rsidRDefault="00EF45D8" w:rsidP="009D3E04">
            <w:pPr>
              <w:pStyle w:val="Source"/>
            </w:pPr>
            <w:r>
              <w:rPr>
                <w:i/>
              </w:rPr>
              <w:t>S</w:t>
            </w:r>
            <w:r w:rsidRPr="00784A05">
              <w:rPr>
                <w:i/>
              </w:rPr>
              <w:t>ource</w:t>
            </w:r>
            <w:r w:rsidR="00C52398">
              <w:rPr>
                <w:i/>
              </w:rPr>
              <w:t>s</w:t>
            </w:r>
            <w:r w:rsidRPr="00176D3F">
              <w:t xml:space="preserve">: </w:t>
            </w:r>
            <w:r w:rsidR="009D3E04" w:rsidRPr="009D3E04">
              <w:t xml:space="preserve">ABS (2019, </w:t>
            </w:r>
            <w:r w:rsidR="009D3E04" w:rsidRPr="009D3E04">
              <w:rPr>
                <w:i/>
                <w:iCs/>
              </w:rPr>
              <w:t>Wage Price Index, Australia</w:t>
            </w:r>
            <w:r w:rsidR="009D3E04" w:rsidRPr="009D3E04">
              <w:t>, Dec 2018, Cat. no. 6345.0, table</w:t>
            </w:r>
            <w:r w:rsidR="009D3E04">
              <w:t> </w:t>
            </w:r>
            <w:proofErr w:type="spellStart"/>
            <w:r w:rsidR="009D3E04" w:rsidRPr="009D3E04">
              <w:t>9b</w:t>
            </w:r>
            <w:proofErr w:type="spellEnd"/>
            <w:r w:rsidR="009D3E04" w:rsidRPr="009D3E04">
              <w:t xml:space="preserve">) and ABS (2019, </w:t>
            </w:r>
            <w:r w:rsidR="009D3E04" w:rsidRPr="009D3E04">
              <w:rPr>
                <w:i/>
                <w:iCs/>
              </w:rPr>
              <w:t>Consumer Price Index, Australia</w:t>
            </w:r>
            <w:r w:rsidR="009D3E04" w:rsidRPr="009D3E04">
              <w:t>, Dec 2018, Cat. no. 6401.0, tables</w:t>
            </w:r>
            <w:r w:rsidR="009D3E04">
              <w:t> </w:t>
            </w:r>
            <w:r w:rsidR="009D3E04" w:rsidRPr="009D3E04">
              <w:t>1 and 2).</w:t>
            </w:r>
          </w:p>
        </w:tc>
      </w:tr>
      <w:tr w:rsidR="00EF45D8" w14:paraId="42D53DD7" w14:textId="77777777" w:rsidTr="00202B22">
        <w:tc>
          <w:tcPr>
            <w:tcW w:w="5000" w:type="pct"/>
            <w:tcBorders>
              <w:top w:val="nil"/>
              <w:left w:val="nil"/>
              <w:bottom w:val="single" w:sz="6" w:space="0" w:color="78A22F"/>
              <w:right w:val="nil"/>
            </w:tcBorders>
            <w:shd w:val="clear" w:color="auto" w:fill="auto"/>
          </w:tcPr>
          <w:p w14:paraId="410A4A68" w14:textId="77777777" w:rsidR="00EF45D8" w:rsidRDefault="00EF45D8" w:rsidP="00202B22">
            <w:pPr>
              <w:pStyle w:val="Figurespace"/>
            </w:pPr>
          </w:p>
        </w:tc>
      </w:tr>
      <w:tr w:rsidR="00EF45D8" w:rsidRPr="000863A5" w14:paraId="1497D295" w14:textId="77777777" w:rsidTr="00202B22">
        <w:tc>
          <w:tcPr>
            <w:tcW w:w="5000" w:type="pct"/>
            <w:tcBorders>
              <w:top w:val="single" w:sz="6" w:space="0" w:color="78A22F"/>
              <w:left w:val="nil"/>
              <w:bottom w:val="nil"/>
              <w:right w:val="nil"/>
            </w:tcBorders>
          </w:tcPr>
          <w:p w14:paraId="09B23494" w14:textId="77777777" w:rsidR="00EF45D8" w:rsidRPr="00626D32" w:rsidRDefault="00EF45D8" w:rsidP="00202B22">
            <w:pPr>
              <w:pStyle w:val="BoxSpaceBelow"/>
            </w:pPr>
          </w:p>
        </w:tc>
      </w:tr>
    </w:tbl>
    <w:p w14:paraId="1F76562D" w14:textId="77777777" w:rsidR="00DD30CD" w:rsidRDefault="00DD30CD" w:rsidP="00DD30CD">
      <w:pPr>
        <w:pStyle w:val="BodyText"/>
      </w:pPr>
      <w:r>
        <w:t>By definition, the fact that real producer wages follow labour productivity in recent years, while real consumer wages do not</w:t>
      </w:r>
      <w:r w:rsidR="00FC2FF6">
        <w:t>,</w:t>
      </w:r>
      <w:r>
        <w:t xml:space="preserve"> must reflect differences in the pathways for producer and consumer prices</w:t>
      </w:r>
      <w:r w:rsidR="00C0402F">
        <w:t xml:space="preserve"> </w:t>
      </w:r>
      <w:r w:rsidR="00C0402F" w:rsidRPr="00C0402F">
        <w:rPr>
          <w:szCs w:val="24"/>
        </w:rPr>
        <w:t>(Kirchner 2019)</w:t>
      </w:r>
      <w:r>
        <w:t xml:space="preserve">. For much of the period from the </w:t>
      </w:r>
      <w:proofErr w:type="spellStart"/>
      <w:r>
        <w:t>1960s</w:t>
      </w:r>
      <w:proofErr w:type="spellEnd"/>
      <w:r>
        <w:t xml:space="preserve"> to 2017</w:t>
      </w:r>
      <w:r>
        <w:noBreakHyphen/>
        <w:t xml:space="preserve">18, consumer and producer price changes followed a very similar pattern. This </w:t>
      </w:r>
      <w:r w:rsidR="00A72900">
        <w:t xml:space="preserve">broke down in the early </w:t>
      </w:r>
      <w:proofErr w:type="spellStart"/>
      <w:r w:rsidR="00A72900">
        <w:t>2000s</w:t>
      </w:r>
      <w:proofErr w:type="spellEnd"/>
      <w:r w:rsidR="00A72900">
        <w:t xml:space="preserve"> as commodity prices boomed</w:t>
      </w:r>
      <w:r w:rsidR="00FC2FF6">
        <w:t xml:space="preserve">, with a more protracted response of consumer to producer prices </w:t>
      </w:r>
      <w:r w:rsidR="00860A59">
        <w:t>(figure 3.</w:t>
      </w:r>
      <w:r w:rsidR="008F7786">
        <w:t>3</w:t>
      </w:r>
      <w:r w:rsidR="00860A59">
        <w:t>)</w:t>
      </w:r>
      <w:r w:rsidR="00D303B2">
        <w:t>.</w:t>
      </w:r>
      <w:r w:rsidR="00D303B2" w:rsidRPr="007A5DC9">
        <w:rPr>
          <w:rStyle w:val="FootnoteReference"/>
        </w:rPr>
        <w:footnoteReference w:id="11"/>
      </w:r>
    </w:p>
    <w:p w14:paraId="19D4D118" w14:textId="77777777" w:rsidR="002C4A1E" w:rsidRDefault="002C4A1E" w:rsidP="002C4A1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C4A1E" w14:paraId="332E07FF" w14:textId="77777777" w:rsidTr="00202B22">
        <w:trPr>
          <w:tblHeader/>
        </w:trPr>
        <w:tc>
          <w:tcPr>
            <w:tcW w:w="5000" w:type="pct"/>
            <w:tcBorders>
              <w:top w:val="single" w:sz="6" w:space="0" w:color="78A22F"/>
              <w:left w:val="nil"/>
              <w:bottom w:val="nil"/>
              <w:right w:val="nil"/>
            </w:tcBorders>
            <w:shd w:val="clear" w:color="auto" w:fill="auto"/>
          </w:tcPr>
          <w:p w14:paraId="146649E8" w14:textId="77777777" w:rsidR="002C4A1E" w:rsidRPr="00176D3F" w:rsidRDefault="002C4A1E" w:rsidP="008F7786">
            <w:pPr>
              <w:pStyle w:val="FigureTitle"/>
            </w:pPr>
            <w:r w:rsidRPr="00784A05">
              <w:rPr>
                <w:b w:val="0"/>
              </w:rPr>
              <w:t xml:space="preserve">Figure </w:t>
            </w:r>
            <w:r w:rsidR="008F7786">
              <w:rPr>
                <w:b w:val="0"/>
              </w:rPr>
              <w:t>3.3</w:t>
            </w:r>
            <w:r>
              <w:tab/>
              <w:t>The big divergence — the dynamics of producer and consumer prices</w:t>
            </w:r>
          </w:p>
        </w:tc>
      </w:tr>
      <w:tr w:rsidR="002C4A1E" w14:paraId="78EC7291" w14:textId="77777777" w:rsidTr="00202B2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2C4A1E" w:rsidRPr="00B1465D" w14:paraId="1E27B9CE" w14:textId="77777777" w:rsidTr="00202B22">
              <w:trPr>
                <w:tblHeader/>
                <w:jc w:val="center"/>
              </w:trPr>
              <w:tc>
                <w:tcPr>
                  <w:tcW w:w="2500" w:type="pct"/>
                  <w:tcBorders>
                    <w:top w:val="nil"/>
                    <w:bottom w:val="nil"/>
                  </w:tcBorders>
                </w:tcPr>
                <w:p w14:paraId="07F59CC1" w14:textId="23B5E106" w:rsidR="002C4A1E" w:rsidRPr="00B1465D" w:rsidRDefault="002C4A1E" w:rsidP="008541EB">
                  <w:pPr>
                    <w:pStyle w:val="Figure"/>
                    <w:spacing w:before="60" w:after="60"/>
                    <w:rPr>
                      <w:rFonts w:ascii="Arial" w:hAnsi="Arial" w:cs="Arial"/>
                      <w:sz w:val="18"/>
                      <w:szCs w:val="18"/>
                    </w:rPr>
                  </w:pPr>
                  <w:r>
                    <w:rPr>
                      <w:rFonts w:ascii="Arial" w:hAnsi="Arial" w:cs="Arial"/>
                      <w:sz w:val="18"/>
                      <w:szCs w:val="18"/>
                    </w:rPr>
                    <w:t>Long</w:t>
                  </w:r>
                  <w:r>
                    <w:rPr>
                      <w:rFonts w:ascii="Arial" w:hAnsi="Arial" w:cs="Arial"/>
                      <w:sz w:val="18"/>
                      <w:szCs w:val="18"/>
                    </w:rPr>
                    <w:noBreakHyphen/>
                    <w:t>run inflation</w:t>
                  </w:r>
                  <w:r w:rsidR="008F37C3">
                    <w:rPr>
                      <w:rFonts w:ascii="Arial" w:hAnsi="Arial" w:cs="Arial"/>
                      <w:sz w:val="18"/>
                      <w:szCs w:val="18"/>
                    </w:rPr>
                    <w:t>,</w:t>
                  </w:r>
                  <w:r>
                    <w:rPr>
                      <w:rFonts w:ascii="Arial" w:hAnsi="Arial" w:cs="Arial"/>
                      <w:sz w:val="18"/>
                      <w:szCs w:val="18"/>
                    </w:rPr>
                    <w:t xml:space="preserve"> 1960</w:t>
                  </w:r>
                  <w:r>
                    <w:rPr>
                      <w:rFonts w:ascii="Arial" w:hAnsi="Arial" w:cs="Arial"/>
                      <w:sz w:val="18"/>
                      <w:szCs w:val="18"/>
                    </w:rPr>
                    <w:noBreakHyphen/>
                    <w:t>61 to 2017</w:t>
                  </w:r>
                  <w:r>
                    <w:rPr>
                      <w:rFonts w:ascii="Arial" w:hAnsi="Arial" w:cs="Arial"/>
                      <w:sz w:val="18"/>
                      <w:szCs w:val="18"/>
                    </w:rPr>
                    <w:noBreakHyphen/>
                  </w:r>
                  <w:r w:rsidR="008F37C3">
                    <w:rPr>
                      <w:rFonts w:ascii="Arial" w:hAnsi="Arial" w:cs="Arial"/>
                      <w:sz w:val="18"/>
                      <w:szCs w:val="18"/>
                    </w:rPr>
                    <w:t>18</w:t>
                  </w:r>
                  <w:r w:rsidR="008F37C3">
                    <w:rPr>
                      <w:rFonts w:ascii="Arial" w:hAnsi="Arial" w:cs="Arial"/>
                      <w:sz w:val="18"/>
                      <w:szCs w:val="18"/>
                    </w:rPr>
                    <w:br/>
                  </w:r>
                  <w:r w:rsidR="003104DC">
                    <w:rPr>
                      <w:rFonts w:ascii="Arial" w:hAnsi="Arial" w:cs="Arial"/>
                      <w:sz w:val="18"/>
                      <w:szCs w:val="18"/>
                    </w:rPr>
                    <w:t>(per</w:t>
                  </w:r>
                  <w:r w:rsidR="008541EB">
                    <w:rPr>
                      <w:rFonts w:ascii="Arial" w:hAnsi="Arial" w:cs="Arial"/>
                      <w:sz w:val="18"/>
                      <w:szCs w:val="18"/>
                    </w:rPr>
                    <w:t> </w:t>
                  </w:r>
                  <w:r w:rsidR="003104DC">
                    <w:rPr>
                      <w:rFonts w:ascii="Arial" w:hAnsi="Arial" w:cs="Arial"/>
                      <w:sz w:val="18"/>
                      <w:szCs w:val="18"/>
                    </w:rPr>
                    <w:t>cent)</w:t>
                  </w:r>
                </w:p>
              </w:tc>
              <w:tc>
                <w:tcPr>
                  <w:tcW w:w="2500" w:type="pct"/>
                  <w:tcBorders>
                    <w:top w:val="nil"/>
                    <w:bottom w:val="nil"/>
                  </w:tcBorders>
                </w:tcPr>
                <w:p w14:paraId="748B46CA" w14:textId="1514F28A" w:rsidR="002C4A1E" w:rsidRPr="00B1465D" w:rsidRDefault="002C4A1E" w:rsidP="008F37C3">
                  <w:pPr>
                    <w:pStyle w:val="Figure"/>
                    <w:spacing w:before="60" w:after="60"/>
                    <w:rPr>
                      <w:rFonts w:ascii="Arial" w:hAnsi="Arial" w:cs="Arial"/>
                      <w:sz w:val="18"/>
                      <w:szCs w:val="18"/>
                    </w:rPr>
                  </w:pPr>
                  <w:r>
                    <w:rPr>
                      <w:rFonts w:ascii="Arial" w:hAnsi="Arial" w:cs="Arial"/>
                      <w:sz w:val="18"/>
                      <w:szCs w:val="18"/>
                    </w:rPr>
                    <w:t>Shorter</w:t>
                  </w:r>
                  <w:r>
                    <w:rPr>
                      <w:rFonts w:ascii="Arial" w:hAnsi="Arial" w:cs="Arial"/>
                      <w:sz w:val="18"/>
                      <w:szCs w:val="18"/>
                    </w:rPr>
                    <w:noBreakHyphen/>
                    <w:t xml:space="preserve"> run price levels</w:t>
                  </w:r>
                  <w:r w:rsidR="008F37C3">
                    <w:rPr>
                      <w:rFonts w:ascii="Arial" w:hAnsi="Arial" w:cs="Arial"/>
                      <w:sz w:val="18"/>
                      <w:szCs w:val="18"/>
                    </w:rPr>
                    <w:t>, 2003</w:t>
                  </w:r>
                  <w:r w:rsidR="008F37C3">
                    <w:rPr>
                      <w:rFonts w:ascii="Arial" w:hAnsi="Arial" w:cs="Arial"/>
                      <w:sz w:val="18"/>
                      <w:szCs w:val="18"/>
                    </w:rPr>
                    <w:noBreakHyphen/>
                    <w:t>04 to 2017</w:t>
                  </w:r>
                  <w:r w:rsidR="007475A6">
                    <w:rPr>
                      <w:rFonts w:ascii="Arial" w:hAnsi="Arial" w:cs="Arial"/>
                      <w:sz w:val="18"/>
                      <w:szCs w:val="18"/>
                    </w:rPr>
                    <w:noBreakHyphen/>
                  </w:r>
                  <w:r w:rsidR="008F37C3">
                    <w:rPr>
                      <w:rFonts w:ascii="Arial" w:hAnsi="Arial" w:cs="Arial"/>
                      <w:sz w:val="18"/>
                      <w:szCs w:val="18"/>
                    </w:rPr>
                    <w:t>18</w:t>
                  </w:r>
                  <w:r w:rsidR="008F37C3">
                    <w:rPr>
                      <w:rFonts w:ascii="Arial" w:hAnsi="Arial" w:cs="Arial"/>
                      <w:sz w:val="18"/>
                      <w:szCs w:val="18"/>
                    </w:rPr>
                    <w:br/>
                  </w:r>
                  <w:r>
                    <w:rPr>
                      <w:rFonts w:ascii="Arial" w:hAnsi="Arial" w:cs="Arial"/>
                      <w:sz w:val="18"/>
                      <w:szCs w:val="18"/>
                    </w:rPr>
                    <w:t>(</w:t>
                  </w:r>
                  <w:r w:rsidR="0096001B">
                    <w:rPr>
                      <w:rFonts w:ascii="Arial" w:hAnsi="Arial" w:cs="Arial"/>
                      <w:sz w:val="18"/>
                      <w:szCs w:val="18"/>
                    </w:rPr>
                    <w:t xml:space="preserve">index </w:t>
                  </w:r>
                  <w:r>
                    <w:rPr>
                      <w:rFonts w:ascii="Arial" w:hAnsi="Arial" w:cs="Arial"/>
                      <w:sz w:val="18"/>
                      <w:szCs w:val="18"/>
                    </w:rPr>
                    <w:t>2003</w:t>
                  </w:r>
                  <w:r>
                    <w:rPr>
                      <w:rFonts w:ascii="Arial" w:hAnsi="Arial" w:cs="Arial"/>
                      <w:sz w:val="18"/>
                      <w:szCs w:val="18"/>
                    </w:rPr>
                    <w:noBreakHyphen/>
                    <w:t>04=100)</w:t>
                  </w:r>
                </w:p>
              </w:tc>
            </w:tr>
            <w:tr w:rsidR="002C4A1E" w:rsidRPr="00B1465D" w14:paraId="6C2DC24A" w14:textId="77777777" w:rsidTr="00202B22">
              <w:trPr>
                <w:tblHeader/>
                <w:jc w:val="center"/>
              </w:trPr>
              <w:tc>
                <w:tcPr>
                  <w:tcW w:w="2500" w:type="pct"/>
                  <w:tcBorders>
                    <w:top w:val="nil"/>
                    <w:bottom w:val="nil"/>
                  </w:tcBorders>
                </w:tcPr>
                <w:p w14:paraId="750FE894" w14:textId="77777777" w:rsidR="002C4A1E" w:rsidRPr="00B1465D" w:rsidRDefault="00663691" w:rsidP="00202B22">
                  <w:pPr>
                    <w:pStyle w:val="Figure"/>
                    <w:spacing w:before="60" w:after="60"/>
                    <w:rPr>
                      <w:rFonts w:ascii="Arial" w:hAnsi="Arial" w:cs="Arial"/>
                      <w:sz w:val="18"/>
                      <w:szCs w:val="18"/>
                    </w:rPr>
                  </w:pPr>
                  <w:r w:rsidRPr="00663691">
                    <w:rPr>
                      <w:rFonts w:ascii="Arial" w:hAnsi="Arial" w:cs="Arial"/>
                      <w:noProof/>
                      <w:sz w:val="18"/>
                      <w:szCs w:val="18"/>
                    </w:rPr>
                    <w:drawing>
                      <wp:inline distT="0" distB="0" distL="0" distR="0" wp14:anchorId="3DAE3A48" wp14:editId="5FFEB0E6">
                        <wp:extent cx="2655570" cy="2425065"/>
                        <wp:effectExtent l="0" t="0" r="0" b="0"/>
                        <wp:docPr id="36" name="Picture 36" descr="This shows the relationship between consumer and producer prices growth rates from the 1960s. The growth rates moved very closely together until the early 2000s, and have since had a less clear-cut connection to each other." title="Long run inflation, 1960-61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55570" cy="2425065"/>
                                </a:xfrm>
                                <a:prstGeom prst="rect">
                                  <a:avLst/>
                                </a:prstGeom>
                                <a:noFill/>
                                <a:ln>
                                  <a:noFill/>
                                </a:ln>
                              </pic:spPr>
                            </pic:pic>
                          </a:graphicData>
                        </a:graphic>
                      </wp:inline>
                    </w:drawing>
                  </w:r>
                </w:p>
              </w:tc>
              <w:tc>
                <w:tcPr>
                  <w:tcW w:w="2500" w:type="pct"/>
                  <w:tcBorders>
                    <w:top w:val="nil"/>
                    <w:bottom w:val="nil"/>
                  </w:tcBorders>
                </w:tcPr>
                <w:p w14:paraId="7E5A604F" w14:textId="77777777" w:rsidR="002C4A1E" w:rsidRPr="00B1465D" w:rsidRDefault="00663691" w:rsidP="00202B22">
                  <w:pPr>
                    <w:pStyle w:val="Figure"/>
                    <w:spacing w:before="60" w:after="60"/>
                    <w:rPr>
                      <w:rFonts w:ascii="Arial" w:hAnsi="Arial" w:cs="Arial"/>
                      <w:sz w:val="18"/>
                      <w:szCs w:val="18"/>
                    </w:rPr>
                  </w:pPr>
                  <w:r w:rsidRPr="00663691">
                    <w:rPr>
                      <w:rFonts w:ascii="Arial" w:hAnsi="Arial" w:cs="Arial"/>
                      <w:noProof/>
                      <w:sz w:val="18"/>
                      <w:szCs w:val="18"/>
                    </w:rPr>
                    <w:drawing>
                      <wp:inline distT="0" distB="0" distL="0" distR="0" wp14:anchorId="48D5521A" wp14:editId="3ABB9486">
                        <wp:extent cx="2647950" cy="2433320"/>
                        <wp:effectExtent l="0" t="0" r="0" b="5080"/>
                        <wp:docPr id="39" name="Picture 39" descr="This presents the evidence on the break in the relationship between consumer and producer prices for the shorter period from 2003-04, showing that producer prices initially grew much faster than consumer prices, but practically stalled around 2011-12." title="Shorter -run price levels, 2003-0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647950" cy="2433320"/>
                                </a:xfrm>
                                <a:prstGeom prst="rect">
                                  <a:avLst/>
                                </a:prstGeom>
                                <a:noFill/>
                                <a:ln>
                                  <a:noFill/>
                                </a:ln>
                              </pic:spPr>
                            </pic:pic>
                          </a:graphicData>
                        </a:graphic>
                      </wp:inline>
                    </w:drawing>
                  </w:r>
                </w:p>
              </w:tc>
            </w:tr>
          </w:tbl>
          <w:p w14:paraId="32837A02" w14:textId="77777777" w:rsidR="002C4A1E" w:rsidRDefault="002C4A1E" w:rsidP="00202B22">
            <w:pPr>
              <w:pStyle w:val="Figure"/>
            </w:pPr>
          </w:p>
        </w:tc>
      </w:tr>
      <w:tr w:rsidR="002C4A1E" w:rsidRPr="00176D3F" w14:paraId="2FB02C9F" w14:textId="77777777" w:rsidTr="00202B22">
        <w:tc>
          <w:tcPr>
            <w:tcW w:w="5000" w:type="pct"/>
            <w:tcBorders>
              <w:top w:val="nil"/>
              <w:left w:val="nil"/>
              <w:bottom w:val="nil"/>
              <w:right w:val="nil"/>
            </w:tcBorders>
            <w:shd w:val="clear" w:color="auto" w:fill="auto"/>
          </w:tcPr>
          <w:p w14:paraId="21F42EB2" w14:textId="7B1DB117" w:rsidR="002C4A1E" w:rsidRPr="00176D3F" w:rsidRDefault="002C4A1E" w:rsidP="009D3E04">
            <w:pPr>
              <w:pStyle w:val="Source"/>
            </w:pPr>
            <w:r>
              <w:rPr>
                <w:i/>
              </w:rPr>
              <w:t>S</w:t>
            </w:r>
            <w:r w:rsidRPr="00784A05">
              <w:rPr>
                <w:i/>
              </w:rPr>
              <w:t>ource</w:t>
            </w:r>
            <w:r>
              <w:rPr>
                <w:i/>
              </w:rPr>
              <w:t>s</w:t>
            </w:r>
            <w:r w:rsidRPr="00176D3F">
              <w:t xml:space="preserve">: </w:t>
            </w:r>
            <w:r w:rsidR="009D3E04" w:rsidRPr="009D3E04">
              <w:t xml:space="preserve">ABS (2018, </w:t>
            </w:r>
            <w:r w:rsidR="009D3E04" w:rsidRPr="009D3E04">
              <w:rPr>
                <w:i/>
                <w:iCs/>
              </w:rPr>
              <w:t>Australian System of National Accounts</w:t>
            </w:r>
            <w:r w:rsidR="009D3E04" w:rsidRPr="009D3E04">
              <w:t>, 2017</w:t>
            </w:r>
            <w:r w:rsidR="009D3E04" w:rsidRPr="009D3E04">
              <w:noBreakHyphen/>
              <w:t>18, Cat. no. 5204.0, table</w:t>
            </w:r>
            <w:r w:rsidR="009D3E04">
              <w:t> </w:t>
            </w:r>
            <w:r w:rsidR="009D3E04" w:rsidRPr="009D3E04">
              <w:t xml:space="preserve">1); and ABS (2019, </w:t>
            </w:r>
            <w:r w:rsidR="009D3E04" w:rsidRPr="009D3E04">
              <w:rPr>
                <w:i/>
                <w:iCs/>
              </w:rPr>
              <w:t>Consumer Price Index, Australia</w:t>
            </w:r>
            <w:r w:rsidR="009D3E04" w:rsidRPr="009D3E04">
              <w:t>, Dec 2018, Cat. no. 6401.0, tables</w:t>
            </w:r>
            <w:r w:rsidR="009D3E04">
              <w:t> </w:t>
            </w:r>
            <w:r w:rsidR="009D3E04" w:rsidRPr="009D3E04">
              <w:t>1 and 2)).</w:t>
            </w:r>
          </w:p>
        </w:tc>
      </w:tr>
      <w:tr w:rsidR="002C4A1E" w14:paraId="3ACE9A57" w14:textId="77777777" w:rsidTr="00202B22">
        <w:tc>
          <w:tcPr>
            <w:tcW w:w="5000" w:type="pct"/>
            <w:tcBorders>
              <w:top w:val="nil"/>
              <w:left w:val="nil"/>
              <w:bottom w:val="single" w:sz="6" w:space="0" w:color="78A22F"/>
              <w:right w:val="nil"/>
            </w:tcBorders>
            <w:shd w:val="clear" w:color="auto" w:fill="auto"/>
          </w:tcPr>
          <w:p w14:paraId="14AC8DF5" w14:textId="77777777" w:rsidR="002C4A1E" w:rsidRDefault="002C4A1E" w:rsidP="00202B22">
            <w:pPr>
              <w:pStyle w:val="Figurespace"/>
            </w:pPr>
          </w:p>
        </w:tc>
      </w:tr>
      <w:tr w:rsidR="002C4A1E" w:rsidRPr="000863A5" w14:paraId="62FB40C9" w14:textId="77777777" w:rsidTr="00202B22">
        <w:tc>
          <w:tcPr>
            <w:tcW w:w="5000" w:type="pct"/>
            <w:tcBorders>
              <w:top w:val="single" w:sz="6" w:space="0" w:color="78A22F"/>
              <w:left w:val="nil"/>
              <w:bottom w:val="nil"/>
              <w:right w:val="nil"/>
            </w:tcBorders>
          </w:tcPr>
          <w:p w14:paraId="2303C723" w14:textId="77777777" w:rsidR="002C4A1E" w:rsidRPr="00626D32" w:rsidRDefault="002C4A1E" w:rsidP="00202B22">
            <w:pPr>
              <w:pStyle w:val="BoxSpaceBelow"/>
            </w:pPr>
          </w:p>
        </w:tc>
      </w:tr>
    </w:tbl>
    <w:p w14:paraId="5BF14C43" w14:textId="77777777" w:rsidR="008852DC" w:rsidRDefault="001043D2" w:rsidP="002C4A1E">
      <w:pPr>
        <w:pStyle w:val="BodyText"/>
      </w:pPr>
      <w:r>
        <w:t>Therefore, one interpretation of recent real wage pathways is that</w:t>
      </w:r>
      <w:r w:rsidR="008F37C3">
        <w:t>,</w:t>
      </w:r>
      <w:r>
        <w:t xml:space="preserve"> with the unprec</w:t>
      </w:r>
      <w:r w:rsidR="008852DC">
        <w:t>ed</w:t>
      </w:r>
      <w:r>
        <w:t xml:space="preserve">ented shift in the terms of trade during the resources boom, producer prices were disproportionately affected by </w:t>
      </w:r>
      <w:r w:rsidR="0003355F">
        <w:t>the</w:t>
      </w:r>
      <w:r>
        <w:t xml:space="preserve"> prices</w:t>
      </w:r>
      <w:r w:rsidR="0003355F">
        <w:t xml:space="preserve"> of commodities (and </w:t>
      </w:r>
      <w:r w:rsidR="00DE00C4">
        <w:t>by the prices of</w:t>
      </w:r>
      <w:r w:rsidR="0003355F">
        <w:t xml:space="preserve"> inputs into the resources sector)</w:t>
      </w:r>
      <w:r>
        <w:t xml:space="preserve">, which did not carry through to consumer prices to any great extent (a break from the past). </w:t>
      </w:r>
      <w:r w:rsidR="003A4DB6">
        <w:t xml:space="preserve">Households consume relatively modest amounts of these commodities. </w:t>
      </w:r>
      <w:r>
        <w:t>This raised the real consumer wage. When the commodity boom subsided, producer price growth flattened</w:t>
      </w:r>
      <w:r w:rsidR="008852DC">
        <w:t xml:space="preserve">, while consumer </w:t>
      </w:r>
      <w:r>
        <w:t>prices continued to grow</w:t>
      </w:r>
      <w:r w:rsidR="008852DC">
        <w:t xml:space="preserve">, weakening </w:t>
      </w:r>
      <w:r w:rsidR="007B16BD">
        <w:t xml:space="preserve">nominal and </w:t>
      </w:r>
      <w:r w:rsidR="008852DC">
        <w:t>real consumer wages.</w:t>
      </w:r>
      <w:r w:rsidR="008F6EFC">
        <w:t xml:space="preserve"> As noted in a recent Reserve Bank of Australia paper:</w:t>
      </w:r>
    </w:p>
    <w:p w14:paraId="5307A019" w14:textId="77777777" w:rsidR="008F6EFC" w:rsidRPr="00781577" w:rsidRDefault="008F6EFC" w:rsidP="001C017D">
      <w:pPr>
        <w:pStyle w:val="Quote"/>
        <w:rPr>
          <w:spacing w:val="2"/>
        </w:rPr>
      </w:pPr>
      <w:r w:rsidRPr="00781577">
        <w:rPr>
          <w:spacing w:val="2"/>
        </w:rPr>
        <w:t>Seen over a longer timeframe, the divergence between consumer wages and labour productivity appears to have been a temporary phenomenon and some of the stagnation in consumer wages over recent years is part of the adjustment process to the unwinding of the mining boom.</w:t>
      </w:r>
      <w:r w:rsidR="0003355F" w:rsidRPr="00781577">
        <w:rPr>
          <w:spacing w:val="2"/>
        </w:rPr>
        <w:t xml:space="preserve"> </w:t>
      </w:r>
      <w:r w:rsidR="004A036D" w:rsidRPr="00781577">
        <w:rPr>
          <w:spacing w:val="2"/>
          <w:szCs w:val="24"/>
        </w:rPr>
        <w:t>(La</w:t>
      </w:r>
      <w:r w:rsidR="00781577">
        <w:rPr>
          <w:spacing w:val="2"/>
          <w:szCs w:val="24"/>
        </w:rPr>
        <w:t> </w:t>
      </w:r>
      <w:r w:rsidR="004A036D" w:rsidRPr="00781577">
        <w:rPr>
          <w:spacing w:val="2"/>
          <w:szCs w:val="24"/>
        </w:rPr>
        <w:t>Cava 2019, pp. 5–6)</w:t>
      </w:r>
    </w:p>
    <w:p w14:paraId="6695BF4A" w14:textId="77777777" w:rsidR="00DE4272" w:rsidRPr="002B468E" w:rsidRDefault="00983ED6" w:rsidP="006D697B">
      <w:pPr>
        <w:pStyle w:val="BodyText"/>
        <w:rPr>
          <w:spacing w:val="-2"/>
        </w:rPr>
      </w:pPr>
      <w:r w:rsidRPr="002B468E">
        <w:rPr>
          <w:spacing w:val="-2"/>
        </w:rPr>
        <w:t xml:space="preserve">While the coincidence of the stagnation in the growth in nominal and real consumer wages and the </w:t>
      </w:r>
      <w:r w:rsidR="009F6217" w:rsidRPr="002B468E">
        <w:rPr>
          <w:spacing w:val="-2"/>
        </w:rPr>
        <w:t>end</w:t>
      </w:r>
      <w:r w:rsidRPr="002B468E">
        <w:rPr>
          <w:spacing w:val="-2"/>
        </w:rPr>
        <w:t xml:space="preserve"> of the</w:t>
      </w:r>
      <w:r w:rsidR="009F6217" w:rsidRPr="002B468E">
        <w:rPr>
          <w:spacing w:val="-2"/>
        </w:rPr>
        <w:t xml:space="preserve"> resources boom</w:t>
      </w:r>
      <w:r w:rsidRPr="002B468E">
        <w:rPr>
          <w:spacing w:val="-2"/>
        </w:rPr>
        <w:t xml:space="preserve"> lends substantial weight to this perspective, it may only partly explain recent wage and consumer price movements. </w:t>
      </w:r>
      <w:r w:rsidR="0003355F" w:rsidRPr="002B468E">
        <w:rPr>
          <w:spacing w:val="-2"/>
        </w:rPr>
        <w:t>Other countries have experienced low wage growth without any terms of trade shocks as their triggers. And real consumer wage growth in Australia has not shown any sign yet of a resurgence. Given this, various other explanations have been given for weak real wage growth</w:t>
      </w:r>
      <w:r w:rsidR="009F6217" w:rsidRPr="002B468E">
        <w:rPr>
          <w:spacing w:val="-2"/>
        </w:rPr>
        <w:t xml:space="preserve"> (box 3.2)</w:t>
      </w:r>
      <w:r w:rsidR="0003355F" w:rsidRPr="002B468E">
        <w:rPr>
          <w:spacing w:val="-2"/>
        </w:rPr>
        <w:t xml:space="preserve">. While some may </w:t>
      </w:r>
      <w:r w:rsidR="009F6217" w:rsidRPr="002B468E">
        <w:rPr>
          <w:spacing w:val="-2"/>
        </w:rPr>
        <w:t>add</w:t>
      </w:r>
      <w:r w:rsidR="0003355F" w:rsidRPr="002B468E">
        <w:rPr>
          <w:spacing w:val="-2"/>
        </w:rPr>
        <w:t xml:space="preserve"> explanatory power for real wage developments, it seems likely that</w:t>
      </w:r>
      <w:r w:rsidR="008F37C3" w:rsidRPr="002B468E">
        <w:rPr>
          <w:spacing w:val="-2"/>
        </w:rPr>
        <w:t>,</w:t>
      </w:r>
      <w:r w:rsidR="0003355F" w:rsidRPr="002B468E">
        <w:rPr>
          <w:spacing w:val="-2"/>
        </w:rPr>
        <w:t xml:space="preserve"> in an Australian context, the resources boom and its aftermath have</w:t>
      </w:r>
      <w:r w:rsidR="00DE00C4" w:rsidRPr="002B468E">
        <w:rPr>
          <w:spacing w:val="-2"/>
        </w:rPr>
        <w:t xml:space="preserve"> </w:t>
      </w:r>
      <w:r w:rsidR="004C0034" w:rsidRPr="002B468E">
        <w:rPr>
          <w:spacing w:val="-2"/>
        </w:rPr>
        <w:t>played</w:t>
      </w:r>
      <w:r w:rsidR="0003355F" w:rsidRPr="002B468E">
        <w:rPr>
          <w:spacing w:val="-2"/>
        </w:rPr>
        <w:t xml:space="preserve"> a </w:t>
      </w:r>
      <w:r w:rsidR="00642841" w:rsidRPr="002B468E">
        <w:rPr>
          <w:spacing w:val="-2"/>
        </w:rPr>
        <w:t>major</w:t>
      </w:r>
      <w:r w:rsidR="0003355F" w:rsidRPr="002B468E">
        <w:rPr>
          <w:spacing w:val="-2"/>
        </w:rPr>
        <w:t xml:space="preserve"> contributing role. </w:t>
      </w:r>
    </w:p>
    <w:p w14:paraId="19D85C6B" w14:textId="77777777" w:rsidR="009F6217" w:rsidRDefault="009F6217" w:rsidP="009F621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6217" w14:paraId="626CD971" w14:textId="77777777" w:rsidTr="0099706E">
        <w:trPr>
          <w:tblHeader/>
        </w:trPr>
        <w:tc>
          <w:tcPr>
            <w:tcW w:w="5000" w:type="pct"/>
            <w:tcBorders>
              <w:top w:val="single" w:sz="6" w:space="0" w:color="78A22F"/>
              <w:left w:val="nil"/>
              <w:bottom w:val="nil"/>
              <w:right w:val="nil"/>
            </w:tcBorders>
            <w:shd w:val="clear" w:color="auto" w:fill="F2F2F2"/>
          </w:tcPr>
          <w:p w14:paraId="1C5E22E1" w14:textId="77777777" w:rsidR="009F6217" w:rsidRDefault="009F6217" w:rsidP="0099706E">
            <w:pPr>
              <w:pStyle w:val="BoxTitle"/>
            </w:pPr>
            <w:r>
              <w:rPr>
                <w:b w:val="0"/>
              </w:rPr>
              <w:t>Box 3.2</w:t>
            </w:r>
            <w:r>
              <w:tab/>
              <w:t>Additional explanations for slow wages growth</w:t>
            </w:r>
          </w:p>
        </w:tc>
      </w:tr>
      <w:tr w:rsidR="009F6217" w14:paraId="568E76B4" w14:textId="77777777" w:rsidTr="0099706E">
        <w:tc>
          <w:tcPr>
            <w:tcW w:w="5000" w:type="pct"/>
            <w:tcBorders>
              <w:top w:val="nil"/>
              <w:left w:val="nil"/>
              <w:bottom w:val="nil"/>
              <w:right w:val="nil"/>
            </w:tcBorders>
            <w:shd w:val="clear" w:color="auto" w:fill="F2F2F2"/>
          </w:tcPr>
          <w:p w14:paraId="04DEBDBD" w14:textId="77777777" w:rsidR="009F6217" w:rsidRDefault="009F6217" w:rsidP="0099706E">
            <w:pPr>
              <w:pStyle w:val="Box"/>
            </w:pPr>
            <w:r>
              <w:t>Many explanations have been put forward to explain the recent weakness in wages growth. These include:</w:t>
            </w:r>
          </w:p>
          <w:p w14:paraId="7021AE89" w14:textId="77777777" w:rsidR="009F6217" w:rsidRPr="00A352B7" w:rsidRDefault="009F6217" w:rsidP="00D44AE4">
            <w:pPr>
              <w:pStyle w:val="BoxListBullet"/>
              <w:rPr>
                <w:spacing w:val="-2"/>
              </w:rPr>
            </w:pPr>
            <w:r w:rsidRPr="00A352B7">
              <w:rPr>
                <w:spacing w:val="-2"/>
              </w:rPr>
              <w:t>spare capacity in the labour market</w:t>
            </w:r>
            <w:r w:rsidR="00D44AE4" w:rsidRPr="00A352B7">
              <w:rPr>
                <w:spacing w:val="-2"/>
              </w:rPr>
              <w:t xml:space="preserve"> </w:t>
            </w:r>
            <w:r w:rsidR="00D44AE4" w:rsidRPr="00A352B7">
              <w:rPr>
                <w:rFonts w:cs="Arial"/>
                <w:spacing w:val="-2"/>
                <w:szCs w:val="24"/>
              </w:rPr>
              <w:t>(Department of the Treasury 2017; Heath 2018; Jacobs and Rush 2015; Lowe 2018)</w:t>
            </w:r>
            <w:r w:rsidRPr="00A352B7">
              <w:rPr>
                <w:spacing w:val="-2"/>
              </w:rPr>
              <w:t xml:space="preserve">, particularly given that the gap between the unemployment and underemployment rate (which used to be positive) has become negative since 2002 and has widened in the more recent period from November 2013 </w:t>
            </w:r>
            <w:r w:rsidR="005E7B71" w:rsidRPr="00A352B7">
              <w:rPr>
                <w:rFonts w:cs="Arial"/>
                <w:spacing w:val="-2"/>
                <w:szCs w:val="24"/>
              </w:rPr>
              <w:t>(ABS </w:t>
            </w:r>
            <w:proofErr w:type="spellStart"/>
            <w:r w:rsidR="005E7B71" w:rsidRPr="00A352B7">
              <w:rPr>
                <w:rFonts w:cs="Arial"/>
                <w:spacing w:val="-2"/>
                <w:szCs w:val="24"/>
              </w:rPr>
              <w:t>2019b</w:t>
            </w:r>
            <w:proofErr w:type="spellEnd"/>
            <w:r w:rsidRPr="00A352B7">
              <w:rPr>
                <w:spacing w:val="-2"/>
              </w:rPr>
              <w:t>). However, overall underutilisation rates have been trending downwards, while labour force partic</w:t>
            </w:r>
            <w:r w:rsidR="00E83033" w:rsidRPr="00A352B7">
              <w:rPr>
                <w:spacing w:val="-2"/>
              </w:rPr>
              <w:t xml:space="preserve">ipation rates have been rising, </w:t>
            </w:r>
            <w:r w:rsidRPr="00A352B7">
              <w:rPr>
                <w:spacing w:val="-2"/>
              </w:rPr>
              <w:t>suggestive of less discouraged work</w:t>
            </w:r>
            <w:r w:rsidR="00E83033" w:rsidRPr="00A352B7">
              <w:rPr>
                <w:spacing w:val="-2"/>
              </w:rPr>
              <w:t>ers and a tighter labour market</w:t>
            </w:r>
            <w:r w:rsidRPr="00A352B7">
              <w:rPr>
                <w:spacing w:val="-2"/>
              </w:rPr>
              <w:t>. Vacancy rates at the end of 2018 are higher than any time over the last decade (</w:t>
            </w:r>
            <w:r w:rsidR="005E7B71" w:rsidRPr="00A352B7">
              <w:rPr>
                <w:rFonts w:cs="Arial"/>
                <w:spacing w:val="-2"/>
                <w:szCs w:val="24"/>
              </w:rPr>
              <w:t>ABS </w:t>
            </w:r>
            <w:proofErr w:type="spellStart"/>
            <w:r w:rsidR="005E7B71" w:rsidRPr="00A352B7">
              <w:rPr>
                <w:rFonts w:cs="Arial"/>
                <w:spacing w:val="-2"/>
                <w:szCs w:val="24"/>
              </w:rPr>
              <w:t>2019a</w:t>
            </w:r>
            <w:proofErr w:type="spellEnd"/>
            <w:r w:rsidR="005E7B71" w:rsidRPr="00A352B7">
              <w:rPr>
                <w:rFonts w:cs="Arial"/>
                <w:spacing w:val="-2"/>
                <w:szCs w:val="24"/>
              </w:rPr>
              <w:t>)</w:t>
            </w:r>
            <w:r w:rsidRPr="00A352B7">
              <w:rPr>
                <w:spacing w:val="-2"/>
              </w:rPr>
              <w:t xml:space="preserve">. </w:t>
            </w:r>
            <w:r w:rsidR="00CD724D" w:rsidRPr="00A352B7">
              <w:rPr>
                <w:spacing w:val="-2"/>
              </w:rPr>
              <w:t>N</w:t>
            </w:r>
            <w:r w:rsidR="0099706E" w:rsidRPr="00A352B7">
              <w:rPr>
                <w:spacing w:val="-2"/>
              </w:rPr>
              <w:t>evertheless</w:t>
            </w:r>
            <w:r w:rsidRPr="00A352B7">
              <w:rPr>
                <w:spacing w:val="-2"/>
              </w:rPr>
              <w:t>, it may be that the level of labour utilisation that creates wage pressures has shifted upwards</w:t>
            </w:r>
            <w:r w:rsidR="00CD724D" w:rsidRPr="00A352B7">
              <w:rPr>
                <w:spacing w:val="-2"/>
              </w:rPr>
              <w:t>, which would imply that increased aggregate demand could lift wage growth without raising inflation</w:t>
            </w:r>
            <w:r w:rsidR="00865B0A" w:rsidRPr="00A352B7">
              <w:rPr>
                <w:spacing w:val="-2"/>
              </w:rPr>
              <w:t xml:space="preserve">. The Reserve Bank of Australia has overestimated wages since 2011 because the historically stable relationships used for forecasts </w:t>
            </w:r>
            <w:r w:rsidR="00A4491A" w:rsidRPr="00A352B7">
              <w:rPr>
                <w:spacing w:val="-2"/>
              </w:rPr>
              <w:t xml:space="preserve">have broken down </w:t>
            </w:r>
            <w:r w:rsidR="00416D62" w:rsidRPr="00A352B7">
              <w:rPr>
                <w:rFonts w:cs="Arial"/>
                <w:spacing w:val="-2"/>
                <w:szCs w:val="24"/>
              </w:rPr>
              <w:t>(Cassidy 2019)</w:t>
            </w:r>
          </w:p>
          <w:p w14:paraId="5731A46C" w14:textId="77777777" w:rsidR="00D44AE4" w:rsidRDefault="009F6217" w:rsidP="00D44AE4">
            <w:pPr>
              <w:pStyle w:val="BoxListBullet"/>
            </w:pPr>
            <w:r>
              <w:t xml:space="preserve">declining inflationary expectations affecting negotiated wage outcomes (though this seems unlikely to explain the full observed magnitude of </w:t>
            </w:r>
            <w:r w:rsidRPr="007A0A49">
              <w:t>real</w:t>
            </w:r>
            <w:r>
              <w:t xml:space="preserve"> wage growth stagnation) </w:t>
            </w:r>
            <w:r w:rsidRPr="00EB3C46">
              <w:rPr>
                <w:rFonts w:cs="Arial"/>
                <w:szCs w:val="24"/>
              </w:rPr>
              <w:t>(Department of the Treasury 2017; Jacobs and Rush 2015)</w:t>
            </w:r>
          </w:p>
          <w:p w14:paraId="267D9761" w14:textId="77777777" w:rsidR="009F6217" w:rsidRDefault="009F6217" w:rsidP="0099706E">
            <w:pPr>
              <w:pStyle w:val="BoxListBullet"/>
            </w:pPr>
            <w:r>
              <w:t xml:space="preserve">globalisation, increased import competition, outsourcing and a lower terms of trade putting pressure on firms to constrain costs and the need for the real exchange rate to adjust to improve international competitiveness of Australian firms (though these factors would need to be reconciled with stable or increasing business profitability) </w:t>
            </w:r>
            <w:r w:rsidRPr="00EB3C46">
              <w:rPr>
                <w:rFonts w:cs="Arial"/>
                <w:szCs w:val="24"/>
              </w:rPr>
              <w:t>(Weir 2018)</w:t>
            </w:r>
          </w:p>
          <w:p w14:paraId="3B253D67" w14:textId="77777777" w:rsidR="009F6217" w:rsidRPr="00A352B7" w:rsidRDefault="009F6217" w:rsidP="0099706E">
            <w:pPr>
              <w:pStyle w:val="BoxListBullet"/>
              <w:rPr>
                <w:spacing w:val="-2"/>
              </w:rPr>
            </w:pPr>
            <w:r w:rsidRPr="00A352B7">
              <w:rPr>
                <w:spacing w:val="-2"/>
              </w:rPr>
              <w:t xml:space="preserve">the effects of structural change and increased employment in lower productivity activities. While this may be an </w:t>
            </w:r>
            <w:proofErr w:type="spellStart"/>
            <w:r w:rsidRPr="00A352B7">
              <w:rPr>
                <w:spacing w:val="-2"/>
              </w:rPr>
              <w:t>explanator</w:t>
            </w:r>
            <w:proofErr w:type="spellEnd"/>
            <w:r w:rsidRPr="00A352B7">
              <w:rPr>
                <w:spacing w:val="-2"/>
              </w:rPr>
              <w:t xml:space="preserve"> for longer</w:t>
            </w:r>
            <w:r w:rsidRPr="00A352B7">
              <w:rPr>
                <w:spacing w:val="-2"/>
              </w:rPr>
              <w:noBreakHyphen/>
              <w:t>term slower wage growth, the recent decline in wage growth appears to be more a within</w:t>
            </w:r>
            <w:r w:rsidRPr="00A352B7">
              <w:rPr>
                <w:spacing w:val="-2"/>
              </w:rPr>
              <w:noBreakHyphen/>
              <w:t>industry than between</w:t>
            </w:r>
            <w:r w:rsidRPr="00A352B7">
              <w:rPr>
                <w:spacing w:val="-2"/>
              </w:rPr>
              <w:noBreakHyphen/>
              <w:t xml:space="preserve">industry outcome </w:t>
            </w:r>
            <w:r w:rsidR="005D1687" w:rsidRPr="00A352B7">
              <w:rPr>
                <w:rFonts w:cs="Arial"/>
                <w:spacing w:val="-2"/>
                <w:szCs w:val="24"/>
              </w:rPr>
              <w:t>(Weir 2018)</w:t>
            </w:r>
            <w:r w:rsidRPr="00A352B7">
              <w:rPr>
                <w:spacing w:val="-2"/>
              </w:rPr>
              <w:t xml:space="preserve">, which is not consistent with a standard structural change argument </w:t>
            </w:r>
            <w:r w:rsidRPr="00A352B7">
              <w:rPr>
                <w:rFonts w:cs="Arial"/>
                <w:spacing w:val="-2"/>
                <w:szCs w:val="24"/>
              </w:rPr>
              <w:t>(Coelli and Borland 2016)</w:t>
            </w:r>
          </w:p>
          <w:p w14:paraId="1EB1781B" w14:textId="77777777" w:rsidR="009F6217" w:rsidRDefault="009F6217" w:rsidP="0099706E">
            <w:pPr>
              <w:pStyle w:val="BoxListBullet"/>
            </w:pPr>
            <w:r>
              <w:t>the large expansion in the number of immigrant workers, especially temporary migrants (including working students). The evidence to date does not suggest that this has played a major role</w:t>
            </w:r>
            <w:r w:rsidR="00416D62">
              <w:t xml:space="preserve"> </w:t>
            </w:r>
            <w:r w:rsidR="00416D62" w:rsidRPr="00416D62">
              <w:rPr>
                <w:rFonts w:cs="Arial"/>
                <w:szCs w:val="24"/>
              </w:rPr>
              <w:t>(</w:t>
            </w:r>
            <w:proofErr w:type="spellStart"/>
            <w:r w:rsidR="00416D62" w:rsidRPr="00416D62">
              <w:rPr>
                <w:rFonts w:cs="Arial"/>
                <w:szCs w:val="24"/>
              </w:rPr>
              <w:t>Brell</w:t>
            </w:r>
            <w:proofErr w:type="spellEnd"/>
            <w:r w:rsidR="00416D62" w:rsidRPr="00416D62">
              <w:rPr>
                <w:rFonts w:cs="Arial"/>
                <w:szCs w:val="24"/>
              </w:rPr>
              <w:t xml:space="preserve"> and </w:t>
            </w:r>
            <w:proofErr w:type="spellStart"/>
            <w:r w:rsidR="00416D62" w:rsidRPr="00416D62">
              <w:rPr>
                <w:rFonts w:cs="Arial"/>
                <w:szCs w:val="24"/>
              </w:rPr>
              <w:t>Dustmann</w:t>
            </w:r>
            <w:proofErr w:type="spellEnd"/>
            <w:r w:rsidR="00416D62" w:rsidRPr="00416D62">
              <w:rPr>
                <w:rFonts w:cs="Arial"/>
                <w:szCs w:val="24"/>
              </w:rPr>
              <w:t xml:space="preserve"> 2019; </w:t>
            </w:r>
            <w:proofErr w:type="spellStart"/>
            <w:r w:rsidR="00416D62" w:rsidRPr="00416D62">
              <w:rPr>
                <w:rFonts w:cs="Arial"/>
                <w:szCs w:val="24"/>
              </w:rPr>
              <w:t>Breunig</w:t>
            </w:r>
            <w:proofErr w:type="spellEnd"/>
            <w:r w:rsidR="00416D62" w:rsidRPr="00416D62">
              <w:rPr>
                <w:rFonts w:cs="Arial"/>
                <w:szCs w:val="24"/>
              </w:rPr>
              <w:t xml:space="preserve">, </w:t>
            </w:r>
            <w:proofErr w:type="spellStart"/>
            <w:r w:rsidR="00416D62" w:rsidRPr="00416D62">
              <w:rPr>
                <w:rFonts w:cs="Arial"/>
                <w:szCs w:val="24"/>
              </w:rPr>
              <w:t>Deutscher</w:t>
            </w:r>
            <w:proofErr w:type="spellEnd"/>
            <w:r w:rsidR="00416D62" w:rsidRPr="00416D62">
              <w:rPr>
                <w:rFonts w:cs="Arial"/>
                <w:szCs w:val="24"/>
              </w:rPr>
              <w:t xml:space="preserve"> and To 2017)</w:t>
            </w:r>
            <w:r>
              <w:t xml:space="preserve"> </w:t>
            </w:r>
          </w:p>
          <w:p w14:paraId="19595590" w14:textId="77777777" w:rsidR="009F6217" w:rsidRPr="00A352B7" w:rsidRDefault="009F6217" w:rsidP="00416D62">
            <w:pPr>
              <w:pStyle w:val="BoxListBullet"/>
            </w:pPr>
            <w:r>
              <w:t xml:space="preserve">increasing </w:t>
            </w:r>
            <w:proofErr w:type="spellStart"/>
            <w:r>
              <w:t>casualisation</w:t>
            </w:r>
            <w:proofErr w:type="spellEnd"/>
            <w:r>
              <w:t xml:space="preserve"> of the workforce, part</w:t>
            </w:r>
            <w:r>
              <w:noBreakHyphen/>
              <w:t xml:space="preserve">time employment and job insecurity (whether actual or perceived) </w:t>
            </w:r>
            <w:r w:rsidRPr="00EB3C46">
              <w:rPr>
                <w:rFonts w:cs="Arial"/>
                <w:szCs w:val="24"/>
              </w:rPr>
              <w:t>(Department of the Treasury 2017; Lowe 2018; Weir 2018)</w:t>
            </w:r>
            <w:r>
              <w:t>. In fact, part</w:t>
            </w:r>
            <w:r>
              <w:noBreakHyphen/>
              <w:t xml:space="preserve">time employment trends aside, labour job tenure has increased, </w:t>
            </w:r>
            <w:proofErr w:type="spellStart"/>
            <w:r>
              <w:t>casualisation</w:t>
            </w:r>
            <w:proofErr w:type="spellEnd"/>
            <w:r>
              <w:t xml:space="preserve"> rates are stable, as are self</w:t>
            </w:r>
            <w:r>
              <w:noBreakHyphen/>
              <w:t xml:space="preserve">employment trends, and perceptions of insecurity have fallen </w:t>
            </w:r>
            <w:r w:rsidRPr="00EB3C46">
              <w:rPr>
                <w:rFonts w:cs="Arial"/>
                <w:szCs w:val="24"/>
              </w:rPr>
              <w:t>(Borland 2017; PC 2019, p. 91)</w:t>
            </w:r>
            <w:r>
              <w:t>. The trend in part</w:t>
            </w:r>
            <w:r>
              <w:noBreakHyphen/>
              <w:t>time work, while still broadly upwards, has slowed noticeably for the period from mid</w:t>
            </w:r>
            <w:r>
              <w:noBreakHyphen/>
              <w:t xml:space="preserve">2003 to February 2019. Econometric analysis does not find any impacts </w:t>
            </w:r>
            <w:r w:rsidR="00416D62" w:rsidRPr="00416D62">
              <w:rPr>
                <w:rFonts w:cs="Arial"/>
                <w:szCs w:val="24"/>
              </w:rPr>
              <w:t>(Lass and Wooden 2019)</w:t>
            </w:r>
          </w:p>
          <w:p w14:paraId="1334402B" w14:textId="77777777" w:rsidR="00A352B7" w:rsidRDefault="00A352B7" w:rsidP="00A352B7">
            <w:pPr>
              <w:pStyle w:val="BoxListBullet"/>
            </w:pPr>
            <w:r>
              <w:t>weaker labour market dynamism as measured by slowing rates of job</w:t>
            </w:r>
            <w:r>
              <w:noBreakHyphen/>
              <w:t>to</w:t>
            </w:r>
            <w:r>
              <w:noBreakHyphen/>
              <w:t xml:space="preserve">job transition. Such transitions often reflect employee job changes to better use their skills (or to acquire them) or the shift from lower to higher productivity firms, with associated wage increases. There is good evidence of wage pressures through this mechanism for the United States </w:t>
            </w:r>
            <w:r w:rsidRPr="0031244A">
              <w:rPr>
                <w:rFonts w:cs="Arial"/>
                <w:szCs w:val="24"/>
              </w:rPr>
              <w:t>(</w:t>
            </w:r>
            <w:proofErr w:type="spellStart"/>
            <w:r w:rsidRPr="0031244A">
              <w:rPr>
                <w:rFonts w:cs="Arial"/>
                <w:szCs w:val="24"/>
              </w:rPr>
              <w:t>Danninger</w:t>
            </w:r>
            <w:proofErr w:type="spellEnd"/>
            <w:r w:rsidRPr="0031244A">
              <w:rPr>
                <w:rFonts w:cs="Arial"/>
                <w:szCs w:val="24"/>
              </w:rPr>
              <w:t xml:space="preserve"> 2016; </w:t>
            </w:r>
            <w:proofErr w:type="spellStart"/>
            <w:r w:rsidRPr="0031244A">
              <w:rPr>
                <w:rFonts w:cs="Arial"/>
                <w:szCs w:val="24"/>
              </w:rPr>
              <w:t>Moscarini</w:t>
            </w:r>
            <w:proofErr w:type="spellEnd"/>
            <w:r w:rsidRPr="0031244A">
              <w:rPr>
                <w:rFonts w:cs="Arial"/>
                <w:szCs w:val="24"/>
              </w:rPr>
              <w:t xml:space="preserve"> and </w:t>
            </w:r>
            <w:proofErr w:type="spellStart"/>
            <w:r w:rsidRPr="0031244A">
              <w:rPr>
                <w:rFonts w:cs="Arial"/>
                <w:szCs w:val="24"/>
              </w:rPr>
              <w:t>Postel</w:t>
            </w:r>
            <w:proofErr w:type="spellEnd"/>
            <w:r>
              <w:rPr>
                <w:rFonts w:cs="Arial"/>
                <w:szCs w:val="24"/>
              </w:rPr>
              <w:noBreakHyphen/>
            </w:r>
            <w:r w:rsidRPr="0031244A">
              <w:rPr>
                <w:rFonts w:cs="Arial"/>
                <w:szCs w:val="24"/>
              </w:rPr>
              <w:t>Vinay 2017)</w:t>
            </w:r>
            <w:r>
              <w:t xml:space="preserve"> and some OECD countries </w:t>
            </w:r>
            <w:r w:rsidRPr="0031244A">
              <w:rPr>
                <w:rFonts w:cs="Arial"/>
                <w:szCs w:val="24"/>
              </w:rPr>
              <w:t>(</w:t>
            </w:r>
            <w:proofErr w:type="spellStart"/>
            <w:r w:rsidRPr="0031244A">
              <w:rPr>
                <w:rFonts w:cs="Arial"/>
                <w:szCs w:val="24"/>
              </w:rPr>
              <w:t>Engbom</w:t>
            </w:r>
            <w:proofErr w:type="spellEnd"/>
            <w:r w:rsidRPr="0031244A">
              <w:rPr>
                <w:rFonts w:cs="Arial"/>
                <w:szCs w:val="24"/>
              </w:rPr>
              <w:t> 2017)</w:t>
            </w:r>
            <w:r>
              <w:t xml:space="preserve">. However, ABS data suggest small changes in the share of people with less than 5 years tenure with businesses from 1972 to 2018, and no change since 1994 </w:t>
            </w:r>
            <w:r w:rsidRPr="007A7E0C">
              <w:rPr>
                <w:rFonts w:cs="Arial"/>
                <w:szCs w:val="24"/>
              </w:rPr>
              <w:t>(ABS </w:t>
            </w:r>
            <w:proofErr w:type="spellStart"/>
            <w:r w:rsidRPr="007A7E0C">
              <w:rPr>
                <w:rFonts w:cs="Arial"/>
                <w:szCs w:val="24"/>
              </w:rPr>
              <w:t>2018b</w:t>
            </w:r>
            <w:proofErr w:type="spellEnd"/>
            <w:r w:rsidRPr="007A7E0C">
              <w:rPr>
                <w:rFonts w:cs="Arial"/>
                <w:szCs w:val="24"/>
              </w:rPr>
              <w:t>)</w:t>
            </w:r>
            <w:r>
              <w:t>. That said, the employer</w:t>
            </w:r>
            <w:r>
              <w:noBreakHyphen/>
              <w:t>to</w:t>
            </w:r>
            <w:r>
              <w:noBreakHyphen/>
              <w:t xml:space="preserve">employer transition rate </w:t>
            </w:r>
            <w:r w:rsidRPr="00C17FCA">
              <w:rPr>
                <w:i/>
              </w:rPr>
              <w:t>did</w:t>
            </w:r>
            <w:r>
              <w:t xml:space="preserve"> fall during the recent period of wage stagnation, while the frequency of wage changes in the economy has fallen, also consistent with the impact of lower transition rates </w:t>
            </w:r>
            <w:r w:rsidRPr="0031244A">
              <w:rPr>
                <w:rFonts w:cs="Arial"/>
                <w:szCs w:val="24"/>
              </w:rPr>
              <w:t>(Cassidy 2019)</w:t>
            </w:r>
          </w:p>
        </w:tc>
      </w:tr>
      <w:tr w:rsidR="009F6217" w14:paraId="118F96D0" w14:textId="77777777" w:rsidTr="0099706E">
        <w:tc>
          <w:tcPr>
            <w:tcW w:w="5000" w:type="pct"/>
            <w:tcBorders>
              <w:top w:val="nil"/>
              <w:left w:val="nil"/>
              <w:bottom w:val="nil"/>
              <w:right w:val="nil"/>
            </w:tcBorders>
            <w:shd w:val="clear" w:color="auto" w:fill="F2F2F2"/>
          </w:tcPr>
          <w:p w14:paraId="326CC35D" w14:textId="77777777" w:rsidR="009F6217" w:rsidRDefault="009F6217" w:rsidP="00993CC6">
            <w:pPr>
              <w:pStyle w:val="Continued"/>
            </w:pPr>
            <w:r>
              <w:t>(continued next page)</w:t>
            </w:r>
          </w:p>
        </w:tc>
      </w:tr>
      <w:tr w:rsidR="009F6217" w14:paraId="32879AD3" w14:textId="77777777" w:rsidTr="0099706E">
        <w:tc>
          <w:tcPr>
            <w:tcW w:w="5000" w:type="pct"/>
            <w:tcBorders>
              <w:top w:val="nil"/>
              <w:left w:val="nil"/>
              <w:bottom w:val="single" w:sz="6" w:space="0" w:color="78A22F"/>
              <w:right w:val="nil"/>
            </w:tcBorders>
            <w:shd w:val="clear" w:color="auto" w:fill="F2F2F2"/>
          </w:tcPr>
          <w:p w14:paraId="4C995CBD" w14:textId="77777777" w:rsidR="009F6217" w:rsidRDefault="009F6217" w:rsidP="0099706E">
            <w:pPr>
              <w:pStyle w:val="Box"/>
              <w:spacing w:before="0" w:line="120" w:lineRule="exact"/>
            </w:pPr>
          </w:p>
        </w:tc>
      </w:tr>
      <w:tr w:rsidR="009F6217" w:rsidRPr="000863A5" w14:paraId="3FE89BFC" w14:textId="77777777" w:rsidTr="0099706E">
        <w:tc>
          <w:tcPr>
            <w:tcW w:w="5000" w:type="pct"/>
            <w:tcBorders>
              <w:top w:val="single" w:sz="6" w:space="0" w:color="78A22F"/>
              <w:left w:val="nil"/>
              <w:bottom w:val="nil"/>
              <w:right w:val="nil"/>
            </w:tcBorders>
          </w:tcPr>
          <w:p w14:paraId="174B542A" w14:textId="77777777" w:rsidR="009F6217" w:rsidRPr="00626D32" w:rsidRDefault="009F6217" w:rsidP="0099706E">
            <w:pPr>
              <w:pStyle w:val="BoxSpaceBelow"/>
            </w:pPr>
          </w:p>
        </w:tc>
      </w:tr>
    </w:tbl>
    <w:p w14:paraId="59B4EC62" w14:textId="77777777" w:rsidR="009F6217" w:rsidRDefault="009F6217" w:rsidP="009F621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F6217" w14:paraId="24443D9B" w14:textId="77777777" w:rsidTr="0099706E">
        <w:trPr>
          <w:tblHeader/>
        </w:trPr>
        <w:tc>
          <w:tcPr>
            <w:tcW w:w="5000" w:type="pct"/>
            <w:tcBorders>
              <w:top w:val="single" w:sz="6" w:space="0" w:color="78A22F"/>
              <w:left w:val="nil"/>
              <w:bottom w:val="nil"/>
              <w:right w:val="nil"/>
            </w:tcBorders>
            <w:shd w:val="clear" w:color="auto" w:fill="F2F2F2"/>
          </w:tcPr>
          <w:p w14:paraId="0CDD63A4" w14:textId="77777777" w:rsidR="009F6217" w:rsidRDefault="009F6217" w:rsidP="0099706E">
            <w:pPr>
              <w:pStyle w:val="BoxTitle"/>
            </w:pPr>
            <w:r>
              <w:rPr>
                <w:b w:val="0"/>
              </w:rPr>
              <w:t>Box 3.2</w:t>
            </w:r>
            <w:r>
              <w:tab/>
            </w:r>
            <w:r w:rsidRPr="009B76F0">
              <w:rPr>
                <w:b w:val="0"/>
                <w:sz w:val="18"/>
                <w:szCs w:val="20"/>
              </w:rPr>
              <w:t>(continued)</w:t>
            </w:r>
          </w:p>
        </w:tc>
      </w:tr>
      <w:tr w:rsidR="009F6217" w14:paraId="173A1E88" w14:textId="77777777" w:rsidTr="0099706E">
        <w:tc>
          <w:tcPr>
            <w:tcW w:w="5000" w:type="pct"/>
            <w:tcBorders>
              <w:top w:val="nil"/>
              <w:left w:val="nil"/>
              <w:bottom w:val="nil"/>
              <w:right w:val="nil"/>
            </w:tcBorders>
            <w:shd w:val="clear" w:color="auto" w:fill="F2F2F2"/>
          </w:tcPr>
          <w:p w14:paraId="68FC3188" w14:textId="77777777" w:rsidR="00B151F7" w:rsidRDefault="009F6217" w:rsidP="0099706E">
            <w:pPr>
              <w:pStyle w:val="BoxListBullet"/>
            </w:pPr>
            <w:r>
              <w:t xml:space="preserve">changes to workplace relations laws that weaken employee bargaining and declining union membership </w:t>
            </w:r>
            <w:r w:rsidRPr="00EB3C46">
              <w:rPr>
                <w:rFonts w:cs="Arial"/>
                <w:szCs w:val="24"/>
              </w:rPr>
              <w:t>(Weir 2018)</w:t>
            </w:r>
            <w:r>
              <w:t xml:space="preserve">. However, the union wage growth premium — an indication of union bargaining power — has not declined </w:t>
            </w:r>
            <w:r w:rsidR="0031244A" w:rsidRPr="0031244A">
              <w:rPr>
                <w:rFonts w:cs="Arial"/>
                <w:szCs w:val="24"/>
              </w:rPr>
              <w:t>(Bishop and Chan 2019)</w:t>
            </w:r>
            <w:r>
              <w:t>. That finding would not rule out weaker bargaining power by workers generally — wheth</w:t>
            </w:r>
            <w:r w:rsidR="00B151F7">
              <w:t>er represented by unions or not</w:t>
            </w:r>
          </w:p>
          <w:p w14:paraId="2E052086" w14:textId="77777777" w:rsidR="009F6217" w:rsidRDefault="00B151F7" w:rsidP="00B151F7">
            <w:pPr>
              <w:pStyle w:val="BoxListBullet"/>
            </w:pPr>
            <w:r>
              <w:t xml:space="preserve">changes in the quality and composition of </w:t>
            </w:r>
            <w:r w:rsidR="0015547C">
              <w:t>labour services, suggested by the fact that the stagnation evident from the wage price index (which controls for these changes) is less than for other wage measures that do not.</w:t>
            </w:r>
          </w:p>
          <w:p w14:paraId="15BD80A9" w14:textId="77777777" w:rsidR="007F4C9E" w:rsidRDefault="009F6217" w:rsidP="0099706E">
            <w:pPr>
              <w:pStyle w:val="Box"/>
            </w:pPr>
            <w:r>
              <w:t xml:space="preserve">Other economies have also experienced an appreciable slowing in real wages growth over recent years </w:t>
            </w:r>
            <w:r w:rsidR="0085297D" w:rsidRPr="0085297D">
              <w:rPr>
                <w:rFonts w:cs="Arial"/>
                <w:szCs w:val="24"/>
              </w:rPr>
              <w:t>(OECD </w:t>
            </w:r>
            <w:proofErr w:type="spellStart"/>
            <w:r w:rsidR="0085297D" w:rsidRPr="0085297D">
              <w:rPr>
                <w:rFonts w:cs="Arial"/>
                <w:szCs w:val="24"/>
              </w:rPr>
              <w:t>2018b</w:t>
            </w:r>
            <w:proofErr w:type="spellEnd"/>
            <w:r w:rsidR="0085297D" w:rsidRPr="0085297D">
              <w:rPr>
                <w:rFonts w:cs="Arial"/>
                <w:szCs w:val="24"/>
              </w:rPr>
              <w:t>)</w:t>
            </w:r>
            <w:r>
              <w:t>, though a (partly) shared pattern across countries does not imply a shared explanation.</w:t>
            </w:r>
            <w:r w:rsidR="007F4C9E">
              <w:t xml:space="preserve"> Nor should there be an expectation that one factor lies behind wage stagnation. For instance, adaptation of prices to the resources boom may be a part explanation in the Australian context, but the boom may have masked other longer</w:t>
            </w:r>
            <w:r w:rsidR="007F4C9E">
              <w:noBreakHyphen/>
              <w:t>run trends.</w:t>
            </w:r>
          </w:p>
          <w:p w14:paraId="21FD8DEA" w14:textId="77777777" w:rsidR="007F4C9E" w:rsidRDefault="007F4C9E" w:rsidP="0099706E">
            <w:pPr>
              <w:pStyle w:val="Box"/>
            </w:pPr>
            <w:r>
              <w:t xml:space="preserve">As yet there is no consensus about the causes of the stagnation or its likely persistence. While aggregate data of the kind described in this Bulletin provides some insights, data obtained from </w:t>
            </w:r>
            <w:r w:rsidR="00D316FA">
              <w:t>longitudinal</w:t>
            </w:r>
            <w:r>
              <w:t xml:space="preserve"> firm and </w:t>
            </w:r>
            <w:r w:rsidR="00D316FA">
              <w:t>employee</w:t>
            </w:r>
            <w:r w:rsidR="00D316FA">
              <w:noBreakHyphen/>
              <w:t>based</w:t>
            </w:r>
            <w:r>
              <w:t xml:space="preserve"> surveys will</w:t>
            </w:r>
            <w:r w:rsidR="00D316FA">
              <w:t xml:space="preserve"> ultimately shed most light on the sources of wage stagnation and its incidence among different types of employees and firms. </w:t>
            </w:r>
            <w:r w:rsidR="00AE5778">
              <w:t>In Australia, the most promising insights will likely arise from a</w:t>
            </w:r>
            <w:r w:rsidR="00D316FA">
              <w:t>nalysis of the Linked Employer</w:t>
            </w:r>
            <w:r w:rsidR="00D316FA">
              <w:noBreakHyphen/>
              <w:t xml:space="preserve">Employee Database </w:t>
            </w:r>
            <w:r w:rsidR="00AE5778">
              <w:t xml:space="preserve">(LEED), and </w:t>
            </w:r>
            <w:r w:rsidR="00D316FA">
              <w:t xml:space="preserve">the </w:t>
            </w:r>
            <w:r w:rsidR="00D316FA" w:rsidRPr="00D316FA">
              <w:t>Business Longitudinal Analysis Data Environment</w:t>
            </w:r>
            <w:r w:rsidR="00AE5778">
              <w:t xml:space="preserve"> (BLADE).</w:t>
            </w:r>
          </w:p>
        </w:tc>
      </w:tr>
      <w:tr w:rsidR="009F6217" w14:paraId="65518904" w14:textId="77777777" w:rsidTr="0099706E">
        <w:tc>
          <w:tcPr>
            <w:tcW w:w="5000" w:type="pct"/>
            <w:tcBorders>
              <w:top w:val="nil"/>
              <w:left w:val="nil"/>
              <w:bottom w:val="single" w:sz="6" w:space="0" w:color="78A22F"/>
              <w:right w:val="nil"/>
            </w:tcBorders>
            <w:shd w:val="clear" w:color="auto" w:fill="F2F2F2"/>
          </w:tcPr>
          <w:p w14:paraId="2BB1F6B0" w14:textId="77777777" w:rsidR="009F6217" w:rsidRDefault="009F6217" w:rsidP="0099706E">
            <w:pPr>
              <w:pStyle w:val="Box"/>
              <w:spacing w:before="0" w:line="120" w:lineRule="exact"/>
            </w:pPr>
          </w:p>
        </w:tc>
      </w:tr>
      <w:tr w:rsidR="009F6217" w:rsidRPr="000863A5" w14:paraId="643C26A8" w14:textId="77777777" w:rsidTr="0099706E">
        <w:tc>
          <w:tcPr>
            <w:tcW w:w="5000" w:type="pct"/>
            <w:tcBorders>
              <w:top w:val="single" w:sz="6" w:space="0" w:color="78A22F"/>
              <w:left w:val="nil"/>
              <w:bottom w:val="nil"/>
              <w:right w:val="nil"/>
            </w:tcBorders>
          </w:tcPr>
          <w:p w14:paraId="04023872" w14:textId="77777777" w:rsidR="009F6217" w:rsidRPr="00626D32" w:rsidRDefault="009F6217" w:rsidP="0099706E">
            <w:pPr>
              <w:pStyle w:val="BoxSpaceBelow"/>
            </w:pPr>
          </w:p>
        </w:tc>
      </w:tr>
    </w:tbl>
    <w:p w14:paraId="72A3F28A" w14:textId="77777777" w:rsidR="00750AE5" w:rsidRDefault="00750AE5" w:rsidP="006D697B">
      <w:pPr>
        <w:pStyle w:val="BodyText"/>
      </w:pPr>
      <w:r>
        <w:t xml:space="preserve">Accordingly, the degree to which slow wage growth will persist is unclear, though the historical experience suggests that over the long run, an ever </w:t>
      </w:r>
      <w:r w:rsidRPr="00750AE5">
        <w:rPr>
          <w:i/>
        </w:rPr>
        <w:t>widening</w:t>
      </w:r>
      <w:r>
        <w:t xml:space="preserve"> </w:t>
      </w:r>
      <w:r w:rsidR="00B744F4">
        <w:t xml:space="preserve">gap between real consumer wages, </w:t>
      </w:r>
      <w:r>
        <w:t xml:space="preserve">real producer wages </w:t>
      </w:r>
      <w:r w:rsidR="00B744F4">
        <w:t xml:space="preserve">and labour productivity </w:t>
      </w:r>
      <w:r>
        <w:t>is improbable.</w:t>
      </w:r>
    </w:p>
    <w:p w14:paraId="169C8D79" w14:textId="42E00059" w:rsidR="006D697B" w:rsidRDefault="00DE4272" w:rsidP="006D697B">
      <w:pPr>
        <w:pStyle w:val="BodyText"/>
      </w:pPr>
      <w:r>
        <w:t>T</w:t>
      </w:r>
      <w:r w:rsidR="00FB1796">
        <w:t xml:space="preserve">he slow pace of real hourly wages has not translated into </w:t>
      </w:r>
      <w:r w:rsidR="00D61CA1">
        <w:t xml:space="preserve">significant increases in household </w:t>
      </w:r>
      <w:r w:rsidR="004A7175">
        <w:t xml:space="preserve">income </w:t>
      </w:r>
      <w:r w:rsidR="00D61CA1">
        <w:t>inequality.</w:t>
      </w:r>
      <w:r w:rsidR="001C017D" w:rsidRPr="007A5DC9">
        <w:rPr>
          <w:rStyle w:val="FootnoteReference"/>
        </w:rPr>
        <w:footnoteReference w:id="12"/>
      </w:r>
      <w:r w:rsidR="00D61CA1">
        <w:t xml:space="preserve"> To some extent, this reflects that the resources boom favoured relatively high</w:t>
      </w:r>
      <w:r w:rsidR="00D61CA1">
        <w:noBreakHyphen/>
        <w:t xml:space="preserve">income households, and so these </w:t>
      </w:r>
      <w:r w:rsidR="006D697B">
        <w:t>households</w:t>
      </w:r>
      <w:r w:rsidR="00D61CA1">
        <w:t xml:space="preserve"> were also more affected by its end (</w:t>
      </w:r>
      <w:r w:rsidR="005A23C8">
        <w:t>PC </w:t>
      </w:r>
      <w:r w:rsidR="00082759">
        <w:t xml:space="preserve">2018 </w:t>
      </w:r>
      <w:r w:rsidR="00D61CA1">
        <w:t>p. </w:t>
      </w:r>
      <w:r w:rsidR="006D697B">
        <w:t>45</w:t>
      </w:r>
      <w:r w:rsidR="00D61CA1">
        <w:t>)</w:t>
      </w:r>
      <w:r w:rsidR="006D697B">
        <w:t>.</w:t>
      </w:r>
      <w:r w:rsidR="00E50E53">
        <w:t xml:space="preserve"> </w:t>
      </w:r>
      <w:r w:rsidR="009C48EB">
        <w:t>Consistent with this</w:t>
      </w:r>
      <w:r w:rsidR="00961B20">
        <w:t xml:space="preserve">, </w:t>
      </w:r>
      <w:r w:rsidR="0067589D">
        <w:t>the lower the relative weekly earnings of an industry relative to mining, the less was the slowdown in wage rates from the boom to the bust years</w:t>
      </w:r>
      <w:r w:rsidR="008F7786">
        <w:t xml:space="preserve"> (figure 3.4)</w:t>
      </w:r>
      <w:r w:rsidR="0067589D">
        <w:t>.</w:t>
      </w:r>
      <w:r w:rsidR="00EC71CB" w:rsidRPr="007A5DC9">
        <w:rPr>
          <w:rStyle w:val="FootnoteReference"/>
        </w:rPr>
        <w:footnoteReference w:id="13"/>
      </w:r>
      <w:r w:rsidR="0067589D">
        <w:t xml:space="preserve"> Real wage rates actually </w:t>
      </w:r>
      <w:r w:rsidR="00EA35FE">
        <w:t>accelerated</w:t>
      </w:r>
      <w:r w:rsidR="0067589D">
        <w:t xml:space="preserve"> after the resources boom for both the </w:t>
      </w:r>
      <w:r w:rsidR="008F37C3">
        <w:rPr>
          <w:i/>
        </w:rPr>
        <w:t>a</w:t>
      </w:r>
      <w:r w:rsidR="008F37C3" w:rsidRPr="00857539">
        <w:rPr>
          <w:i/>
        </w:rPr>
        <w:t xml:space="preserve">ccommodation </w:t>
      </w:r>
      <w:r w:rsidR="0067589D" w:rsidRPr="00857539">
        <w:rPr>
          <w:i/>
        </w:rPr>
        <w:t>and food services</w:t>
      </w:r>
      <w:r w:rsidR="0067589D">
        <w:t xml:space="preserve"> and </w:t>
      </w:r>
      <w:r w:rsidR="008F37C3">
        <w:rPr>
          <w:i/>
        </w:rPr>
        <w:t>a</w:t>
      </w:r>
      <w:r w:rsidR="008F37C3" w:rsidRPr="00857539">
        <w:rPr>
          <w:i/>
        </w:rPr>
        <w:t xml:space="preserve">rts </w:t>
      </w:r>
      <w:r w:rsidR="0067589D" w:rsidRPr="00857539">
        <w:rPr>
          <w:i/>
        </w:rPr>
        <w:t>and recreation services</w:t>
      </w:r>
      <w:r w:rsidR="0067589D">
        <w:t xml:space="preserve"> industries, which had the two lowest wage relativities to </w:t>
      </w:r>
      <w:r w:rsidR="0067589D" w:rsidRPr="009830C5">
        <w:rPr>
          <w:i/>
        </w:rPr>
        <w:t>mining</w:t>
      </w:r>
      <w:r w:rsidR="0067589D">
        <w:t xml:space="preserve"> (with, respectively, average weekly earnings of 22 and 33 per cent of mining earnings</w:t>
      </w:r>
      <w:r w:rsidR="00EA35FE">
        <w:t xml:space="preserve"> in May 2013</w:t>
      </w:r>
      <w:r w:rsidR="0067589D">
        <w:t xml:space="preserve">). </w:t>
      </w:r>
      <w:r w:rsidR="00840FFA">
        <w:t>Another contributing factor to this pattern is that many employees in low</w:t>
      </w:r>
      <w:r w:rsidR="00840FFA">
        <w:noBreakHyphen/>
        <w:t>wage industries have their wage levels determined by the minimums specified in industrial awards.</w:t>
      </w:r>
      <w:r w:rsidR="00A4491A">
        <w:rPr>
          <w:rStyle w:val="FootnoteReference"/>
        </w:rPr>
        <w:footnoteReference w:id="14"/>
      </w:r>
      <w:r w:rsidR="00840FFA">
        <w:t xml:space="preserve"> In </w:t>
      </w:r>
      <w:r w:rsidR="00350D9E">
        <w:t xml:space="preserve">contrast, </w:t>
      </w:r>
      <w:r w:rsidR="00797193">
        <w:t xml:space="preserve">in </w:t>
      </w:r>
      <w:r w:rsidR="00840FFA">
        <w:t xml:space="preserve">industries like mining, wages </w:t>
      </w:r>
      <w:r w:rsidR="00840FFA">
        <w:lastRenderedPageBreak/>
        <w:t>were often well above the award during the resources boom, and so the floors set in industrial awards did not constrain the wage reductions that followed after the end of the boom.</w:t>
      </w:r>
      <w:r w:rsidR="00A4491A">
        <w:t xml:space="preserve"> </w:t>
      </w:r>
    </w:p>
    <w:p w14:paraId="0EEC1FD2" w14:textId="77777777" w:rsidR="00C90A0D" w:rsidRDefault="00C90A0D" w:rsidP="00C90A0D">
      <w:pPr>
        <w:pStyle w:val="BodyText"/>
      </w:pPr>
      <w:r>
        <w:t>Regardless, while labour productivity and real consumer wage growth are not always closely tied to one another, the fact that they ultimately tend to converge is encouraging, so long as labour productivity growth itself is adequate.</w:t>
      </w:r>
    </w:p>
    <w:p w14:paraId="138D6BFF" w14:textId="77777777" w:rsidR="004F50E8" w:rsidRDefault="004F50E8" w:rsidP="004C223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F50E8" w14:paraId="22B5EAD0" w14:textId="77777777" w:rsidTr="004C223E">
        <w:trPr>
          <w:tblHeader/>
        </w:trPr>
        <w:tc>
          <w:tcPr>
            <w:tcW w:w="5000" w:type="pct"/>
            <w:tcBorders>
              <w:top w:val="single" w:sz="6" w:space="0" w:color="78A22F"/>
              <w:left w:val="nil"/>
              <w:bottom w:val="nil"/>
              <w:right w:val="nil"/>
            </w:tcBorders>
            <w:shd w:val="clear" w:color="auto" w:fill="auto"/>
          </w:tcPr>
          <w:p w14:paraId="3374CBA9" w14:textId="77777777" w:rsidR="004F50E8" w:rsidRPr="00176D3F" w:rsidRDefault="004F50E8" w:rsidP="00A352B7">
            <w:pPr>
              <w:pStyle w:val="FigureTitle"/>
            </w:pPr>
            <w:r w:rsidRPr="00784A05">
              <w:rPr>
                <w:b w:val="0"/>
              </w:rPr>
              <w:t xml:space="preserve">Figure </w:t>
            </w:r>
            <w:r w:rsidR="008F7786">
              <w:rPr>
                <w:b w:val="0"/>
              </w:rPr>
              <w:t>3.4</w:t>
            </w:r>
            <w:r>
              <w:tab/>
              <w:t xml:space="preserve">The slowdown in wage </w:t>
            </w:r>
            <w:r w:rsidRPr="00F83605">
              <w:t>growth</w:t>
            </w:r>
            <w:r>
              <w:t xml:space="preserve"> </w:t>
            </w:r>
            <w:r w:rsidR="00F83605">
              <w:t xml:space="preserve">rates </w:t>
            </w:r>
            <w:r>
              <w:t>is greater for industries with high relative wages</w:t>
            </w:r>
            <w:r w:rsidRPr="00A352B7">
              <w:rPr>
                <w:rStyle w:val="NoteLabel"/>
                <w:rFonts w:ascii="Arial Bold" w:hAnsi="Arial Bold"/>
                <w:b/>
                <w:position w:val="10"/>
              </w:rPr>
              <w:t>a</w:t>
            </w:r>
          </w:p>
        </w:tc>
      </w:tr>
      <w:tr w:rsidR="004F50E8" w14:paraId="707653AB" w14:textId="77777777" w:rsidTr="004C223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4F50E8" w:rsidRPr="00B1465D" w14:paraId="239D7810" w14:textId="77777777" w:rsidTr="004C223E">
              <w:trPr>
                <w:tblHeader/>
                <w:jc w:val="center"/>
              </w:trPr>
              <w:tc>
                <w:tcPr>
                  <w:tcW w:w="5000" w:type="pct"/>
                  <w:tcBorders>
                    <w:top w:val="nil"/>
                    <w:bottom w:val="nil"/>
                  </w:tcBorders>
                </w:tcPr>
                <w:p w14:paraId="37FDEDED" w14:textId="77777777" w:rsidR="004F50E8" w:rsidRPr="00B1465D" w:rsidRDefault="004F50E8" w:rsidP="004C223E">
                  <w:pPr>
                    <w:pStyle w:val="Figure"/>
                    <w:spacing w:before="60" w:after="60"/>
                    <w:rPr>
                      <w:rFonts w:ascii="Arial" w:hAnsi="Arial" w:cs="Arial"/>
                      <w:sz w:val="18"/>
                      <w:szCs w:val="18"/>
                    </w:rPr>
                  </w:pPr>
                  <w:r w:rsidRPr="004F50E8">
                    <w:rPr>
                      <w:rFonts w:ascii="Arial" w:hAnsi="Arial" w:cs="Arial"/>
                      <w:noProof/>
                      <w:sz w:val="18"/>
                      <w:szCs w:val="18"/>
                    </w:rPr>
                    <w:drawing>
                      <wp:inline distT="0" distB="0" distL="0" distR="0" wp14:anchorId="493DB3CB" wp14:editId="5F2747CA">
                        <wp:extent cx="5399405" cy="2699385"/>
                        <wp:effectExtent l="0" t="0" r="0" b="5715"/>
                        <wp:docPr id="66" name="Picture 66" descr="This shows the relationship between the change in wage growth rates by industry (the measure of the extent of wage stagnation) and the disparity in the level of wages in any given industry compared with mining. The chart shows that the lower the age rate relative to mining the less was the degree of wage stagnation. For example, the three industries with the lowest wage costs relative to mining — Accommodation and Food Services; Arts and recreation Services; and Retail Trade experienced very little wage stagnation." title="Figure 3.4 The slowdown in wage growth rates is greater for industries with high relative w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99405" cy="2699385"/>
                                </a:xfrm>
                                <a:prstGeom prst="rect">
                                  <a:avLst/>
                                </a:prstGeom>
                                <a:noFill/>
                                <a:ln>
                                  <a:noFill/>
                                </a:ln>
                              </pic:spPr>
                            </pic:pic>
                          </a:graphicData>
                        </a:graphic>
                      </wp:inline>
                    </w:drawing>
                  </w:r>
                </w:p>
              </w:tc>
            </w:tr>
          </w:tbl>
          <w:p w14:paraId="6B13C4EB" w14:textId="77777777" w:rsidR="004F50E8" w:rsidRDefault="004F50E8" w:rsidP="004C223E">
            <w:pPr>
              <w:pStyle w:val="Figure"/>
            </w:pPr>
          </w:p>
        </w:tc>
      </w:tr>
      <w:tr w:rsidR="004F50E8" w:rsidRPr="00176D3F" w14:paraId="4829973F" w14:textId="77777777" w:rsidTr="004C223E">
        <w:tc>
          <w:tcPr>
            <w:tcW w:w="5000" w:type="pct"/>
            <w:tcBorders>
              <w:top w:val="nil"/>
              <w:left w:val="nil"/>
              <w:bottom w:val="nil"/>
              <w:right w:val="nil"/>
            </w:tcBorders>
            <w:shd w:val="clear" w:color="auto" w:fill="auto"/>
          </w:tcPr>
          <w:p w14:paraId="0674C155" w14:textId="0AC3D269" w:rsidR="004F50E8" w:rsidRPr="00176D3F" w:rsidRDefault="004F50E8" w:rsidP="00FD1257">
            <w:pPr>
              <w:pStyle w:val="Note"/>
            </w:pPr>
            <w:proofErr w:type="spellStart"/>
            <w:r>
              <w:rPr>
                <w:rStyle w:val="NoteLabel"/>
              </w:rPr>
              <w:t>a</w:t>
            </w:r>
            <w:proofErr w:type="spellEnd"/>
            <w:r>
              <w:t xml:space="preserve"> The change in wage growth (in percentage points) is defined </w:t>
            </w:r>
            <w:r w:rsidR="003C7CA8">
              <w:t xml:space="preserve">as </w:t>
            </w:r>
            <w:r>
              <w:t>the difference between the average wage growth rate from 201</w:t>
            </w:r>
            <w:r w:rsidR="008E2F1E">
              <w:t>2</w:t>
            </w:r>
            <w:r>
              <w:noBreakHyphen/>
              <w:t>1</w:t>
            </w:r>
            <w:r w:rsidR="008E2F1E">
              <w:t>3</w:t>
            </w:r>
            <w:r>
              <w:t xml:space="preserve"> to 2017</w:t>
            </w:r>
            <w:r>
              <w:noBreakHyphen/>
              <w:t xml:space="preserve">18 and </w:t>
            </w:r>
            <w:r w:rsidR="00FD1257">
              <w:t>that</w:t>
            </w:r>
            <w:r>
              <w:t xml:space="preserve"> from 200</w:t>
            </w:r>
            <w:r w:rsidR="008E2F1E">
              <w:t>2</w:t>
            </w:r>
            <w:r>
              <w:noBreakHyphen/>
              <w:t>0</w:t>
            </w:r>
            <w:r w:rsidR="008E2F1E">
              <w:t>3</w:t>
            </w:r>
            <w:r>
              <w:t xml:space="preserve"> to 2012</w:t>
            </w:r>
            <w:r>
              <w:noBreakHyphen/>
              <w:t xml:space="preserve">13. This measures the acceleration or deceleration of wage growth. </w:t>
            </w:r>
            <w:r w:rsidR="00CD282A">
              <w:t xml:space="preserve">The growth in wage rates are based on wage price indexes for ordinary time hourly rates of pay excluding bonuses. </w:t>
            </w:r>
            <w:r>
              <w:t xml:space="preserve">The wage relativity is the average </w:t>
            </w:r>
            <w:r w:rsidR="00CD282A">
              <w:t xml:space="preserve">total </w:t>
            </w:r>
            <w:r>
              <w:t>weekly earnings in any given industry</w:t>
            </w:r>
            <w:r w:rsidR="00CD282A">
              <w:t xml:space="preserve"> in May 2013</w:t>
            </w:r>
            <w:r>
              <w:t xml:space="preserve"> relative to mining expressed in index form.</w:t>
            </w:r>
          </w:p>
        </w:tc>
      </w:tr>
      <w:tr w:rsidR="004F50E8" w:rsidRPr="00176D3F" w14:paraId="460451E4" w14:textId="77777777" w:rsidTr="004C223E">
        <w:tc>
          <w:tcPr>
            <w:tcW w:w="5000" w:type="pct"/>
            <w:tcBorders>
              <w:top w:val="nil"/>
              <w:left w:val="nil"/>
              <w:bottom w:val="nil"/>
              <w:right w:val="nil"/>
            </w:tcBorders>
            <w:shd w:val="clear" w:color="auto" w:fill="auto"/>
          </w:tcPr>
          <w:p w14:paraId="7E9C1CA8" w14:textId="5C5473E8" w:rsidR="004F50E8" w:rsidRPr="00176D3F" w:rsidRDefault="004F50E8" w:rsidP="0082674F">
            <w:pPr>
              <w:pStyle w:val="Source"/>
            </w:pPr>
            <w:r>
              <w:rPr>
                <w:i/>
              </w:rPr>
              <w:t>S</w:t>
            </w:r>
            <w:r w:rsidRPr="00784A05">
              <w:rPr>
                <w:i/>
              </w:rPr>
              <w:t>ource</w:t>
            </w:r>
            <w:r w:rsidR="00C52398">
              <w:rPr>
                <w:i/>
              </w:rPr>
              <w:t>s</w:t>
            </w:r>
            <w:r w:rsidRPr="00176D3F">
              <w:t xml:space="preserve">: </w:t>
            </w:r>
            <w:r w:rsidR="002F7E03">
              <w:t xml:space="preserve">Estimates based on: </w:t>
            </w:r>
            <w:r>
              <w:t xml:space="preserve">ABS </w:t>
            </w:r>
            <w:r w:rsidR="00186269">
              <w:t>(</w:t>
            </w:r>
            <w:r>
              <w:t>2019</w:t>
            </w:r>
            <w:r w:rsidR="00CD282A">
              <w:t xml:space="preserve">, </w:t>
            </w:r>
            <w:r w:rsidR="00CD282A" w:rsidRPr="00F83605">
              <w:rPr>
                <w:i/>
              </w:rPr>
              <w:t>Average Weekly Earnings, Australia</w:t>
            </w:r>
            <w:r w:rsidR="00CD282A">
              <w:t>, Cat. no. 6302.0</w:t>
            </w:r>
            <w:r w:rsidR="0082674F">
              <w:t>, table </w:t>
            </w:r>
            <w:proofErr w:type="spellStart"/>
            <w:r w:rsidR="0082674F">
              <w:t>10I</w:t>
            </w:r>
            <w:proofErr w:type="spellEnd"/>
            <w:r w:rsidR="00186269">
              <w:t>)</w:t>
            </w:r>
            <w:r w:rsidR="00CD282A">
              <w:t xml:space="preserve">; ABS </w:t>
            </w:r>
            <w:r w:rsidR="00186269">
              <w:t>(</w:t>
            </w:r>
            <w:r w:rsidR="00CD282A">
              <w:t xml:space="preserve">2019, </w:t>
            </w:r>
            <w:r w:rsidR="00CD282A" w:rsidRPr="00F83605">
              <w:rPr>
                <w:i/>
              </w:rPr>
              <w:t>Wage Price Index, Australia</w:t>
            </w:r>
            <w:r w:rsidR="00CD282A" w:rsidRPr="0082674F">
              <w:t xml:space="preserve">, </w:t>
            </w:r>
            <w:r w:rsidR="00A87221" w:rsidRPr="0082674F">
              <w:t>Dec 2018</w:t>
            </w:r>
            <w:r w:rsidR="00A87221">
              <w:t xml:space="preserve">, </w:t>
            </w:r>
            <w:r w:rsidR="00CD282A">
              <w:t>Cat. no. 6345</w:t>
            </w:r>
            <w:r w:rsidR="00F83605">
              <w:t>.</w:t>
            </w:r>
            <w:r w:rsidR="00186269">
              <w:t>0</w:t>
            </w:r>
            <w:r w:rsidR="00B370EF">
              <w:t xml:space="preserve">, </w:t>
            </w:r>
            <w:r w:rsidR="00D35CA0">
              <w:t xml:space="preserve">table </w:t>
            </w:r>
            <w:proofErr w:type="spellStart"/>
            <w:r w:rsidR="00D35CA0">
              <w:t>9b</w:t>
            </w:r>
            <w:proofErr w:type="spellEnd"/>
            <w:r w:rsidR="00186269">
              <w:t>)</w:t>
            </w:r>
            <w:r w:rsidR="002F7E03">
              <w:t>;</w:t>
            </w:r>
            <w:r w:rsidR="00CD282A">
              <w:t xml:space="preserve"> and ABS </w:t>
            </w:r>
            <w:r w:rsidR="00186269">
              <w:t>(</w:t>
            </w:r>
            <w:r w:rsidR="00CD282A">
              <w:t>2019</w:t>
            </w:r>
            <w:r w:rsidR="00F83605">
              <w:t>,</w:t>
            </w:r>
            <w:r w:rsidR="00CD282A">
              <w:t xml:space="preserve"> </w:t>
            </w:r>
            <w:r w:rsidR="00F83605" w:rsidRPr="00F83605">
              <w:rPr>
                <w:i/>
              </w:rPr>
              <w:t>Consumer Price Index, Australia</w:t>
            </w:r>
            <w:r w:rsidR="00F83605" w:rsidRPr="0082674F">
              <w:t xml:space="preserve">, </w:t>
            </w:r>
            <w:r w:rsidR="00A87221" w:rsidRPr="0082674F">
              <w:t>Dec 2018,</w:t>
            </w:r>
            <w:r w:rsidR="00186269">
              <w:t xml:space="preserve"> </w:t>
            </w:r>
            <w:r w:rsidR="00F83605">
              <w:t>Cat. no. 6401.0</w:t>
            </w:r>
            <w:r w:rsidR="00B370EF">
              <w:t>, tables 1 and 2</w:t>
            </w:r>
            <w:r w:rsidR="00186269">
              <w:t>)</w:t>
            </w:r>
            <w:r w:rsidR="00F83605">
              <w:t>.</w:t>
            </w:r>
          </w:p>
        </w:tc>
      </w:tr>
      <w:tr w:rsidR="004F50E8" w14:paraId="0DF23F93" w14:textId="77777777" w:rsidTr="004C223E">
        <w:tc>
          <w:tcPr>
            <w:tcW w:w="5000" w:type="pct"/>
            <w:tcBorders>
              <w:top w:val="nil"/>
              <w:left w:val="nil"/>
              <w:bottom w:val="single" w:sz="6" w:space="0" w:color="78A22F"/>
              <w:right w:val="nil"/>
            </w:tcBorders>
            <w:shd w:val="clear" w:color="auto" w:fill="auto"/>
          </w:tcPr>
          <w:p w14:paraId="2EC67138" w14:textId="77777777" w:rsidR="004F50E8" w:rsidRDefault="004F50E8" w:rsidP="004C223E">
            <w:pPr>
              <w:pStyle w:val="Figurespace"/>
            </w:pPr>
          </w:p>
        </w:tc>
      </w:tr>
      <w:tr w:rsidR="004F50E8" w:rsidRPr="000863A5" w14:paraId="69022AB9" w14:textId="77777777" w:rsidTr="004C223E">
        <w:tc>
          <w:tcPr>
            <w:tcW w:w="5000" w:type="pct"/>
            <w:tcBorders>
              <w:top w:val="single" w:sz="6" w:space="0" w:color="78A22F"/>
              <w:left w:val="nil"/>
              <w:bottom w:val="nil"/>
              <w:right w:val="nil"/>
            </w:tcBorders>
          </w:tcPr>
          <w:p w14:paraId="217D8FCB" w14:textId="77777777" w:rsidR="004F50E8" w:rsidRPr="00626D32" w:rsidRDefault="004F50E8" w:rsidP="004C223E">
            <w:pPr>
              <w:pStyle w:val="BoxSpaceBelow"/>
            </w:pPr>
          </w:p>
        </w:tc>
      </w:tr>
    </w:tbl>
    <w:p w14:paraId="132DDC18" w14:textId="77777777" w:rsidR="00335272" w:rsidRPr="003D0BAA" w:rsidRDefault="00335272" w:rsidP="00F63704">
      <w:pPr>
        <w:pStyle w:val="BodyText"/>
        <w:rPr>
          <w:noProof/>
        </w:rPr>
      </w:pPr>
    </w:p>
    <w:p w14:paraId="616132DF" w14:textId="77777777" w:rsidR="00F63704" w:rsidRDefault="00F63704" w:rsidP="00120072">
      <w:pPr>
        <w:pStyle w:val="BodyText"/>
        <w:sectPr w:rsidR="00F63704" w:rsidSect="00474A19">
          <w:type w:val="oddPage"/>
          <w:pgSz w:w="11907" w:h="16840" w:code="9"/>
          <w:pgMar w:top="1985" w:right="1304" w:bottom="1247" w:left="1814" w:header="1701" w:footer="397" w:gutter="0"/>
          <w:pgNumType w:chapSep="period"/>
          <w:cols w:space="720"/>
        </w:sectPr>
      </w:pPr>
    </w:p>
    <w:p w14:paraId="68E99104" w14:textId="77777777" w:rsidR="00F63704" w:rsidRDefault="007A6328" w:rsidP="00F63704">
      <w:pPr>
        <w:pStyle w:val="Heading1"/>
        <w:spacing w:before="0"/>
      </w:pPr>
      <w:bookmarkStart w:id="26" w:name="_Toc5636662"/>
      <w:bookmarkStart w:id="27" w:name="_Toc5690112"/>
      <w:r>
        <w:lastRenderedPageBreak/>
        <w:t>4</w:t>
      </w:r>
      <w:r w:rsidR="00F63704">
        <w:tab/>
        <w:t>Australian productivity trends in an international context</w:t>
      </w:r>
      <w:bookmarkEnd w:id="26"/>
      <w:bookmarkEnd w:id="27"/>
    </w:p>
    <w:p w14:paraId="636D37E5" w14:textId="77777777" w:rsidR="00F63704" w:rsidRDefault="00F63704" w:rsidP="00F63704">
      <w:pPr>
        <w:pStyle w:val="BodyText"/>
      </w:pPr>
      <w:r>
        <w:t xml:space="preserve">This chapter puts recent Australian productivity trends into an international context to identify </w:t>
      </w:r>
      <w:r w:rsidR="006116FC">
        <w:t xml:space="preserve">commonalities and differences with </w:t>
      </w:r>
      <w:r>
        <w:t>broadly comparable developed economies.</w:t>
      </w:r>
    </w:p>
    <w:p w14:paraId="7006262D" w14:textId="77777777" w:rsidR="00F63704" w:rsidRDefault="005D6881" w:rsidP="00F63704">
      <w:pPr>
        <w:pStyle w:val="Heading2"/>
      </w:pPr>
      <w:bookmarkStart w:id="28" w:name="_Toc5636663"/>
      <w:bookmarkStart w:id="29" w:name="_Toc5690113"/>
      <w:r>
        <w:t>4.1</w:t>
      </w:r>
      <w:r w:rsidR="00F63704">
        <w:tab/>
        <w:t>Current productivity levels</w:t>
      </w:r>
      <w:bookmarkEnd w:id="28"/>
      <w:bookmarkEnd w:id="29"/>
    </w:p>
    <w:p w14:paraId="36F39252" w14:textId="77777777" w:rsidR="00D6297C" w:rsidRPr="00A352B7" w:rsidRDefault="00D6297C" w:rsidP="00DA67A3">
      <w:pPr>
        <w:pStyle w:val="Heading3"/>
        <w:spacing w:before="280"/>
        <w:rPr>
          <w:b w:val="0"/>
          <w:sz w:val="24"/>
          <w:szCs w:val="24"/>
        </w:rPr>
      </w:pPr>
      <w:r w:rsidRPr="00A352B7">
        <w:rPr>
          <w:b w:val="0"/>
          <w:sz w:val="24"/>
          <w:szCs w:val="24"/>
        </w:rPr>
        <w:t xml:space="preserve">Australia has relatively high productivity </w:t>
      </w:r>
      <w:r w:rsidR="00C94170" w:rsidRPr="00A352B7">
        <w:rPr>
          <w:b w:val="0"/>
          <w:sz w:val="24"/>
          <w:szCs w:val="24"/>
        </w:rPr>
        <w:t xml:space="preserve">levels </w:t>
      </w:r>
      <w:r w:rsidRPr="00A352B7">
        <w:rPr>
          <w:b w:val="0"/>
          <w:sz w:val="24"/>
          <w:szCs w:val="24"/>
        </w:rPr>
        <w:t>by international standards</w:t>
      </w:r>
    </w:p>
    <w:p w14:paraId="394124F0" w14:textId="387BBC86" w:rsidR="00C94170" w:rsidRDefault="00D6297C" w:rsidP="00C94170">
      <w:pPr>
        <w:pStyle w:val="BodyText"/>
      </w:pPr>
      <w:r>
        <w:t xml:space="preserve">Australian labour productivity in </w:t>
      </w:r>
      <w:r w:rsidR="002F7E03">
        <w:t xml:space="preserve">2017 </w:t>
      </w:r>
      <w:r>
        <w:t xml:space="preserve">(the latest available) was </w:t>
      </w:r>
      <w:r w:rsidR="005508F1">
        <w:t>over</w:t>
      </w:r>
      <w:r w:rsidR="00435C75">
        <w:t xml:space="preserve"> </w:t>
      </w:r>
      <w:proofErr w:type="spellStart"/>
      <w:r>
        <w:t>US$</w:t>
      </w:r>
      <w:r w:rsidR="005508F1">
        <w:t>52</w:t>
      </w:r>
      <w:proofErr w:type="spellEnd"/>
      <w:r>
        <w:t> per hour worked</w:t>
      </w:r>
      <w:r w:rsidR="005508F1">
        <w:t xml:space="preserve"> in 2010 prices</w:t>
      </w:r>
      <w:r w:rsidR="00E560FC">
        <w:t xml:space="preserve"> (figure </w:t>
      </w:r>
      <w:r w:rsidR="005D6881">
        <w:t>4.1</w:t>
      </w:r>
      <w:r w:rsidR="00E560FC">
        <w:t>)</w:t>
      </w:r>
      <w:r>
        <w:t>.</w:t>
      </w:r>
      <w:r w:rsidR="002F7E03">
        <w:rPr>
          <w:rStyle w:val="FootnoteReference"/>
        </w:rPr>
        <w:footnoteReference w:id="15"/>
      </w:r>
      <w:r>
        <w:t xml:space="preserve"> This value adjusts for the differences in purchasing power across countries</w:t>
      </w:r>
      <w:r w:rsidDel="00625522">
        <w:t xml:space="preserve"> </w:t>
      </w:r>
      <w:r>
        <w:t>(so</w:t>
      </w:r>
      <w:r w:rsidR="00D33627">
        <w:noBreakHyphen/>
      </w:r>
      <w:r>
        <w:t xml:space="preserve">called purchasing power parity or PPP). This placed Australia </w:t>
      </w:r>
      <w:r w:rsidR="00435C75">
        <w:t>1</w:t>
      </w:r>
      <w:r w:rsidR="005508F1">
        <w:t>5</w:t>
      </w:r>
      <w:r w:rsidRPr="00ED26FA">
        <w:t>th</w:t>
      </w:r>
      <w:r>
        <w:t xml:space="preserve"> highest among the </w:t>
      </w:r>
      <w:r w:rsidR="00435C75">
        <w:t>3</w:t>
      </w:r>
      <w:r w:rsidR="005508F1">
        <w:t>6</w:t>
      </w:r>
      <w:r>
        <w:t> </w:t>
      </w:r>
      <w:r w:rsidR="005508F1">
        <w:t>OECD</w:t>
      </w:r>
      <w:r>
        <w:t xml:space="preserve"> </w:t>
      </w:r>
      <w:r w:rsidR="005508F1">
        <w:t>economies</w:t>
      </w:r>
      <w:r w:rsidR="008F4A65">
        <w:t>, making it</w:t>
      </w:r>
      <w:r>
        <w:t xml:space="preserve"> one of the more productive (and affluent) economies in the world. </w:t>
      </w:r>
    </w:p>
    <w:p w14:paraId="1332DA2A" w14:textId="77777777" w:rsidR="00E01C95" w:rsidRPr="00A352B7" w:rsidRDefault="00E01C95" w:rsidP="00A352B7">
      <w:pPr>
        <w:pStyle w:val="Heading3"/>
        <w:rPr>
          <w:b w:val="0"/>
          <w:sz w:val="24"/>
          <w:szCs w:val="24"/>
        </w:rPr>
      </w:pPr>
      <w:r w:rsidRPr="00A352B7">
        <w:rPr>
          <w:b w:val="0"/>
          <w:sz w:val="24"/>
          <w:szCs w:val="24"/>
        </w:rPr>
        <w:t>Comparative productivity performance from a broader perspective</w:t>
      </w:r>
    </w:p>
    <w:p w14:paraId="20E841F8" w14:textId="77777777" w:rsidR="00E01C95" w:rsidRDefault="00E01C95" w:rsidP="00E01C95">
      <w:pPr>
        <w:pStyle w:val="BodyText"/>
      </w:pPr>
      <w:r>
        <w:t xml:space="preserve">Productivity measured as output per hour is not necessarily reflected in output per </w:t>
      </w:r>
      <w:r w:rsidRPr="00E60928">
        <w:rPr>
          <w:i/>
        </w:rPr>
        <w:t>person</w:t>
      </w:r>
      <w:r>
        <w:t xml:space="preserve">. A country where the labour force is relatively low or unemployment relatively high, could achieve high productivity per hour, but fail to mobilise many people in the economy. France falls into this group. In contrast, Australia has relatively high aggregate engagement in employment compared with several </w:t>
      </w:r>
      <w:proofErr w:type="spellStart"/>
      <w:r>
        <w:t>G7</w:t>
      </w:r>
      <w:proofErr w:type="spellEnd"/>
      <w:r>
        <w:t xml:space="preserve"> economies that have higher output per hour (figure 4.2).</w:t>
      </w:r>
      <w:r w:rsidR="00BD3A92">
        <w:rPr>
          <w:rStyle w:val="FootnoteReference"/>
        </w:rPr>
        <w:footnoteReference w:id="16"/>
      </w:r>
      <w:r>
        <w:t xml:space="preserve"> Accordingly, Australia’s overall output per person is better than might be suggested by focusing on hourly measures.</w:t>
      </w:r>
    </w:p>
    <w:p w14:paraId="0937903A" w14:textId="77777777" w:rsidR="00E01C95" w:rsidRDefault="00E01C95" w:rsidP="00E01C95">
      <w:pPr>
        <w:pStyle w:val="BodyText"/>
      </w:pPr>
      <w:r>
        <w:t xml:space="preserve">On face value, the US performs well on all counts from this broader perspective, as it has high productivity per hour, higher participation rates and lower unemployment rates than some other </w:t>
      </w:r>
      <w:proofErr w:type="spellStart"/>
      <w:r>
        <w:t>G7</w:t>
      </w:r>
      <w:proofErr w:type="spellEnd"/>
      <w:r>
        <w:t xml:space="preserve"> countries. However, there is significantly more dispersion in wages across workers in the United States than Australia. Wage</w:t>
      </w:r>
      <w:r w:rsidR="005A0AC7">
        <w:t>s</w:t>
      </w:r>
      <w:r>
        <w:t xml:space="preserve"> for lower skilled workers</w:t>
      </w:r>
      <w:r w:rsidRPr="00D54238">
        <w:t xml:space="preserve"> </w:t>
      </w:r>
      <w:r>
        <w:t xml:space="preserve">in the United States are generally lower than in Australia. Low paid workers, the unemployed and those unable to work in Australia have the benefit of a relatively more generous income and social safety net than their counterparts in the United States </w:t>
      </w:r>
      <w:r w:rsidR="004A036D" w:rsidRPr="004A036D">
        <w:rPr>
          <w:szCs w:val="24"/>
        </w:rPr>
        <w:t>(PC 2018)</w:t>
      </w:r>
      <w:r>
        <w:t>.</w:t>
      </w:r>
    </w:p>
    <w:p w14:paraId="33A4BF56" w14:textId="77777777" w:rsidR="00E01C95" w:rsidRDefault="00E01C95" w:rsidP="00E01C95">
      <w:pPr>
        <w:pStyle w:val="BodyText"/>
      </w:pPr>
      <w:r>
        <w:lastRenderedPageBreak/>
        <w:t>This highlights the need to consider a country’s productivity performance within a broader economic context, given the potential economic trade</w:t>
      </w:r>
      <w:r>
        <w:noBreakHyphen/>
        <w:t>offs involved (such as between productivity growth and the extent of labour market participation, the level of unemployment, average working hours, job security, wage levels and income dispersion).</w:t>
      </w:r>
    </w:p>
    <w:p w14:paraId="524D1DE8" w14:textId="77777777" w:rsidR="006857C6" w:rsidRDefault="006857C6" w:rsidP="008909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857C6" w14:paraId="40692E21" w14:textId="77777777" w:rsidTr="008909A5">
        <w:trPr>
          <w:tblHeader/>
        </w:trPr>
        <w:tc>
          <w:tcPr>
            <w:tcW w:w="5000" w:type="pct"/>
            <w:tcBorders>
              <w:top w:val="single" w:sz="6" w:space="0" w:color="78A22F"/>
              <w:left w:val="nil"/>
              <w:bottom w:val="nil"/>
              <w:right w:val="nil"/>
            </w:tcBorders>
            <w:shd w:val="clear" w:color="auto" w:fill="auto"/>
          </w:tcPr>
          <w:p w14:paraId="73813B0C" w14:textId="77777777" w:rsidR="006857C6" w:rsidRDefault="006857C6" w:rsidP="008909A5">
            <w:pPr>
              <w:pStyle w:val="FigureTitle"/>
            </w:pPr>
            <w:r w:rsidRPr="00784A05">
              <w:rPr>
                <w:b w:val="0"/>
              </w:rPr>
              <w:t xml:space="preserve">Figure </w:t>
            </w:r>
            <w:r w:rsidR="00E01C95">
              <w:rPr>
                <w:b w:val="0"/>
              </w:rPr>
              <w:t>4.1</w:t>
            </w:r>
            <w:r>
              <w:tab/>
              <w:t>Level of labour productivity</w:t>
            </w:r>
            <w:r w:rsidR="009B77B0">
              <w:t>, 201</w:t>
            </w:r>
            <w:r w:rsidR="005508F1">
              <w:t>7</w:t>
            </w:r>
          </w:p>
          <w:p w14:paraId="3FC33F89" w14:textId="5EAA66B2" w:rsidR="006857C6" w:rsidRPr="00176D3F" w:rsidRDefault="006857C6" w:rsidP="00934689">
            <w:pPr>
              <w:pStyle w:val="Subtitle"/>
            </w:pPr>
            <w:r>
              <w:t xml:space="preserve">$US </w:t>
            </w:r>
            <w:r w:rsidRPr="006857C6">
              <w:t>per hour worked (</w:t>
            </w:r>
            <w:r w:rsidR="009B77B0">
              <w:t>201</w:t>
            </w:r>
            <w:r w:rsidR="005508F1">
              <w:t>0</w:t>
            </w:r>
            <w:r w:rsidR="009B77B0">
              <w:t xml:space="preserve"> prices, </w:t>
            </w:r>
            <w:r w:rsidRPr="006857C6">
              <w:t>PPP</w:t>
            </w:r>
            <w:r w:rsidR="00D33627">
              <w:noBreakHyphen/>
            </w:r>
            <w:r w:rsidRPr="006857C6">
              <w:t>based)</w:t>
            </w:r>
          </w:p>
        </w:tc>
      </w:tr>
      <w:tr w:rsidR="006857C6" w14:paraId="4DE3B35C" w14:textId="77777777" w:rsidTr="008909A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857C6" w:rsidRPr="00B1465D" w14:paraId="22028029" w14:textId="77777777" w:rsidTr="008909A5">
              <w:trPr>
                <w:tblHeader/>
                <w:jc w:val="center"/>
              </w:trPr>
              <w:tc>
                <w:tcPr>
                  <w:tcW w:w="5000" w:type="pct"/>
                  <w:tcBorders>
                    <w:top w:val="nil"/>
                    <w:bottom w:val="nil"/>
                  </w:tcBorders>
                </w:tcPr>
                <w:p w14:paraId="1E1B8D25" w14:textId="77777777" w:rsidR="006857C6" w:rsidRPr="00B1465D" w:rsidRDefault="006F788E" w:rsidP="008909A5">
                  <w:pPr>
                    <w:pStyle w:val="Figure"/>
                    <w:spacing w:before="60" w:after="60"/>
                    <w:rPr>
                      <w:rFonts w:ascii="Arial" w:hAnsi="Arial" w:cs="Arial"/>
                      <w:sz w:val="18"/>
                      <w:szCs w:val="18"/>
                    </w:rPr>
                  </w:pPr>
                  <w:r w:rsidRPr="006F788E">
                    <w:rPr>
                      <w:rFonts w:ascii="Arial" w:hAnsi="Arial" w:cs="Arial"/>
                      <w:noProof/>
                      <w:sz w:val="18"/>
                      <w:szCs w:val="18"/>
                    </w:rPr>
                    <w:drawing>
                      <wp:inline distT="0" distB="0" distL="0" distR="0" wp14:anchorId="00F9F072" wp14:editId="0F89F3A6">
                        <wp:extent cx="5397500" cy="4660900"/>
                        <wp:effectExtent l="0" t="0" r="0" b="6350"/>
                        <wp:docPr id="53" name="Picture 53" descr="This figure shows the level of level of labour productivity in 2017 for 36 OECD economies. The economies are  ordered from lowest (Mexico) on the left to the highest (Ireland) on the right. Australia was 15th highest at US$52 per hour." title="Figure 4.1 Level of labour productivit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97500" cy="4660900"/>
                                </a:xfrm>
                                <a:prstGeom prst="rect">
                                  <a:avLst/>
                                </a:prstGeom>
                                <a:noFill/>
                                <a:ln>
                                  <a:noFill/>
                                </a:ln>
                              </pic:spPr>
                            </pic:pic>
                          </a:graphicData>
                        </a:graphic>
                      </wp:inline>
                    </w:drawing>
                  </w:r>
                </w:p>
              </w:tc>
            </w:tr>
          </w:tbl>
          <w:p w14:paraId="54FB75D1" w14:textId="77777777" w:rsidR="006857C6" w:rsidRDefault="006857C6" w:rsidP="008909A5">
            <w:pPr>
              <w:pStyle w:val="Figure"/>
            </w:pPr>
          </w:p>
        </w:tc>
      </w:tr>
      <w:tr w:rsidR="006857C6" w:rsidRPr="00176D3F" w14:paraId="36944D25" w14:textId="77777777" w:rsidTr="008909A5">
        <w:tc>
          <w:tcPr>
            <w:tcW w:w="5000" w:type="pct"/>
            <w:tcBorders>
              <w:top w:val="nil"/>
              <w:left w:val="nil"/>
              <w:bottom w:val="nil"/>
              <w:right w:val="nil"/>
            </w:tcBorders>
            <w:shd w:val="clear" w:color="auto" w:fill="auto"/>
          </w:tcPr>
          <w:p w14:paraId="3364A17F" w14:textId="4264B69C" w:rsidR="006857C6" w:rsidRPr="00176D3F" w:rsidRDefault="006857C6" w:rsidP="00CA4B01">
            <w:pPr>
              <w:pStyle w:val="Source"/>
            </w:pPr>
            <w:r>
              <w:rPr>
                <w:i/>
              </w:rPr>
              <w:t>S</w:t>
            </w:r>
            <w:r w:rsidRPr="00784A05">
              <w:rPr>
                <w:i/>
              </w:rPr>
              <w:t>ource</w:t>
            </w:r>
            <w:r w:rsidRPr="00176D3F">
              <w:t xml:space="preserve">: </w:t>
            </w:r>
            <w:r w:rsidR="005D6881">
              <w:t xml:space="preserve">Based on the standardised international productivity data published by the OECD in </w:t>
            </w:r>
            <w:r w:rsidR="005A7322">
              <w:t xml:space="preserve">the </w:t>
            </w:r>
            <w:proofErr w:type="spellStart"/>
            <w:r w:rsidR="007D4107">
              <w:t>OECD.</w:t>
            </w:r>
            <w:r w:rsidR="005E4099">
              <w:t>S</w:t>
            </w:r>
            <w:r w:rsidR="007D4107">
              <w:t>tat</w:t>
            </w:r>
            <w:proofErr w:type="spellEnd"/>
            <w:r w:rsidR="005A7322">
              <w:t xml:space="preserve"> database</w:t>
            </w:r>
            <w:r>
              <w:t>.</w:t>
            </w:r>
          </w:p>
        </w:tc>
      </w:tr>
      <w:tr w:rsidR="006857C6" w14:paraId="73813F2F" w14:textId="77777777" w:rsidTr="008909A5">
        <w:tc>
          <w:tcPr>
            <w:tcW w:w="5000" w:type="pct"/>
            <w:tcBorders>
              <w:top w:val="nil"/>
              <w:left w:val="nil"/>
              <w:bottom w:val="single" w:sz="6" w:space="0" w:color="78A22F"/>
              <w:right w:val="nil"/>
            </w:tcBorders>
            <w:shd w:val="clear" w:color="auto" w:fill="auto"/>
          </w:tcPr>
          <w:p w14:paraId="72604D45" w14:textId="77777777" w:rsidR="006857C6" w:rsidRDefault="006857C6" w:rsidP="008909A5">
            <w:pPr>
              <w:pStyle w:val="Figurespace"/>
            </w:pPr>
          </w:p>
        </w:tc>
      </w:tr>
      <w:tr w:rsidR="006857C6" w:rsidRPr="000863A5" w14:paraId="046714EE" w14:textId="77777777" w:rsidTr="008909A5">
        <w:tc>
          <w:tcPr>
            <w:tcW w:w="5000" w:type="pct"/>
            <w:tcBorders>
              <w:top w:val="single" w:sz="6" w:space="0" w:color="78A22F"/>
              <w:left w:val="nil"/>
              <w:bottom w:val="nil"/>
              <w:right w:val="nil"/>
            </w:tcBorders>
          </w:tcPr>
          <w:p w14:paraId="4061D64D" w14:textId="77777777" w:rsidR="006857C6" w:rsidRPr="00626D32" w:rsidRDefault="006857C6" w:rsidP="008909A5">
            <w:pPr>
              <w:pStyle w:val="BoxSpaceBelow"/>
            </w:pPr>
          </w:p>
        </w:tc>
      </w:tr>
    </w:tbl>
    <w:p w14:paraId="019A907C" w14:textId="77777777" w:rsidR="001756F8" w:rsidRDefault="001756F8" w:rsidP="001756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56F8" w14:paraId="65C581C9" w14:textId="77777777" w:rsidTr="001E4C01">
        <w:trPr>
          <w:tblHeader/>
        </w:trPr>
        <w:tc>
          <w:tcPr>
            <w:tcW w:w="5000" w:type="pct"/>
            <w:tcBorders>
              <w:top w:val="single" w:sz="6" w:space="0" w:color="78A22F"/>
              <w:left w:val="nil"/>
              <w:bottom w:val="nil"/>
              <w:right w:val="nil"/>
            </w:tcBorders>
            <w:shd w:val="clear" w:color="auto" w:fill="auto"/>
          </w:tcPr>
          <w:p w14:paraId="21A583FF" w14:textId="77777777" w:rsidR="001756F8" w:rsidRPr="00176D3F" w:rsidRDefault="001756F8" w:rsidP="00153740">
            <w:pPr>
              <w:pStyle w:val="FigureTitle"/>
            </w:pPr>
            <w:r w:rsidRPr="00784A05">
              <w:rPr>
                <w:b w:val="0"/>
              </w:rPr>
              <w:t xml:space="preserve">Figure </w:t>
            </w:r>
            <w:r w:rsidR="00E01C95">
              <w:rPr>
                <w:b w:val="0"/>
              </w:rPr>
              <w:t>4.2</w:t>
            </w:r>
            <w:r>
              <w:tab/>
              <w:t>Involvement of the population in work</w:t>
            </w:r>
            <w:r w:rsidR="00153740">
              <w:t xml:space="preserve">, </w:t>
            </w:r>
            <w:r>
              <w:t>2017</w:t>
            </w:r>
          </w:p>
        </w:tc>
      </w:tr>
      <w:tr w:rsidR="001756F8" w14:paraId="54FB139E" w14:textId="77777777" w:rsidTr="001E4C0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1756F8" w:rsidRPr="00B1465D" w14:paraId="23B72925" w14:textId="77777777" w:rsidTr="00617D55">
              <w:trPr>
                <w:tblHeader/>
                <w:jc w:val="center"/>
              </w:trPr>
              <w:tc>
                <w:tcPr>
                  <w:tcW w:w="2500" w:type="pct"/>
                  <w:tcBorders>
                    <w:top w:val="nil"/>
                    <w:bottom w:val="nil"/>
                  </w:tcBorders>
                  <w:vAlign w:val="bottom"/>
                </w:tcPr>
                <w:p w14:paraId="6510F18B" w14:textId="66B27A00" w:rsidR="001756F8" w:rsidRPr="00B1465D" w:rsidRDefault="001756F8" w:rsidP="00617D55">
                  <w:pPr>
                    <w:pStyle w:val="Figure"/>
                    <w:spacing w:before="60" w:after="60"/>
                    <w:rPr>
                      <w:rFonts w:ascii="Arial" w:hAnsi="Arial" w:cs="Arial"/>
                      <w:sz w:val="18"/>
                      <w:szCs w:val="18"/>
                    </w:rPr>
                  </w:pPr>
                  <w:r>
                    <w:rPr>
                      <w:rFonts w:ascii="Arial" w:hAnsi="Arial" w:cs="Arial"/>
                      <w:sz w:val="18"/>
                      <w:szCs w:val="18"/>
                    </w:rPr>
                    <w:t xml:space="preserve">Labour force participation rate </w:t>
                  </w:r>
                  <w:r w:rsidR="003104DC">
                    <w:rPr>
                      <w:rFonts w:ascii="Arial" w:hAnsi="Arial" w:cs="Arial"/>
                      <w:sz w:val="18"/>
                      <w:szCs w:val="18"/>
                    </w:rPr>
                    <w:t>(per</w:t>
                  </w:r>
                  <w:r w:rsidR="008541EB">
                    <w:rPr>
                      <w:rFonts w:ascii="Arial" w:hAnsi="Arial" w:cs="Arial"/>
                      <w:sz w:val="18"/>
                      <w:szCs w:val="18"/>
                    </w:rPr>
                    <w:t> </w:t>
                  </w:r>
                  <w:r w:rsidR="003104DC">
                    <w:rPr>
                      <w:rFonts w:ascii="Arial" w:hAnsi="Arial" w:cs="Arial"/>
                      <w:sz w:val="18"/>
                      <w:szCs w:val="18"/>
                    </w:rPr>
                    <w:t>cent)</w:t>
                  </w:r>
                  <w:r w:rsidR="00617D55" w:rsidRPr="00FD1752">
                    <w:rPr>
                      <w:rStyle w:val="NoteLabel"/>
                    </w:rPr>
                    <w:t>a</w:t>
                  </w:r>
                </w:p>
              </w:tc>
              <w:tc>
                <w:tcPr>
                  <w:tcW w:w="2500" w:type="pct"/>
                  <w:tcBorders>
                    <w:top w:val="nil"/>
                    <w:bottom w:val="nil"/>
                  </w:tcBorders>
                  <w:vAlign w:val="bottom"/>
                </w:tcPr>
                <w:p w14:paraId="560F4AD8" w14:textId="67FF478F" w:rsidR="001756F8" w:rsidRPr="00B1465D" w:rsidRDefault="001756F8" w:rsidP="00617D55">
                  <w:pPr>
                    <w:pStyle w:val="Figure"/>
                    <w:spacing w:before="60" w:after="60"/>
                    <w:rPr>
                      <w:rFonts w:ascii="Arial" w:hAnsi="Arial" w:cs="Arial"/>
                      <w:sz w:val="18"/>
                      <w:szCs w:val="18"/>
                    </w:rPr>
                  </w:pPr>
                  <w:r>
                    <w:rPr>
                      <w:rFonts w:ascii="Arial" w:hAnsi="Arial" w:cs="Arial"/>
                      <w:sz w:val="18"/>
                      <w:szCs w:val="18"/>
                    </w:rPr>
                    <w:t xml:space="preserve">Unemployment rate </w:t>
                  </w:r>
                  <w:r w:rsidR="003104DC">
                    <w:rPr>
                      <w:rFonts w:ascii="Arial" w:hAnsi="Arial" w:cs="Arial"/>
                      <w:sz w:val="18"/>
                      <w:szCs w:val="18"/>
                    </w:rPr>
                    <w:t>(per</w:t>
                  </w:r>
                  <w:r w:rsidR="008541EB">
                    <w:rPr>
                      <w:rFonts w:ascii="Arial" w:hAnsi="Arial" w:cs="Arial"/>
                      <w:sz w:val="18"/>
                      <w:szCs w:val="18"/>
                    </w:rPr>
                    <w:t> </w:t>
                  </w:r>
                  <w:r w:rsidR="003104DC">
                    <w:rPr>
                      <w:rFonts w:ascii="Arial" w:hAnsi="Arial" w:cs="Arial"/>
                      <w:sz w:val="18"/>
                      <w:szCs w:val="18"/>
                    </w:rPr>
                    <w:t>cent)</w:t>
                  </w:r>
                </w:p>
              </w:tc>
            </w:tr>
            <w:tr w:rsidR="001756F8" w:rsidRPr="00B1465D" w14:paraId="05717F4B" w14:textId="77777777" w:rsidTr="001E4C01">
              <w:trPr>
                <w:tblHeader/>
                <w:jc w:val="center"/>
              </w:trPr>
              <w:tc>
                <w:tcPr>
                  <w:tcW w:w="2500" w:type="pct"/>
                  <w:tcBorders>
                    <w:top w:val="nil"/>
                    <w:bottom w:val="nil"/>
                  </w:tcBorders>
                </w:tcPr>
                <w:p w14:paraId="44B240C4" w14:textId="77777777" w:rsidR="001756F8" w:rsidRPr="00B1465D" w:rsidRDefault="006F788E" w:rsidP="001E4C01">
                  <w:pPr>
                    <w:pStyle w:val="Figure"/>
                    <w:spacing w:before="60" w:after="60"/>
                    <w:rPr>
                      <w:rFonts w:ascii="Arial" w:hAnsi="Arial" w:cs="Arial"/>
                      <w:sz w:val="18"/>
                      <w:szCs w:val="18"/>
                    </w:rPr>
                  </w:pPr>
                  <w:r w:rsidRPr="006F788E">
                    <w:rPr>
                      <w:rFonts w:ascii="Arial" w:hAnsi="Arial" w:cs="Arial"/>
                      <w:noProof/>
                      <w:sz w:val="18"/>
                      <w:szCs w:val="18"/>
                    </w:rPr>
                    <w:drawing>
                      <wp:inline distT="0" distB="0" distL="0" distR="0" wp14:anchorId="3A54DD8E" wp14:editId="64C4630B">
                        <wp:extent cx="2667000" cy="2336800"/>
                        <wp:effectExtent l="0" t="0" r="0" b="6350"/>
                        <wp:docPr id="54" name="Picture 54" descr="This figure consists of two panels showing involvement of the population in work across 10 advanced OECD economies in 2017. These economies were Australia, Canada, France, Germany, Italy Japan, the Netherlands, New Zealand, the United Kingdom and the United States.&#10;The left hand panel shows the labour force participation rate. Italy had the lowest rate of labour market participation at 50 per cent, and New Zealand the highest at 71 per cent. Australia was third highest at 65 per cent.&#10;" title="Figure 4.2 Involvement of the population i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bottom w:val="nil"/>
                  </w:tcBorders>
                </w:tcPr>
                <w:p w14:paraId="056B6E42" w14:textId="77777777" w:rsidR="001756F8" w:rsidRPr="00B1465D" w:rsidRDefault="006F788E" w:rsidP="001E4C01">
                  <w:pPr>
                    <w:pStyle w:val="Figure"/>
                    <w:spacing w:before="60" w:after="60"/>
                    <w:rPr>
                      <w:rFonts w:ascii="Arial" w:hAnsi="Arial" w:cs="Arial"/>
                      <w:sz w:val="18"/>
                      <w:szCs w:val="18"/>
                    </w:rPr>
                  </w:pPr>
                  <w:r w:rsidRPr="006F788E">
                    <w:rPr>
                      <w:rFonts w:ascii="Arial" w:hAnsi="Arial" w:cs="Arial"/>
                      <w:noProof/>
                      <w:sz w:val="18"/>
                      <w:szCs w:val="18"/>
                    </w:rPr>
                    <w:drawing>
                      <wp:inline distT="0" distB="0" distL="0" distR="0" wp14:anchorId="5D18860B" wp14:editId="10DB472A">
                        <wp:extent cx="2667000" cy="2336800"/>
                        <wp:effectExtent l="0" t="0" r="0" b="6350"/>
                        <wp:docPr id="55" name="Picture 55" descr="This figure consists of two panels showing involvement of the population in work across 10 advanced OECD economies in 2017. These economies were Australia, Canada, France, Germany, Italy Japan, the Netherlands, New Zealand, the United Kingdom and the United States.&#10;The right hand panel shows the unemployment rate. Japan had the lowest unemployment rate at 3 per cent, and Italy the highest at 12 per cent. Australia was seventh lowest at 6 per cent.&#10;" title="Figure 4.2 Involvement of the population i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r>
          </w:tbl>
          <w:p w14:paraId="6E2D2541" w14:textId="77777777" w:rsidR="001756F8" w:rsidRDefault="001756F8" w:rsidP="001E4C01">
            <w:pPr>
              <w:pStyle w:val="Figure"/>
            </w:pPr>
          </w:p>
        </w:tc>
      </w:tr>
      <w:tr w:rsidR="001756F8" w:rsidRPr="00176D3F" w14:paraId="25B375AA" w14:textId="77777777" w:rsidTr="001E4C01">
        <w:tc>
          <w:tcPr>
            <w:tcW w:w="5000" w:type="pct"/>
            <w:tcBorders>
              <w:top w:val="nil"/>
              <w:left w:val="nil"/>
              <w:bottom w:val="nil"/>
              <w:right w:val="nil"/>
            </w:tcBorders>
            <w:shd w:val="clear" w:color="auto" w:fill="auto"/>
          </w:tcPr>
          <w:p w14:paraId="3F2C688B" w14:textId="77777777" w:rsidR="001756F8" w:rsidRPr="00176D3F" w:rsidRDefault="001756F8" w:rsidP="001E4C01">
            <w:pPr>
              <w:pStyle w:val="Note"/>
            </w:pPr>
            <w:r>
              <w:rPr>
                <w:rStyle w:val="NoteLabel"/>
              </w:rPr>
              <w:t>a</w:t>
            </w:r>
            <w:r>
              <w:t xml:space="preserve"> Percentage of the population of working age engaged in employment or looking for work.</w:t>
            </w:r>
          </w:p>
        </w:tc>
      </w:tr>
      <w:tr w:rsidR="001756F8" w:rsidRPr="00176D3F" w14:paraId="05CA3B63" w14:textId="77777777" w:rsidTr="001E4C01">
        <w:tc>
          <w:tcPr>
            <w:tcW w:w="5000" w:type="pct"/>
            <w:tcBorders>
              <w:top w:val="nil"/>
              <w:left w:val="nil"/>
              <w:bottom w:val="nil"/>
              <w:right w:val="nil"/>
            </w:tcBorders>
            <w:shd w:val="clear" w:color="auto" w:fill="auto"/>
          </w:tcPr>
          <w:p w14:paraId="70B5B413" w14:textId="35FA0DD5" w:rsidR="001756F8" w:rsidRPr="00176D3F" w:rsidRDefault="001756F8" w:rsidP="00CA4B01">
            <w:pPr>
              <w:pStyle w:val="Source"/>
            </w:pPr>
            <w:r>
              <w:rPr>
                <w:i/>
              </w:rPr>
              <w:t>S</w:t>
            </w:r>
            <w:r w:rsidRPr="00784A05">
              <w:rPr>
                <w:i/>
              </w:rPr>
              <w:t>ource</w:t>
            </w:r>
            <w:r w:rsidRPr="00176D3F">
              <w:t xml:space="preserve">: </w:t>
            </w:r>
            <w:proofErr w:type="spellStart"/>
            <w:r w:rsidR="007D4107">
              <w:t>OECD.</w:t>
            </w:r>
            <w:r w:rsidR="00C57CD2">
              <w:t>S</w:t>
            </w:r>
            <w:r w:rsidR="007D4107">
              <w:t>tat</w:t>
            </w:r>
            <w:proofErr w:type="spellEnd"/>
            <w:r w:rsidR="00B2320A">
              <w:t xml:space="preserve"> database</w:t>
            </w:r>
            <w:r>
              <w:t>.</w:t>
            </w:r>
          </w:p>
        </w:tc>
      </w:tr>
      <w:tr w:rsidR="001756F8" w14:paraId="668CF296" w14:textId="77777777" w:rsidTr="001E4C01">
        <w:tc>
          <w:tcPr>
            <w:tcW w:w="5000" w:type="pct"/>
            <w:tcBorders>
              <w:top w:val="nil"/>
              <w:left w:val="nil"/>
              <w:bottom w:val="single" w:sz="6" w:space="0" w:color="78A22F"/>
              <w:right w:val="nil"/>
            </w:tcBorders>
            <w:shd w:val="clear" w:color="auto" w:fill="auto"/>
          </w:tcPr>
          <w:p w14:paraId="3A54E975" w14:textId="77777777" w:rsidR="001756F8" w:rsidRDefault="001756F8" w:rsidP="001E4C01">
            <w:pPr>
              <w:pStyle w:val="Figurespace"/>
            </w:pPr>
          </w:p>
        </w:tc>
      </w:tr>
      <w:tr w:rsidR="001756F8" w:rsidRPr="000863A5" w14:paraId="5972B541" w14:textId="77777777" w:rsidTr="001E4C01">
        <w:tc>
          <w:tcPr>
            <w:tcW w:w="5000" w:type="pct"/>
            <w:tcBorders>
              <w:top w:val="single" w:sz="6" w:space="0" w:color="78A22F"/>
              <w:left w:val="nil"/>
              <w:bottom w:val="nil"/>
              <w:right w:val="nil"/>
            </w:tcBorders>
          </w:tcPr>
          <w:p w14:paraId="48435077" w14:textId="77777777" w:rsidR="001756F8" w:rsidRPr="00626D32" w:rsidRDefault="001756F8" w:rsidP="001E4C01">
            <w:pPr>
              <w:pStyle w:val="BoxSpaceBelow"/>
            </w:pPr>
          </w:p>
        </w:tc>
      </w:tr>
    </w:tbl>
    <w:p w14:paraId="20A05828" w14:textId="77777777" w:rsidR="00C94170" w:rsidRDefault="005B1F4A" w:rsidP="00C94170">
      <w:pPr>
        <w:pStyle w:val="Heading2"/>
      </w:pPr>
      <w:bookmarkStart w:id="30" w:name="_Toc5636664"/>
      <w:bookmarkStart w:id="31" w:name="_Toc5690114"/>
      <w:r>
        <w:t>4.2</w:t>
      </w:r>
      <w:r w:rsidR="00C94170">
        <w:tab/>
        <w:t>Recent global productivity trends</w:t>
      </w:r>
      <w:bookmarkEnd w:id="30"/>
      <w:bookmarkEnd w:id="31"/>
    </w:p>
    <w:p w14:paraId="4262AC54" w14:textId="3BF4A618" w:rsidR="003324EB" w:rsidRDefault="00C94170" w:rsidP="00C94170">
      <w:pPr>
        <w:pStyle w:val="BodyText"/>
      </w:pPr>
      <w:r>
        <w:t xml:space="preserve">Productivity </w:t>
      </w:r>
      <w:r w:rsidRPr="00B10943">
        <w:rPr>
          <w:i/>
        </w:rPr>
        <w:t>levels</w:t>
      </w:r>
      <w:r>
        <w:t xml:space="preserve"> at any time encapsulate the relative fortunes of each economy up to that point. All economies’ productivity levels have waxed and waned to differing degrees and over different periods, such that no one </w:t>
      </w:r>
      <w:r w:rsidR="006D73A0">
        <w:t xml:space="preserve">OECD </w:t>
      </w:r>
      <w:r>
        <w:t>economy always outperforms the others (figure</w:t>
      </w:r>
      <w:r w:rsidR="00CA4B01">
        <w:t>s</w:t>
      </w:r>
      <w:r>
        <w:t> 4.</w:t>
      </w:r>
      <w:r w:rsidR="006A249A">
        <w:t>3</w:t>
      </w:r>
      <w:r>
        <w:t xml:space="preserve"> and 4.</w:t>
      </w:r>
      <w:r w:rsidR="006A249A">
        <w:t>4</w:t>
      </w:r>
      <w:r>
        <w:t xml:space="preserve">). </w:t>
      </w:r>
    </w:p>
    <w:p w14:paraId="5E79FC63" w14:textId="3EAF9E14" w:rsidR="006A249A" w:rsidRDefault="00C94170" w:rsidP="00C94170">
      <w:pPr>
        <w:pStyle w:val="BodyText"/>
      </w:pPr>
      <w:r>
        <w:t xml:space="preserve">Australia had relatively poor productivity levels </w:t>
      </w:r>
      <w:r w:rsidR="001756F8">
        <w:t xml:space="preserve">(measured as GDP per hour) </w:t>
      </w:r>
      <w:r>
        <w:t>in 200</w:t>
      </w:r>
      <w:r w:rsidR="008E582F">
        <w:t>1</w:t>
      </w:r>
      <w:r>
        <w:t>, but relative to its peers, it grew faster in the ensuing period</w:t>
      </w:r>
      <w:r w:rsidR="006A249A">
        <w:t xml:space="preserve"> (figure 4.5)</w:t>
      </w:r>
      <w:r w:rsidR="002059E5">
        <w:t xml:space="preserve">. Australian productivity growth over this period exceeded all </w:t>
      </w:r>
      <w:proofErr w:type="spellStart"/>
      <w:r w:rsidR="002059E5">
        <w:t>G7</w:t>
      </w:r>
      <w:proofErr w:type="spellEnd"/>
      <w:r w:rsidR="002059E5">
        <w:t xml:space="preserve"> economies other than the United States.</w:t>
      </w:r>
    </w:p>
    <w:p w14:paraId="08D4550F" w14:textId="77777777" w:rsidR="00C94170" w:rsidRDefault="00C94170" w:rsidP="00C94170">
      <w:pPr>
        <w:pStyle w:val="BodyText"/>
      </w:pPr>
      <w:r>
        <w:t xml:space="preserve">The </w:t>
      </w:r>
      <w:r w:rsidR="007D4107">
        <w:t xml:space="preserve">United States </w:t>
      </w:r>
      <w:r>
        <w:t xml:space="preserve">had a similar acceleration that led to it overtaking several countries, but </w:t>
      </w:r>
      <w:r w:rsidR="00B20E05">
        <w:t>more than anything else, the business cycle and the state of the labour market</w:t>
      </w:r>
      <w:r w:rsidR="00E201D6">
        <w:t>,</w:t>
      </w:r>
      <w:r w:rsidR="00B20E05">
        <w:t xml:space="preserve"> underpinned </w:t>
      </w:r>
      <w:r>
        <w:t>its performance. The steep rise at the time of the global financial crisis (</w:t>
      </w:r>
      <w:proofErr w:type="spellStart"/>
      <w:r>
        <w:t>GFC</w:t>
      </w:r>
      <w:proofErr w:type="spellEnd"/>
      <w:r>
        <w:t>)</w:t>
      </w:r>
      <w:r w:rsidDel="00E61005">
        <w:t xml:space="preserve"> </w:t>
      </w:r>
      <w:r w:rsidR="007755C6">
        <w:t xml:space="preserve">for the United States </w:t>
      </w:r>
      <w:r>
        <w:t xml:space="preserve">primarily emanated from the labour shedding that saw the unemployment rise quickly. The result was that the United States generally managed to achieve weak, but positive, real GDP growth from substantially fewer hours worked. In the recovery phase after the </w:t>
      </w:r>
      <w:proofErr w:type="spellStart"/>
      <w:r>
        <w:t>GFC</w:t>
      </w:r>
      <w:proofErr w:type="spellEnd"/>
      <w:r>
        <w:t xml:space="preserve">, productivity performance was weak reflecting relatively strong and stable real GDP growth accompanied by lower unemployment and increases in labour supply. </w:t>
      </w:r>
    </w:p>
    <w:p w14:paraId="54CFD3ED" w14:textId="77777777" w:rsidR="00963DA3" w:rsidRDefault="00963DA3" w:rsidP="002C52E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3DA3" w14:paraId="2424873B" w14:textId="77777777" w:rsidTr="002C52E9">
        <w:trPr>
          <w:tblHeader/>
        </w:trPr>
        <w:tc>
          <w:tcPr>
            <w:tcW w:w="5000" w:type="pct"/>
            <w:tcBorders>
              <w:top w:val="single" w:sz="6" w:space="0" w:color="78A22F"/>
              <w:left w:val="nil"/>
              <w:bottom w:val="nil"/>
              <w:right w:val="nil"/>
            </w:tcBorders>
            <w:shd w:val="clear" w:color="auto" w:fill="auto"/>
          </w:tcPr>
          <w:p w14:paraId="4401FCC5" w14:textId="77777777" w:rsidR="00963DA3" w:rsidRDefault="00963DA3" w:rsidP="002C52E9">
            <w:pPr>
              <w:pStyle w:val="FigureTitle"/>
            </w:pPr>
            <w:r w:rsidRPr="00784A05">
              <w:rPr>
                <w:b w:val="0"/>
              </w:rPr>
              <w:t xml:space="preserve">Figure </w:t>
            </w:r>
            <w:r w:rsidR="003D4C6D">
              <w:rPr>
                <w:b w:val="0"/>
              </w:rPr>
              <w:t>4.3</w:t>
            </w:r>
            <w:r>
              <w:tab/>
              <w:t>Recent trends in labour productivity, 2001</w:t>
            </w:r>
            <w:r w:rsidR="00AC3AE1">
              <w:t xml:space="preserve"> to </w:t>
            </w:r>
            <w:r>
              <w:t>2017</w:t>
            </w:r>
            <w:proofErr w:type="spellStart"/>
            <w:r w:rsidRPr="00531669">
              <w:rPr>
                <w:rStyle w:val="NoteLabel"/>
                <w:rFonts w:ascii="Arial Bold" w:hAnsi="Arial Bold"/>
                <w:b/>
                <w:position w:val="10"/>
              </w:rPr>
              <w:t>a,b</w:t>
            </w:r>
            <w:proofErr w:type="spellEnd"/>
          </w:p>
          <w:p w14:paraId="1B4AEAF5" w14:textId="77777777" w:rsidR="00963DA3" w:rsidRPr="00176D3F" w:rsidRDefault="00963DA3" w:rsidP="002C52E9">
            <w:pPr>
              <w:pStyle w:val="Subtitle"/>
            </w:pPr>
            <w:proofErr w:type="spellStart"/>
            <w:r>
              <w:t>G7</w:t>
            </w:r>
            <w:proofErr w:type="spellEnd"/>
            <w:r>
              <w:t xml:space="preserve"> and selected other countries, $US </w:t>
            </w:r>
            <w:r w:rsidRPr="00E45518">
              <w:t>per hour worked (201</w:t>
            </w:r>
            <w:r>
              <w:t>0 prices,</w:t>
            </w:r>
            <w:r w:rsidRPr="00E45518">
              <w:t xml:space="preserve"> PPP</w:t>
            </w:r>
            <w:r>
              <w:noBreakHyphen/>
            </w:r>
            <w:r w:rsidRPr="00E45518">
              <w:t>based)</w:t>
            </w:r>
          </w:p>
        </w:tc>
      </w:tr>
      <w:tr w:rsidR="00963DA3" w14:paraId="7FF40479" w14:textId="77777777" w:rsidTr="002C52E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963DA3" w:rsidRPr="00B1465D" w14:paraId="46704A64" w14:textId="77777777" w:rsidTr="00963DA3">
              <w:trPr>
                <w:tblHeader/>
                <w:jc w:val="center"/>
              </w:trPr>
              <w:tc>
                <w:tcPr>
                  <w:tcW w:w="2500" w:type="pct"/>
                  <w:tcBorders>
                    <w:top w:val="nil"/>
                    <w:bottom w:val="nil"/>
                  </w:tcBorders>
                </w:tcPr>
                <w:p w14:paraId="2864AE30" w14:textId="77777777" w:rsidR="00963DA3" w:rsidRPr="00B1465D" w:rsidRDefault="003F6393" w:rsidP="002C52E9">
                  <w:pPr>
                    <w:pStyle w:val="Figure"/>
                    <w:spacing w:before="60" w:after="60"/>
                    <w:rPr>
                      <w:rFonts w:ascii="Arial" w:hAnsi="Arial" w:cs="Arial"/>
                      <w:sz w:val="18"/>
                      <w:szCs w:val="18"/>
                    </w:rPr>
                  </w:pPr>
                  <w:r w:rsidRPr="003F6393">
                    <w:rPr>
                      <w:rFonts w:ascii="Arial" w:hAnsi="Arial" w:cs="Arial"/>
                      <w:noProof/>
                      <w:sz w:val="18"/>
                      <w:szCs w:val="18"/>
                    </w:rPr>
                    <w:drawing>
                      <wp:inline distT="0" distB="0" distL="0" distR="0" wp14:anchorId="4745D0B4" wp14:editId="5C6456F1">
                        <wp:extent cx="2663825" cy="2337435"/>
                        <wp:effectExtent l="0" t="0" r="3175" b="5715"/>
                        <wp:docPr id="74" name="Picture 74" descr="This figure consists of two panels showing the trend in labour productivity from 2001 to 2017 across 10 advanced OECD economies (Australia, Canada, France, Germany, Italy Japan, the Netherlands, New Zealand, the United Kingdom and the United States).&#10;The left hand panel shows that the level of labour productivity in Australia was appreciably lower than the United States (the highest), the Netherlands, Germany and France." title="Figure 4.3 Recent trends in labour productivity, 2001-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63825" cy="2337435"/>
                                </a:xfrm>
                                <a:prstGeom prst="rect">
                                  <a:avLst/>
                                </a:prstGeom>
                                <a:noFill/>
                                <a:ln>
                                  <a:noFill/>
                                </a:ln>
                              </pic:spPr>
                            </pic:pic>
                          </a:graphicData>
                        </a:graphic>
                      </wp:inline>
                    </w:drawing>
                  </w:r>
                </w:p>
              </w:tc>
              <w:tc>
                <w:tcPr>
                  <w:tcW w:w="2500" w:type="pct"/>
                  <w:tcBorders>
                    <w:top w:val="nil"/>
                    <w:bottom w:val="nil"/>
                  </w:tcBorders>
                </w:tcPr>
                <w:p w14:paraId="397B336A" w14:textId="77777777" w:rsidR="00963DA3" w:rsidRPr="00B1465D" w:rsidRDefault="003F6393" w:rsidP="002C52E9">
                  <w:pPr>
                    <w:pStyle w:val="Figure"/>
                    <w:spacing w:before="60" w:after="60"/>
                    <w:rPr>
                      <w:rFonts w:ascii="Arial" w:hAnsi="Arial" w:cs="Arial"/>
                      <w:sz w:val="18"/>
                      <w:szCs w:val="18"/>
                    </w:rPr>
                  </w:pPr>
                  <w:r w:rsidRPr="003F6393">
                    <w:rPr>
                      <w:rFonts w:ascii="Arial" w:hAnsi="Arial" w:cs="Arial"/>
                      <w:noProof/>
                      <w:sz w:val="18"/>
                      <w:szCs w:val="18"/>
                    </w:rPr>
                    <w:drawing>
                      <wp:inline distT="0" distB="0" distL="0" distR="0" wp14:anchorId="10683551" wp14:editId="08D22F22">
                        <wp:extent cx="2663825" cy="2337435"/>
                        <wp:effectExtent l="0" t="0" r="3175" b="5715"/>
                        <wp:docPr id="75" name="Picture 75" descr="This figure consists of two panels showing the trend in labour productivity from 2001 to 2017 across 10 advanced OECD economies (Australia, Canada, France, Germany, Italy Japan, the Netherlands, New Zealand, the United Kingdom and the United States).&#10;The right hand panel shows that the level of labour productivity in Australia was appreciably higher than in New Zealand (the lowest) and Japan, and just above Italy, the United Kingdom and Canada (the closest to Australia). &#10;" title="Figure 4.3 Recent trends in labour productivity, 2001-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3825" cy="2337435"/>
                                </a:xfrm>
                                <a:prstGeom prst="rect">
                                  <a:avLst/>
                                </a:prstGeom>
                                <a:noFill/>
                                <a:ln>
                                  <a:noFill/>
                                </a:ln>
                              </pic:spPr>
                            </pic:pic>
                          </a:graphicData>
                        </a:graphic>
                      </wp:inline>
                    </w:drawing>
                  </w:r>
                </w:p>
              </w:tc>
            </w:tr>
          </w:tbl>
          <w:p w14:paraId="5CE2B2D9" w14:textId="77777777" w:rsidR="00963DA3" w:rsidRDefault="00963DA3" w:rsidP="002C52E9">
            <w:pPr>
              <w:pStyle w:val="Figure"/>
            </w:pPr>
          </w:p>
        </w:tc>
      </w:tr>
      <w:tr w:rsidR="00963DA3" w:rsidRPr="00176D3F" w14:paraId="2BC32E32" w14:textId="77777777" w:rsidTr="002C52E9">
        <w:tc>
          <w:tcPr>
            <w:tcW w:w="5000" w:type="pct"/>
            <w:tcBorders>
              <w:top w:val="nil"/>
              <w:left w:val="nil"/>
              <w:bottom w:val="nil"/>
              <w:right w:val="nil"/>
            </w:tcBorders>
            <w:shd w:val="clear" w:color="auto" w:fill="auto"/>
          </w:tcPr>
          <w:p w14:paraId="4F5C8766" w14:textId="5F578711" w:rsidR="00963DA3" w:rsidRPr="00176D3F" w:rsidRDefault="00963DA3" w:rsidP="003960A1">
            <w:pPr>
              <w:pStyle w:val="Note"/>
            </w:pPr>
            <w:r>
              <w:rPr>
                <w:rStyle w:val="NoteLabel"/>
              </w:rPr>
              <w:t>a</w:t>
            </w:r>
            <w:r>
              <w:t xml:space="preserve"> Labour productivity is expressed as GDP </w:t>
            </w:r>
            <w:r w:rsidR="003960A1">
              <w:t>per</w:t>
            </w:r>
            <w:r w:rsidR="00FD5727">
              <w:t xml:space="preserve"> </w:t>
            </w:r>
            <w:r>
              <w:t xml:space="preserve">hour worked. </w:t>
            </w:r>
            <w:r w:rsidRPr="00513C18">
              <w:rPr>
                <w:rStyle w:val="NoteLabel"/>
              </w:rPr>
              <w:t>b</w:t>
            </w:r>
            <w:r>
              <w:t xml:space="preserve"> The data for Australia uses the OECD’s estimate for the level of productivity in dollar terms for 2017, and </w:t>
            </w:r>
            <w:proofErr w:type="spellStart"/>
            <w:r>
              <w:t>backcasts</w:t>
            </w:r>
            <w:proofErr w:type="spellEnd"/>
            <w:r>
              <w:t xml:space="preserve"> this using ABS growth rates in constant price GDP per hour worked. This is to overcome anomalies between the OECD and the ABS data. This </w:t>
            </w:r>
            <w:proofErr w:type="spellStart"/>
            <w:r>
              <w:t>backcasting</w:t>
            </w:r>
            <w:proofErr w:type="spellEnd"/>
            <w:r>
              <w:t xml:space="preserve"> applies to all estimates below, unless otherwise specified.</w:t>
            </w:r>
          </w:p>
        </w:tc>
      </w:tr>
      <w:tr w:rsidR="00963DA3" w:rsidRPr="00176D3F" w14:paraId="3AEA4E3D" w14:textId="77777777" w:rsidTr="002C52E9">
        <w:tc>
          <w:tcPr>
            <w:tcW w:w="5000" w:type="pct"/>
            <w:tcBorders>
              <w:top w:val="nil"/>
              <w:left w:val="nil"/>
              <w:bottom w:val="nil"/>
              <w:right w:val="nil"/>
            </w:tcBorders>
            <w:shd w:val="clear" w:color="auto" w:fill="auto"/>
          </w:tcPr>
          <w:p w14:paraId="79CFFB58" w14:textId="2BE3C7C8" w:rsidR="00963DA3" w:rsidRPr="00176D3F" w:rsidRDefault="00963DA3" w:rsidP="00CA4B01">
            <w:pPr>
              <w:pStyle w:val="Source"/>
            </w:pPr>
            <w:r>
              <w:rPr>
                <w:i/>
              </w:rPr>
              <w:t>S</w:t>
            </w:r>
            <w:r w:rsidRPr="00784A05">
              <w:rPr>
                <w:i/>
              </w:rPr>
              <w:t>ource</w:t>
            </w:r>
            <w:r w:rsidRPr="00176D3F">
              <w:t xml:space="preserve">: </w:t>
            </w:r>
            <w:proofErr w:type="spellStart"/>
            <w:r>
              <w:t>OECD.</w:t>
            </w:r>
            <w:r w:rsidR="00C57CD2">
              <w:t>S</w:t>
            </w:r>
            <w:r w:rsidR="00B2320A">
              <w:t>tat</w:t>
            </w:r>
            <w:proofErr w:type="spellEnd"/>
            <w:r w:rsidR="00B2320A">
              <w:t xml:space="preserve"> database</w:t>
            </w:r>
            <w:r>
              <w:t>.</w:t>
            </w:r>
          </w:p>
        </w:tc>
      </w:tr>
      <w:tr w:rsidR="00963DA3" w14:paraId="23CA2701" w14:textId="77777777" w:rsidTr="002C52E9">
        <w:tc>
          <w:tcPr>
            <w:tcW w:w="5000" w:type="pct"/>
            <w:tcBorders>
              <w:top w:val="nil"/>
              <w:left w:val="nil"/>
              <w:bottom w:val="single" w:sz="6" w:space="0" w:color="78A22F"/>
              <w:right w:val="nil"/>
            </w:tcBorders>
            <w:shd w:val="clear" w:color="auto" w:fill="auto"/>
          </w:tcPr>
          <w:p w14:paraId="49C849F5" w14:textId="77777777" w:rsidR="00963DA3" w:rsidRDefault="00963DA3" w:rsidP="002C52E9">
            <w:pPr>
              <w:pStyle w:val="Figurespace"/>
            </w:pPr>
          </w:p>
        </w:tc>
      </w:tr>
      <w:tr w:rsidR="00963DA3" w:rsidRPr="000863A5" w14:paraId="4AC4E46E" w14:textId="77777777" w:rsidTr="002C52E9">
        <w:tc>
          <w:tcPr>
            <w:tcW w:w="5000" w:type="pct"/>
            <w:tcBorders>
              <w:top w:val="single" w:sz="6" w:space="0" w:color="78A22F"/>
              <w:left w:val="nil"/>
              <w:bottom w:val="nil"/>
              <w:right w:val="nil"/>
            </w:tcBorders>
          </w:tcPr>
          <w:p w14:paraId="1D471387" w14:textId="77777777" w:rsidR="00963DA3" w:rsidRPr="00626D32" w:rsidRDefault="00963DA3" w:rsidP="002C52E9">
            <w:pPr>
              <w:pStyle w:val="BoxSpaceBelow"/>
            </w:pPr>
          </w:p>
        </w:tc>
      </w:tr>
    </w:tbl>
    <w:p w14:paraId="7E7C2740" w14:textId="77777777" w:rsidR="00D77753" w:rsidRDefault="00D77753" w:rsidP="008909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7753" w14:paraId="6F168DC8" w14:textId="77777777" w:rsidTr="008909A5">
        <w:trPr>
          <w:tblHeader/>
        </w:trPr>
        <w:tc>
          <w:tcPr>
            <w:tcW w:w="5000" w:type="pct"/>
            <w:tcBorders>
              <w:top w:val="single" w:sz="6" w:space="0" w:color="78A22F"/>
              <w:left w:val="nil"/>
              <w:bottom w:val="nil"/>
              <w:right w:val="nil"/>
            </w:tcBorders>
            <w:shd w:val="clear" w:color="auto" w:fill="auto"/>
          </w:tcPr>
          <w:p w14:paraId="7BFAB38A" w14:textId="77777777" w:rsidR="00D77753" w:rsidRDefault="00D77753" w:rsidP="008909A5">
            <w:pPr>
              <w:pStyle w:val="FigureTitle"/>
            </w:pPr>
            <w:r w:rsidRPr="00784A05">
              <w:rPr>
                <w:b w:val="0"/>
              </w:rPr>
              <w:t xml:space="preserve">Figure </w:t>
            </w:r>
            <w:r w:rsidR="006A249A">
              <w:rPr>
                <w:b w:val="0"/>
              </w:rPr>
              <w:t>4.4</w:t>
            </w:r>
            <w:r>
              <w:tab/>
              <w:t xml:space="preserve">Trends </w:t>
            </w:r>
            <w:r w:rsidR="002F235B">
              <w:t xml:space="preserve">in labour productivity </w:t>
            </w:r>
            <w:r>
              <w:t xml:space="preserve">for </w:t>
            </w:r>
            <w:r w:rsidR="002F235B">
              <w:t xml:space="preserve">all </w:t>
            </w:r>
            <w:r>
              <w:t>OECD countries</w:t>
            </w:r>
            <w:proofErr w:type="spellStart"/>
            <w:r w:rsidR="00746902" w:rsidRPr="00531669">
              <w:rPr>
                <w:rStyle w:val="NoteLabel"/>
                <w:rFonts w:ascii="Arial Bold" w:hAnsi="Arial Bold"/>
                <w:b/>
                <w:position w:val="10"/>
              </w:rPr>
              <w:t>a,b</w:t>
            </w:r>
            <w:proofErr w:type="spellEnd"/>
          </w:p>
          <w:p w14:paraId="5BC6A78C" w14:textId="77777777" w:rsidR="00D77753" w:rsidRPr="00176D3F" w:rsidRDefault="00746902" w:rsidP="00746902">
            <w:pPr>
              <w:pStyle w:val="Subtitle"/>
            </w:pPr>
            <w:r>
              <w:t xml:space="preserve">$US </w:t>
            </w:r>
            <w:r w:rsidR="00D77753" w:rsidRPr="00E45518">
              <w:t>per hour worked</w:t>
            </w:r>
            <w:r w:rsidR="00AC3AE1">
              <w:t xml:space="preserve">, 2001 to </w:t>
            </w:r>
            <w:r w:rsidR="007D4107">
              <w:t>2017</w:t>
            </w:r>
            <w:r w:rsidR="00D77753" w:rsidRPr="00E45518">
              <w:t xml:space="preserve"> (201</w:t>
            </w:r>
            <w:r w:rsidR="002D1216">
              <w:t>0</w:t>
            </w:r>
            <w:r>
              <w:t xml:space="preserve"> prices,</w:t>
            </w:r>
            <w:r w:rsidR="00D77753" w:rsidRPr="00E45518">
              <w:t xml:space="preserve"> </w:t>
            </w:r>
            <w:r w:rsidRPr="00E45518">
              <w:t>PPP</w:t>
            </w:r>
            <w:r>
              <w:noBreakHyphen/>
            </w:r>
            <w:r w:rsidR="00D77753" w:rsidRPr="00E45518">
              <w:t>based)</w:t>
            </w:r>
          </w:p>
        </w:tc>
      </w:tr>
      <w:tr w:rsidR="00D77753" w14:paraId="319E9223" w14:textId="77777777" w:rsidTr="008909A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77753" w:rsidRPr="00B1465D" w14:paraId="6C08BB02" w14:textId="77777777" w:rsidTr="008909A5">
              <w:trPr>
                <w:tblHeader/>
                <w:jc w:val="center"/>
              </w:trPr>
              <w:tc>
                <w:tcPr>
                  <w:tcW w:w="5000" w:type="pct"/>
                  <w:tcBorders>
                    <w:top w:val="nil"/>
                    <w:bottom w:val="nil"/>
                  </w:tcBorders>
                </w:tcPr>
                <w:p w14:paraId="4F4A2F63" w14:textId="77777777" w:rsidR="00D77753" w:rsidRPr="00B1465D" w:rsidRDefault="002E275F" w:rsidP="008909A5">
                  <w:pPr>
                    <w:pStyle w:val="Figure"/>
                    <w:spacing w:before="60" w:after="60"/>
                    <w:rPr>
                      <w:rFonts w:ascii="Arial" w:hAnsi="Arial" w:cs="Arial"/>
                      <w:sz w:val="18"/>
                      <w:szCs w:val="18"/>
                    </w:rPr>
                  </w:pPr>
                  <w:r w:rsidRPr="002E275F">
                    <w:rPr>
                      <w:rFonts w:ascii="Arial" w:hAnsi="Arial" w:cs="Arial"/>
                      <w:noProof/>
                      <w:sz w:val="18"/>
                      <w:szCs w:val="18"/>
                    </w:rPr>
                    <w:drawing>
                      <wp:inline distT="0" distB="0" distL="0" distR="0" wp14:anchorId="0266E281" wp14:editId="400C165A">
                        <wp:extent cx="5398770" cy="2695575"/>
                        <wp:effectExtent l="0" t="0" r="0" b="9525"/>
                        <wp:docPr id="76" name="Picture 76" descr="This figure shows the level of labour productivity in $US per hour worked for all OECD economies from 2001 to 2017. Australia ranked towards the middle across the entire period." title="Figure 4.4 Trends in labour productivity for all OECD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98770" cy="2695575"/>
                                </a:xfrm>
                                <a:prstGeom prst="rect">
                                  <a:avLst/>
                                </a:prstGeom>
                                <a:noFill/>
                                <a:ln>
                                  <a:noFill/>
                                </a:ln>
                              </pic:spPr>
                            </pic:pic>
                          </a:graphicData>
                        </a:graphic>
                      </wp:inline>
                    </w:drawing>
                  </w:r>
                </w:p>
              </w:tc>
            </w:tr>
          </w:tbl>
          <w:p w14:paraId="25FB37F6" w14:textId="77777777" w:rsidR="00D77753" w:rsidRDefault="00D77753" w:rsidP="008909A5">
            <w:pPr>
              <w:pStyle w:val="Figure"/>
            </w:pPr>
          </w:p>
        </w:tc>
      </w:tr>
      <w:tr w:rsidR="00E201D6" w14:paraId="15D19049" w14:textId="77777777" w:rsidTr="008909A5">
        <w:tc>
          <w:tcPr>
            <w:tcW w:w="5000" w:type="pct"/>
            <w:tcBorders>
              <w:top w:val="nil"/>
              <w:left w:val="nil"/>
              <w:bottom w:val="nil"/>
              <w:right w:val="nil"/>
            </w:tcBorders>
            <w:shd w:val="clear" w:color="auto" w:fill="auto"/>
            <w:tcMar>
              <w:top w:w="28" w:type="dxa"/>
              <w:bottom w:w="28" w:type="dxa"/>
            </w:tcMar>
          </w:tcPr>
          <w:p w14:paraId="2B592447" w14:textId="77777777" w:rsidR="00E201D6" w:rsidRPr="00B20B5A" w:rsidRDefault="00746902" w:rsidP="002E275F">
            <w:pPr>
              <w:pStyle w:val="Note"/>
              <w:rPr>
                <w:noProof/>
              </w:rPr>
            </w:pPr>
            <w:r w:rsidRPr="003A6457">
              <w:rPr>
                <w:rStyle w:val="NoteLabel"/>
              </w:rPr>
              <w:t>a</w:t>
            </w:r>
            <w:r>
              <w:t xml:space="preserve"> Labour productivity is expressed as GDP per hour worked. </w:t>
            </w:r>
            <w:r>
              <w:rPr>
                <w:rStyle w:val="NoteLabel"/>
              </w:rPr>
              <w:t>b</w:t>
            </w:r>
            <w:r w:rsidR="00CA098E">
              <w:rPr>
                <w:rStyle w:val="NoteLabel"/>
              </w:rPr>
              <w:t> </w:t>
            </w:r>
            <w:r>
              <w:rPr>
                <w:noProof/>
              </w:rPr>
              <w:t xml:space="preserve">Australia </w:t>
            </w:r>
            <w:r w:rsidR="00E201D6">
              <w:rPr>
                <w:noProof/>
              </w:rPr>
              <w:t xml:space="preserve">shown in </w:t>
            </w:r>
            <w:r w:rsidR="002E275F">
              <w:rPr>
                <w:noProof/>
              </w:rPr>
              <w:t>darker blue</w:t>
            </w:r>
            <w:r w:rsidR="00E201D6">
              <w:rPr>
                <w:noProof/>
              </w:rPr>
              <w:t>.</w:t>
            </w:r>
            <w:r w:rsidR="00DA7982">
              <w:rPr>
                <w:noProof/>
              </w:rPr>
              <w:t xml:space="preserve"> </w:t>
            </w:r>
          </w:p>
        </w:tc>
      </w:tr>
      <w:tr w:rsidR="00D77753" w:rsidRPr="00176D3F" w14:paraId="40CF0D0A" w14:textId="77777777" w:rsidTr="008909A5">
        <w:tc>
          <w:tcPr>
            <w:tcW w:w="5000" w:type="pct"/>
            <w:tcBorders>
              <w:top w:val="nil"/>
              <w:left w:val="nil"/>
              <w:bottom w:val="nil"/>
              <w:right w:val="nil"/>
            </w:tcBorders>
            <w:shd w:val="clear" w:color="auto" w:fill="auto"/>
          </w:tcPr>
          <w:p w14:paraId="239907DA" w14:textId="02CEE439" w:rsidR="00D77753" w:rsidRPr="00176D3F" w:rsidRDefault="00D77753" w:rsidP="00CA4B01">
            <w:pPr>
              <w:pStyle w:val="Source"/>
            </w:pPr>
            <w:r>
              <w:rPr>
                <w:i/>
              </w:rPr>
              <w:t>S</w:t>
            </w:r>
            <w:r w:rsidRPr="00784A05">
              <w:rPr>
                <w:i/>
              </w:rPr>
              <w:t>ource</w:t>
            </w:r>
            <w:r w:rsidRPr="00176D3F">
              <w:t xml:space="preserve">: </w:t>
            </w:r>
            <w:proofErr w:type="spellStart"/>
            <w:r w:rsidR="007D4107">
              <w:t>OECD.</w:t>
            </w:r>
            <w:r w:rsidR="00C57CD2">
              <w:t>S</w:t>
            </w:r>
            <w:r w:rsidR="00B2320A">
              <w:t>tat</w:t>
            </w:r>
            <w:proofErr w:type="spellEnd"/>
            <w:r w:rsidR="00B2320A">
              <w:t xml:space="preserve"> database</w:t>
            </w:r>
            <w:r w:rsidR="002D1216">
              <w:t>.</w:t>
            </w:r>
          </w:p>
        </w:tc>
      </w:tr>
      <w:tr w:rsidR="00D77753" w14:paraId="7FF53D4F" w14:textId="77777777" w:rsidTr="008909A5">
        <w:tc>
          <w:tcPr>
            <w:tcW w:w="5000" w:type="pct"/>
            <w:tcBorders>
              <w:top w:val="nil"/>
              <w:left w:val="nil"/>
              <w:bottom w:val="single" w:sz="6" w:space="0" w:color="78A22F"/>
              <w:right w:val="nil"/>
            </w:tcBorders>
            <w:shd w:val="clear" w:color="auto" w:fill="auto"/>
          </w:tcPr>
          <w:p w14:paraId="6234001D" w14:textId="77777777" w:rsidR="00D77753" w:rsidRDefault="00D77753" w:rsidP="008909A5">
            <w:pPr>
              <w:pStyle w:val="Figurespace"/>
            </w:pPr>
          </w:p>
        </w:tc>
      </w:tr>
      <w:tr w:rsidR="00D77753" w:rsidRPr="000863A5" w14:paraId="2D525E4A" w14:textId="77777777" w:rsidTr="008909A5">
        <w:tc>
          <w:tcPr>
            <w:tcW w:w="5000" w:type="pct"/>
            <w:tcBorders>
              <w:top w:val="single" w:sz="6" w:space="0" w:color="78A22F"/>
              <w:left w:val="nil"/>
              <w:bottom w:val="nil"/>
              <w:right w:val="nil"/>
            </w:tcBorders>
          </w:tcPr>
          <w:p w14:paraId="7E3E0BA9" w14:textId="77777777" w:rsidR="00D77753" w:rsidRPr="00626D32" w:rsidRDefault="00D77753" w:rsidP="008909A5">
            <w:pPr>
              <w:pStyle w:val="BoxSpaceBelow"/>
            </w:pPr>
          </w:p>
        </w:tc>
      </w:tr>
    </w:tbl>
    <w:p w14:paraId="4BF7F527" w14:textId="77777777" w:rsidR="00E01C95" w:rsidRDefault="00E01C95" w:rsidP="00E01C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01C95" w14:paraId="44B4DA60" w14:textId="77777777" w:rsidTr="00540BCD">
        <w:trPr>
          <w:tblHeader/>
        </w:trPr>
        <w:tc>
          <w:tcPr>
            <w:tcW w:w="5000" w:type="pct"/>
            <w:tcBorders>
              <w:top w:val="single" w:sz="6" w:space="0" w:color="78A22F"/>
              <w:left w:val="nil"/>
              <w:bottom w:val="nil"/>
              <w:right w:val="nil"/>
            </w:tcBorders>
            <w:shd w:val="clear" w:color="auto" w:fill="auto"/>
          </w:tcPr>
          <w:p w14:paraId="0284C2D2" w14:textId="77777777" w:rsidR="00E01C95" w:rsidRDefault="00E01C95" w:rsidP="00540BCD">
            <w:pPr>
              <w:pStyle w:val="FigureTitle"/>
            </w:pPr>
            <w:r w:rsidRPr="00784A05">
              <w:rPr>
                <w:b w:val="0"/>
              </w:rPr>
              <w:t xml:space="preserve">Figure </w:t>
            </w:r>
            <w:r>
              <w:rPr>
                <w:b w:val="0"/>
              </w:rPr>
              <w:t>4.</w:t>
            </w:r>
            <w:r w:rsidR="006A249A">
              <w:rPr>
                <w:b w:val="0"/>
              </w:rPr>
              <w:t>5</w:t>
            </w:r>
            <w:r>
              <w:tab/>
              <w:t>Average labour productivity growth, 2001</w:t>
            </w:r>
            <w:r w:rsidR="00AC3AE1">
              <w:t xml:space="preserve"> to </w:t>
            </w:r>
            <w:r>
              <w:t>2017</w:t>
            </w:r>
          </w:p>
          <w:p w14:paraId="3A32AA1C" w14:textId="54DC6753" w:rsidR="00E01C95" w:rsidRPr="00176D3F" w:rsidRDefault="00E01C95" w:rsidP="008541EB">
            <w:pPr>
              <w:pStyle w:val="Subtitle"/>
            </w:pPr>
            <w:proofErr w:type="spellStart"/>
            <w:r>
              <w:t>G7</w:t>
            </w:r>
            <w:proofErr w:type="spellEnd"/>
            <w:r>
              <w:t xml:space="preserve"> and selected other countries</w:t>
            </w:r>
            <w:r w:rsidR="007D4107">
              <w:t xml:space="preserve"> (per cent </w:t>
            </w:r>
            <w:r w:rsidR="008541EB">
              <w:t>per </w:t>
            </w:r>
            <w:r w:rsidR="007D4107">
              <w:t>year)</w:t>
            </w:r>
          </w:p>
        </w:tc>
      </w:tr>
      <w:tr w:rsidR="00E01C95" w14:paraId="3AE2B248" w14:textId="77777777" w:rsidTr="00540B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E01C95" w:rsidRPr="00B1465D" w14:paraId="1DF43C7D" w14:textId="77777777" w:rsidTr="00540BCD">
              <w:trPr>
                <w:tblHeader/>
                <w:jc w:val="center"/>
              </w:trPr>
              <w:tc>
                <w:tcPr>
                  <w:tcW w:w="5000" w:type="pct"/>
                  <w:tcBorders>
                    <w:top w:val="nil"/>
                    <w:bottom w:val="nil"/>
                  </w:tcBorders>
                </w:tcPr>
                <w:p w14:paraId="692A7C6C" w14:textId="77777777" w:rsidR="00E01C95" w:rsidRPr="00B1465D" w:rsidRDefault="006F788E" w:rsidP="00540BCD">
                  <w:pPr>
                    <w:pStyle w:val="Figure"/>
                    <w:spacing w:before="60" w:after="60"/>
                    <w:rPr>
                      <w:rFonts w:ascii="Arial" w:hAnsi="Arial" w:cs="Arial"/>
                      <w:sz w:val="18"/>
                      <w:szCs w:val="18"/>
                    </w:rPr>
                  </w:pPr>
                  <w:r w:rsidRPr="006F788E">
                    <w:rPr>
                      <w:rFonts w:ascii="Arial" w:hAnsi="Arial" w:cs="Arial"/>
                      <w:noProof/>
                      <w:sz w:val="18"/>
                      <w:szCs w:val="18"/>
                    </w:rPr>
                    <w:drawing>
                      <wp:inline distT="0" distB="0" distL="0" distR="0" wp14:anchorId="2AC249F9" wp14:editId="7A9CA6AD">
                        <wp:extent cx="5397500" cy="2698750"/>
                        <wp:effectExtent l="0" t="0" r="0" b="6350"/>
                        <wp:docPr id="58" name="Picture 58" descr="This figure shows the average rate of labour productivity growth from 2001 to 2017 across 10 advanced OECD economies (Australia, Canada, France, Germany, Italy Japan, the Netherlands, New Zealand, the United Kingdom and the United States). The United States had the highest growth rate at 1.5 per cent per year, and Italy the lowest at 0.1 per cent. Australia had second highest growth rate at 1.3 per cent per year." title="Figure 4.5 Average labour productivity growth, 200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97500" cy="2698750"/>
                                </a:xfrm>
                                <a:prstGeom prst="rect">
                                  <a:avLst/>
                                </a:prstGeom>
                                <a:noFill/>
                                <a:ln>
                                  <a:noFill/>
                                </a:ln>
                              </pic:spPr>
                            </pic:pic>
                          </a:graphicData>
                        </a:graphic>
                      </wp:inline>
                    </w:drawing>
                  </w:r>
                </w:p>
              </w:tc>
            </w:tr>
          </w:tbl>
          <w:p w14:paraId="3DC1478D" w14:textId="77777777" w:rsidR="00E01C95" w:rsidRDefault="00E01C95" w:rsidP="00540BCD">
            <w:pPr>
              <w:pStyle w:val="Figure"/>
            </w:pPr>
          </w:p>
        </w:tc>
      </w:tr>
      <w:tr w:rsidR="00E01C95" w:rsidRPr="00176D3F" w14:paraId="5B6EAC4D" w14:textId="77777777" w:rsidTr="00540BCD">
        <w:tc>
          <w:tcPr>
            <w:tcW w:w="5000" w:type="pct"/>
            <w:tcBorders>
              <w:top w:val="nil"/>
              <w:left w:val="nil"/>
              <w:bottom w:val="nil"/>
              <w:right w:val="nil"/>
            </w:tcBorders>
            <w:shd w:val="clear" w:color="auto" w:fill="auto"/>
          </w:tcPr>
          <w:p w14:paraId="25DE47A1" w14:textId="6D0008C2" w:rsidR="00E01C95" w:rsidRPr="00176D3F" w:rsidRDefault="00E01C95" w:rsidP="00CA4B01">
            <w:pPr>
              <w:pStyle w:val="Source"/>
            </w:pPr>
            <w:r>
              <w:rPr>
                <w:i/>
              </w:rPr>
              <w:t>S</w:t>
            </w:r>
            <w:r w:rsidRPr="00784A05">
              <w:rPr>
                <w:i/>
              </w:rPr>
              <w:t>ource</w:t>
            </w:r>
            <w:r w:rsidRPr="00176D3F">
              <w:t xml:space="preserve">: </w:t>
            </w:r>
            <w:proofErr w:type="spellStart"/>
            <w:r w:rsidR="007D4107">
              <w:t>OECD.</w:t>
            </w:r>
            <w:r w:rsidR="00C57CD2">
              <w:t>S</w:t>
            </w:r>
            <w:r w:rsidR="00B2320A">
              <w:t>tat</w:t>
            </w:r>
            <w:proofErr w:type="spellEnd"/>
            <w:r w:rsidR="00B2320A">
              <w:t xml:space="preserve"> database</w:t>
            </w:r>
            <w:r>
              <w:t>.</w:t>
            </w:r>
          </w:p>
        </w:tc>
      </w:tr>
      <w:tr w:rsidR="00E01C95" w14:paraId="654A5858" w14:textId="77777777" w:rsidTr="00540BCD">
        <w:tc>
          <w:tcPr>
            <w:tcW w:w="5000" w:type="pct"/>
            <w:tcBorders>
              <w:top w:val="nil"/>
              <w:left w:val="nil"/>
              <w:bottom w:val="single" w:sz="6" w:space="0" w:color="78A22F"/>
              <w:right w:val="nil"/>
            </w:tcBorders>
            <w:shd w:val="clear" w:color="auto" w:fill="auto"/>
          </w:tcPr>
          <w:p w14:paraId="3FD4E462" w14:textId="77777777" w:rsidR="00E01C95" w:rsidRDefault="00E01C95" w:rsidP="00540BCD">
            <w:pPr>
              <w:pStyle w:val="Figurespace"/>
            </w:pPr>
          </w:p>
        </w:tc>
      </w:tr>
      <w:tr w:rsidR="00E01C95" w:rsidRPr="000863A5" w14:paraId="65CF3708" w14:textId="77777777" w:rsidTr="00540BCD">
        <w:tc>
          <w:tcPr>
            <w:tcW w:w="5000" w:type="pct"/>
            <w:tcBorders>
              <w:top w:val="single" w:sz="6" w:space="0" w:color="78A22F"/>
              <w:left w:val="nil"/>
              <w:bottom w:val="nil"/>
              <w:right w:val="nil"/>
            </w:tcBorders>
          </w:tcPr>
          <w:p w14:paraId="702C1284" w14:textId="77777777" w:rsidR="00E01C95" w:rsidRPr="00626D32" w:rsidRDefault="00E01C95" w:rsidP="00540BCD">
            <w:pPr>
              <w:pStyle w:val="BoxSpaceBelow"/>
            </w:pPr>
          </w:p>
        </w:tc>
      </w:tr>
    </w:tbl>
    <w:p w14:paraId="597F0918" w14:textId="4423FC56" w:rsidR="006A249A" w:rsidRDefault="006A249A" w:rsidP="006A249A">
      <w:pPr>
        <w:pStyle w:val="BodyText"/>
      </w:pPr>
      <w:r>
        <w:t xml:space="preserve">More generally, Australia’s rank among the </w:t>
      </w:r>
      <w:r w:rsidR="00CA4B01">
        <w:t>23 </w:t>
      </w:r>
      <w:r>
        <w:t xml:space="preserve">OECD countries for which long series of labour productivity are available shows that the slow decline in Australia’s ranking reversed in </w:t>
      </w:r>
      <w:proofErr w:type="spellStart"/>
      <w:r>
        <w:t>2000s</w:t>
      </w:r>
      <w:proofErr w:type="spellEnd"/>
      <w:r>
        <w:t xml:space="preserve"> (as did that of the United States). Notwithstanding that relative productivity levels between countries shift backwards and forwards over time, over the very long run, there has been convergence — though this slowed in the </w:t>
      </w:r>
      <w:proofErr w:type="spellStart"/>
      <w:r>
        <w:t>1970s</w:t>
      </w:r>
      <w:proofErr w:type="spellEnd"/>
      <w:r>
        <w:t>, and vanished in 2008 (figure 4.6). Australia was one of those countries whose relative ‘outperformance’ contributed to the disappearance of convergence.</w:t>
      </w:r>
    </w:p>
    <w:p w14:paraId="798CB9BA" w14:textId="77777777" w:rsidR="005B1F4A" w:rsidRPr="00A352B7" w:rsidRDefault="005B1F4A" w:rsidP="00A352B7">
      <w:pPr>
        <w:pStyle w:val="Heading3"/>
        <w:rPr>
          <w:b w:val="0"/>
          <w:sz w:val="24"/>
          <w:szCs w:val="24"/>
        </w:rPr>
      </w:pPr>
      <w:r w:rsidRPr="00A352B7">
        <w:rPr>
          <w:b w:val="0"/>
          <w:sz w:val="24"/>
          <w:szCs w:val="24"/>
        </w:rPr>
        <w:t>Sources of growth in productivity vary by country</w:t>
      </w:r>
    </w:p>
    <w:p w14:paraId="26BE16DF" w14:textId="77777777" w:rsidR="005B1F4A" w:rsidRDefault="005B1F4A" w:rsidP="005B1F4A">
      <w:pPr>
        <w:pStyle w:val="BodyText"/>
      </w:pPr>
      <w:r>
        <w:t>While many</w:t>
      </w:r>
      <w:r w:rsidDel="0093558F">
        <w:t xml:space="preserve"> </w:t>
      </w:r>
      <w:r>
        <w:t>OECD economies had broadly similar average growth rates, the sources of this growth varied markedly (figure 4.7). Unsurprisingly given the mining boom, Australia had the highest contribution from capital deepening. In contrast, the United Kingdom and Germany had the highest relative contributions from multifactor productivity growth.</w:t>
      </w:r>
    </w:p>
    <w:p w14:paraId="65803E0E" w14:textId="77777777" w:rsidR="005B1F4A" w:rsidRDefault="005B1F4A" w:rsidP="005B1F4A">
      <w:pPr>
        <w:pStyle w:val="BodyText"/>
      </w:pPr>
      <w:r>
        <w:t xml:space="preserve">Nevertheless, considering trends rather than year on year changes, </w:t>
      </w:r>
      <w:r w:rsidRPr="007C7010">
        <w:rPr>
          <w:i/>
        </w:rPr>
        <w:t>some</w:t>
      </w:r>
      <w:r>
        <w:t xml:space="preserve"> contribution by capital deepening was ubiquitous across the relevant OECD countries, and was particularly steep during the </w:t>
      </w:r>
      <w:proofErr w:type="spellStart"/>
      <w:r>
        <w:t>GFC</w:t>
      </w:r>
      <w:proofErr w:type="spellEnd"/>
      <w:r>
        <w:t xml:space="preserve">, prior to its stagnation as economies recovered. The dispersion in MFP growth rates for the entire period from 2000 to 2017 was much greater, and indeed, a few countries aside, they do not seem noticeably higher before compared with after the </w:t>
      </w:r>
      <w:proofErr w:type="spellStart"/>
      <w:r>
        <w:t>GFC</w:t>
      </w:r>
      <w:proofErr w:type="spellEnd"/>
      <w:r>
        <w:t>. One of the common features, however, is the near universal increase in MFP in 2017, whose origin is unclear.</w:t>
      </w:r>
    </w:p>
    <w:p w14:paraId="03D97F26" w14:textId="77777777" w:rsidR="00E932BE" w:rsidRDefault="00E932BE" w:rsidP="00E932B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932BE" w14:paraId="28FAC10F" w14:textId="77777777" w:rsidTr="00540BCD">
        <w:trPr>
          <w:tblHeader/>
        </w:trPr>
        <w:tc>
          <w:tcPr>
            <w:tcW w:w="5000" w:type="pct"/>
            <w:tcBorders>
              <w:top w:val="single" w:sz="6" w:space="0" w:color="78A22F"/>
              <w:left w:val="nil"/>
              <w:bottom w:val="nil"/>
              <w:right w:val="nil"/>
            </w:tcBorders>
            <w:shd w:val="clear" w:color="auto" w:fill="auto"/>
          </w:tcPr>
          <w:p w14:paraId="49EF8309" w14:textId="756155DE" w:rsidR="00E932BE" w:rsidRDefault="00E932BE" w:rsidP="00540BCD">
            <w:pPr>
              <w:pStyle w:val="FigureTitle"/>
            </w:pPr>
            <w:r w:rsidRPr="00784A05">
              <w:rPr>
                <w:b w:val="0"/>
              </w:rPr>
              <w:t xml:space="preserve">Figure </w:t>
            </w:r>
            <w:r>
              <w:rPr>
                <w:b w:val="0"/>
              </w:rPr>
              <w:t>4.6</w:t>
            </w:r>
            <w:r>
              <w:tab/>
              <w:t>Incomplete convergence in labour productivity levels</w:t>
            </w:r>
            <w:r w:rsidR="00C05372" w:rsidRPr="009830C5">
              <w:rPr>
                <w:rStyle w:val="NoteLabel"/>
              </w:rPr>
              <w:t>a</w:t>
            </w:r>
          </w:p>
          <w:p w14:paraId="0482CCE3" w14:textId="77777777" w:rsidR="00E932BE" w:rsidRPr="00176D3F" w:rsidRDefault="00E932BE" w:rsidP="00AC3AE1">
            <w:pPr>
              <w:pStyle w:val="Subtitle"/>
            </w:pPr>
            <w:r>
              <w:t>Selected OECD countries, 1950</w:t>
            </w:r>
            <w:r w:rsidR="00AC3AE1">
              <w:t xml:space="preserve"> to </w:t>
            </w:r>
            <w:r>
              <w:t xml:space="preserve">2018 </w:t>
            </w:r>
          </w:p>
        </w:tc>
      </w:tr>
      <w:tr w:rsidR="00E932BE" w14:paraId="38F711E2" w14:textId="77777777" w:rsidTr="00540B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E932BE" w:rsidRPr="00B1465D" w14:paraId="552BB436" w14:textId="77777777" w:rsidTr="00540BCD">
              <w:trPr>
                <w:tblHeader/>
                <w:jc w:val="center"/>
              </w:trPr>
              <w:tc>
                <w:tcPr>
                  <w:tcW w:w="2500" w:type="pct"/>
                  <w:tcBorders>
                    <w:top w:val="nil"/>
                    <w:bottom w:val="nil"/>
                  </w:tcBorders>
                </w:tcPr>
                <w:p w14:paraId="36CD36D0" w14:textId="03BE3282" w:rsidR="00E932BE" w:rsidRPr="00B1465D" w:rsidRDefault="00E932BE">
                  <w:pPr>
                    <w:pStyle w:val="Figure"/>
                    <w:spacing w:before="60" w:after="60"/>
                    <w:rPr>
                      <w:rFonts w:ascii="Arial" w:hAnsi="Arial" w:cs="Arial"/>
                      <w:sz w:val="18"/>
                      <w:szCs w:val="18"/>
                    </w:rPr>
                  </w:pPr>
                  <w:r>
                    <w:rPr>
                      <w:rFonts w:ascii="Arial" w:hAnsi="Arial" w:cs="Arial"/>
                      <w:sz w:val="18"/>
                      <w:szCs w:val="18"/>
                    </w:rPr>
                    <w:t>Measure of convergence</w:t>
                  </w:r>
                  <w:r w:rsidR="00C17754">
                    <w:rPr>
                      <w:rFonts w:ascii="Arial" w:hAnsi="Arial" w:cs="Arial"/>
                      <w:sz w:val="18"/>
                      <w:szCs w:val="18"/>
                    </w:rPr>
                    <w:t xml:space="preserve"> (ratio)</w:t>
                  </w:r>
                  <w:r w:rsidR="00C05372">
                    <w:rPr>
                      <w:rStyle w:val="NoteLabel"/>
                    </w:rPr>
                    <w:t>b</w:t>
                  </w:r>
                </w:p>
              </w:tc>
              <w:tc>
                <w:tcPr>
                  <w:tcW w:w="2500" w:type="pct"/>
                  <w:tcBorders>
                    <w:top w:val="nil"/>
                    <w:bottom w:val="nil"/>
                  </w:tcBorders>
                </w:tcPr>
                <w:p w14:paraId="79BCA5A5" w14:textId="62E685D9" w:rsidR="00E932BE" w:rsidRPr="00B1465D" w:rsidRDefault="00E932BE">
                  <w:pPr>
                    <w:pStyle w:val="Figure"/>
                    <w:spacing w:before="60" w:after="60"/>
                    <w:rPr>
                      <w:rFonts w:ascii="Arial" w:hAnsi="Arial" w:cs="Arial"/>
                      <w:sz w:val="18"/>
                      <w:szCs w:val="18"/>
                    </w:rPr>
                  </w:pPr>
                  <w:r>
                    <w:rPr>
                      <w:rFonts w:ascii="Arial" w:hAnsi="Arial" w:cs="Arial"/>
                      <w:sz w:val="18"/>
                      <w:szCs w:val="18"/>
                    </w:rPr>
                    <w:t xml:space="preserve">Ranking of the US and </w:t>
                  </w:r>
                  <w:r w:rsidR="00C05372">
                    <w:rPr>
                      <w:rFonts w:ascii="Arial" w:hAnsi="Arial" w:cs="Arial"/>
                      <w:sz w:val="18"/>
                      <w:szCs w:val="18"/>
                    </w:rPr>
                    <w:t>Australia</w:t>
                  </w:r>
                  <w:r w:rsidR="00C05372">
                    <w:rPr>
                      <w:rStyle w:val="NoteLabel"/>
                    </w:rPr>
                    <w:t>c</w:t>
                  </w:r>
                </w:p>
              </w:tc>
            </w:tr>
            <w:tr w:rsidR="00E932BE" w:rsidRPr="00B1465D" w14:paraId="784D63DB" w14:textId="77777777" w:rsidTr="00540BCD">
              <w:trPr>
                <w:tblHeader/>
                <w:jc w:val="center"/>
              </w:trPr>
              <w:tc>
                <w:tcPr>
                  <w:tcW w:w="2500" w:type="pct"/>
                  <w:tcBorders>
                    <w:top w:val="nil"/>
                    <w:bottom w:val="nil"/>
                  </w:tcBorders>
                </w:tcPr>
                <w:p w14:paraId="08AD4C78" w14:textId="77777777" w:rsidR="00E932BE" w:rsidRPr="00B1465D" w:rsidRDefault="006F788E" w:rsidP="00540BCD">
                  <w:pPr>
                    <w:pStyle w:val="Figure"/>
                    <w:spacing w:before="60" w:after="60"/>
                    <w:rPr>
                      <w:rFonts w:ascii="Arial" w:hAnsi="Arial" w:cs="Arial"/>
                      <w:sz w:val="18"/>
                      <w:szCs w:val="18"/>
                    </w:rPr>
                  </w:pPr>
                  <w:r w:rsidRPr="006F788E">
                    <w:rPr>
                      <w:rFonts w:ascii="Arial" w:hAnsi="Arial" w:cs="Arial"/>
                      <w:noProof/>
                      <w:sz w:val="18"/>
                      <w:szCs w:val="18"/>
                    </w:rPr>
                    <w:drawing>
                      <wp:inline distT="0" distB="0" distL="0" distR="0" wp14:anchorId="66B33727" wp14:editId="0457BA33">
                        <wp:extent cx="2667000" cy="2336800"/>
                        <wp:effectExtent l="0" t="0" r="0" b="6350"/>
                        <wp:docPr id="61" name="Picture 61" descr="This figure consists of two panels showing the extent of convergence in labour productivity levels across selected OECD countries from 1950 to 2018.&#10;The left hand panel indicates that, notwithstanding that relative productivity levels between countries shift backwards and forwards over time, there has been convergence between economies over the very long run — although this slowed in the 1970s, and vanished in 2008. Australia was one of those countries whose relative ‘outperformance’ contributed to the disappearance of convergence." title="Figure 4.6 Incomplete convergence in labour productivity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bottom w:val="nil"/>
                  </w:tcBorders>
                </w:tcPr>
                <w:p w14:paraId="7B5B4AB1" w14:textId="77777777" w:rsidR="00E932BE" w:rsidRPr="00B1465D" w:rsidRDefault="00CA098E" w:rsidP="00540BCD">
                  <w:pPr>
                    <w:pStyle w:val="Figure"/>
                    <w:spacing w:before="60" w:after="60"/>
                    <w:rPr>
                      <w:rFonts w:ascii="Arial" w:hAnsi="Arial" w:cs="Arial"/>
                      <w:sz w:val="18"/>
                      <w:szCs w:val="18"/>
                    </w:rPr>
                  </w:pPr>
                  <w:r w:rsidRPr="00CA098E">
                    <w:rPr>
                      <w:rFonts w:ascii="Arial" w:hAnsi="Arial" w:cs="Arial"/>
                      <w:noProof/>
                      <w:sz w:val="18"/>
                      <w:szCs w:val="18"/>
                    </w:rPr>
                    <w:drawing>
                      <wp:inline distT="0" distB="0" distL="0" distR="0" wp14:anchorId="348EE0A3" wp14:editId="684CAA33">
                        <wp:extent cx="2663825" cy="2340610"/>
                        <wp:effectExtent l="0" t="0" r="3175" b="2540"/>
                        <wp:docPr id="45" name="Picture 45" descr="This figure consists of two panels showing the extent of convergence in labour productivity levels across selected OECD countries from 1950 to 2018.&#10;The right hand panel shows the ranking of labour productivity in Australia and the United States among the 23 OECD countries from 1950 to 2018. The United States had the second highest level of labour productivity in 1950 and Australia the third highest. The United remained the highest until the 1968 before gradually falling to ninth by 1978. It remained at, or around, this level until 2002. Since then, its ranking has gradually increased its ranking to third in latest year. Australia’s ranking progressively fell from third place in 16th place in 1995. It remained at, or around, this level until 2008. Australia’s ranking subsequently improved marginally to 13th place in 2018." title="Figure 4.6 Incomplete convergence in labour productivity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3825" cy="2340610"/>
                                </a:xfrm>
                                <a:prstGeom prst="rect">
                                  <a:avLst/>
                                </a:prstGeom>
                                <a:noFill/>
                                <a:ln>
                                  <a:noFill/>
                                </a:ln>
                              </pic:spPr>
                            </pic:pic>
                          </a:graphicData>
                        </a:graphic>
                      </wp:inline>
                    </w:drawing>
                  </w:r>
                </w:p>
              </w:tc>
            </w:tr>
          </w:tbl>
          <w:p w14:paraId="4BFCB6A1" w14:textId="77777777" w:rsidR="00E932BE" w:rsidRDefault="00E932BE" w:rsidP="00540BCD">
            <w:pPr>
              <w:pStyle w:val="Figure"/>
            </w:pPr>
          </w:p>
        </w:tc>
      </w:tr>
      <w:tr w:rsidR="00E932BE" w:rsidRPr="00176D3F" w14:paraId="3BD1183B" w14:textId="77777777" w:rsidTr="00540BCD">
        <w:tc>
          <w:tcPr>
            <w:tcW w:w="5000" w:type="pct"/>
            <w:tcBorders>
              <w:top w:val="nil"/>
              <w:left w:val="nil"/>
              <w:bottom w:val="nil"/>
              <w:right w:val="nil"/>
            </w:tcBorders>
            <w:shd w:val="clear" w:color="auto" w:fill="auto"/>
          </w:tcPr>
          <w:p w14:paraId="7975EB4E" w14:textId="1CBF9527" w:rsidR="00E932BE" w:rsidRPr="00176D3F" w:rsidRDefault="008600E1">
            <w:pPr>
              <w:pStyle w:val="Note"/>
            </w:pPr>
            <w:proofErr w:type="spellStart"/>
            <w:r>
              <w:rPr>
                <w:rStyle w:val="NoteLabel"/>
              </w:rPr>
              <w:t>a</w:t>
            </w:r>
            <w:proofErr w:type="spellEnd"/>
            <w:r>
              <w:t> </w:t>
            </w:r>
            <w:r w:rsidR="00C05372">
              <w:t xml:space="preserve">The data used is </w:t>
            </w:r>
            <w:r w:rsidR="00C05372" w:rsidRPr="00C05372">
              <w:t xml:space="preserve">sourced from the Conference Board. Although broadly similar, the </w:t>
            </w:r>
            <w:r w:rsidR="00C05372">
              <w:t xml:space="preserve">Conference </w:t>
            </w:r>
            <w:r w:rsidR="00C05372" w:rsidRPr="00C05372">
              <w:t>Board data cover far more years than the OECD data and</w:t>
            </w:r>
            <w:r w:rsidR="00C05372">
              <w:t>,</w:t>
            </w:r>
            <w:r w:rsidR="00C05372" w:rsidRPr="00C05372">
              <w:t xml:space="preserve"> hence</w:t>
            </w:r>
            <w:r w:rsidR="00C05372">
              <w:t>,</w:t>
            </w:r>
            <w:r w:rsidR="00C05372" w:rsidRPr="00C05372">
              <w:t xml:space="preserve"> are used here. The </w:t>
            </w:r>
            <w:r w:rsidR="00027365">
              <w:t xml:space="preserve">Conference Board </w:t>
            </w:r>
            <w:r w:rsidR="00C05372" w:rsidRPr="00C05372">
              <w:t xml:space="preserve">adjusts for reductions in ICT prices that are not </w:t>
            </w:r>
            <w:r w:rsidR="00C05372">
              <w:t xml:space="preserve">incorporated </w:t>
            </w:r>
            <w:r w:rsidR="00C05372" w:rsidRPr="00C05372">
              <w:t xml:space="preserve">in the GDP deflator. </w:t>
            </w:r>
            <w:r w:rsidR="00C05372" w:rsidRPr="009830C5">
              <w:rPr>
                <w:rStyle w:val="NoteLabel"/>
              </w:rPr>
              <w:t>b</w:t>
            </w:r>
            <w:r w:rsidR="00C05372">
              <w:t> </w:t>
            </w:r>
            <w:r w:rsidR="00C05372" w:rsidRPr="00C05372">
              <w:t>Convergence is measured as the coefficien</w:t>
            </w:r>
            <w:r w:rsidR="00C05372">
              <w:t xml:space="preserve">t of variation (referred to as sigma </w:t>
            </w:r>
            <w:r w:rsidR="00C05372" w:rsidRPr="00C05372">
              <w:t xml:space="preserve">convergence). It is calculated as the ratio of the standard deviation </w:t>
            </w:r>
            <w:r w:rsidR="00027365">
              <w:t xml:space="preserve">to the mean </w:t>
            </w:r>
            <w:r w:rsidR="00C05372" w:rsidRPr="00C05372">
              <w:t>at each point in time</w:t>
            </w:r>
            <w:r w:rsidR="00027365" w:rsidRPr="00C05372">
              <w:t xml:space="preserve"> of labour productivity levels across </w:t>
            </w:r>
            <w:r w:rsidR="00027365">
              <w:t xml:space="preserve">the </w:t>
            </w:r>
            <w:r w:rsidR="00027365" w:rsidRPr="00C05372">
              <w:t xml:space="preserve">23 OECD countries </w:t>
            </w:r>
            <w:r w:rsidR="00027365">
              <w:t>for which complete data are available</w:t>
            </w:r>
            <w:r w:rsidR="00C05372" w:rsidRPr="00C05372">
              <w:t xml:space="preserve">. A lower coefficient indicates a </w:t>
            </w:r>
            <w:r w:rsidR="00C05372">
              <w:t xml:space="preserve">fall </w:t>
            </w:r>
            <w:r w:rsidR="00C05372" w:rsidRPr="00C05372">
              <w:t xml:space="preserve">in the dispersion of productivity levels across countries. </w:t>
            </w:r>
            <w:r>
              <w:rPr>
                <w:rStyle w:val="NoteLabel"/>
              </w:rPr>
              <w:t>c</w:t>
            </w:r>
            <w:r>
              <w:t> </w:t>
            </w:r>
            <w:r w:rsidR="00E932BE">
              <w:t>The rank of Australian and US labour productivity among the 23 OECD countries, with 1 being the highest.</w:t>
            </w:r>
          </w:p>
        </w:tc>
      </w:tr>
      <w:tr w:rsidR="00E932BE" w:rsidRPr="00176D3F" w14:paraId="67537D69" w14:textId="77777777" w:rsidTr="00540BCD">
        <w:tc>
          <w:tcPr>
            <w:tcW w:w="5000" w:type="pct"/>
            <w:tcBorders>
              <w:top w:val="nil"/>
              <w:left w:val="nil"/>
              <w:bottom w:val="nil"/>
              <w:right w:val="nil"/>
            </w:tcBorders>
            <w:shd w:val="clear" w:color="auto" w:fill="auto"/>
          </w:tcPr>
          <w:p w14:paraId="5F9B63E0" w14:textId="77777777" w:rsidR="00E932BE" w:rsidRPr="00176D3F" w:rsidRDefault="00E932BE" w:rsidP="00540BCD">
            <w:pPr>
              <w:pStyle w:val="Source"/>
            </w:pPr>
            <w:r>
              <w:rPr>
                <w:i/>
              </w:rPr>
              <w:t>S</w:t>
            </w:r>
            <w:r w:rsidRPr="00784A05">
              <w:rPr>
                <w:i/>
              </w:rPr>
              <w:t>ource</w:t>
            </w:r>
            <w:r w:rsidRPr="00176D3F">
              <w:t xml:space="preserve">: </w:t>
            </w:r>
            <w:r>
              <w:t xml:space="preserve">TED 2018 </w:t>
            </w:r>
            <w:r w:rsidR="00D76048">
              <w:t xml:space="preserve">database </w:t>
            </w:r>
            <w:r w:rsidRPr="0072463F">
              <w:t xml:space="preserve">(ICT adjusted </w:t>
            </w:r>
            <w:r>
              <w:t>data</w:t>
            </w:r>
            <w:r w:rsidRPr="0072463F">
              <w:t>)</w:t>
            </w:r>
            <w:r>
              <w:t>.</w:t>
            </w:r>
          </w:p>
        </w:tc>
      </w:tr>
      <w:tr w:rsidR="00E932BE" w14:paraId="3DB06B5E" w14:textId="77777777" w:rsidTr="00540BCD">
        <w:tc>
          <w:tcPr>
            <w:tcW w:w="5000" w:type="pct"/>
            <w:tcBorders>
              <w:top w:val="nil"/>
              <w:left w:val="nil"/>
              <w:bottom w:val="single" w:sz="6" w:space="0" w:color="78A22F"/>
              <w:right w:val="nil"/>
            </w:tcBorders>
            <w:shd w:val="clear" w:color="auto" w:fill="auto"/>
          </w:tcPr>
          <w:p w14:paraId="08FF1AB6" w14:textId="77777777" w:rsidR="00E932BE" w:rsidRDefault="00E932BE" w:rsidP="00540BCD">
            <w:pPr>
              <w:pStyle w:val="Figurespace"/>
            </w:pPr>
          </w:p>
        </w:tc>
      </w:tr>
      <w:tr w:rsidR="00E932BE" w:rsidRPr="000863A5" w14:paraId="785D018B" w14:textId="77777777" w:rsidTr="00540BCD">
        <w:tc>
          <w:tcPr>
            <w:tcW w:w="5000" w:type="pct"/>
            <w:tcBorders>
              <w:top w:val="single" w:sz="6" w:space="0" w:color="78A22F"/>
              <w:left w:val="nil"/>
              <w:bottom w:val="nil"/>
              <w:right w:val="nil"/>
            </w:tcBorders>
          </w:tcPr>
          <w:p w14:paraId="3413D848" w14:textId="77777777" w:rsidR="00E932BE" w:rsidRPr="00626D32" w:rsidRDefault="00E932BE" w:rsidP="00540BCD">
            <w:pPr>
              <w:pStyle w:val="BoxSpaceBelow"/>
            </w:pPr>
          </w:p>
        </w:tc>
      </w:tr>
    </w:tbl>
    <w:p w14:paraId="231124F6" w14:textId="131532E2" w:rsidR="004D03D9" w:rsidRDefault="004D03D9" w:rsidP="004D03D9">
      <w:pPr>
        <w:pStyle w:val="BodyText"/>
      </w:pPr>
      <w:r>
        <w:t>The short</w:t>
      </w:r>
      <w:r>
        <w:noBreakHyphen/>
        <w:t xml:space="preserve">run rising contribution of capital deepening during the </w:t>
      </w:r>
      <w:proofErr w:type="spellStart"/>
      <w:r>
        <w:t>GFC</w:t>
      </w:r>
      <w:proofErr w:type="spellEnd"/>
      <w:r>
        <w:t xml:space="preserve"> among many OECD countries is largely an artifice of the statistics, labelled by the European Central Bank </w:t>
      </w:r>
      <w:r w:rsidR="004A036D" w:rsidRPr="004A036D">
        <w:t>(2017</w:t>
      </w:r>
      <w:r w:rsidR="00300115">
        <w:t>, p. 53</w:t>
      </w:r>
      <w:r w:rsidR="004A036D" w:rsidRPr="004A036D">
        <w:t>)</w:t>
      </w:r>
      <w:r w:rsidR="00300115">
        <w:t xml:space="preserve"> as ‘“</w:t>
      </w:r>
      <w:r>
        <w:t>artificial</w:t>
      </w:r>
      <w:r w:rsidR="00300115">
        <w:t>”</w:t>
      </w:r>
      <w:r>
        <w:t xml:space="preserve"> capital deepening’, and not an indicator of real trend shifts in the long</w:t>
      </w:r>
      <w:r>
        <w:noBreakHyphen/>
        <w:t>run capital</w:t>
      </w:r>
      <w:r>
        <w:noBreakHyphen/>
        <w:t>labour ratio. The severity of the economic downturns in the United States, European economies and elsewhere resulted in reductions in labour inputs (through unemployment and reduced hours of work) and lower utilisation of capital. While the former is recorded in national statistics, lower utilisation of capital is not, and by definition, this raises apparent capital deepening. Had the numbers included weakening capital utilisation, the story would have been quite different, with lower capital deepening, and given its calculation as a residual, higher MFP growth. This is why analysis across peaks in the business cycle is preferable for identifying underlying productivity and capital deepening trends. It is for this reason that productivity analysis typically focuses on productivity cycles where fluctuations in capacity utilisation can be thought of as being broadly similar.</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3F68" w14:paraId="0C793385" w14:textId="77777777" w:rsidTr="008909A5">
        <w:trPr>
          <w:tblHeader/>
        </w:trPr>
        <w:tc>
          <w:tcPr>
            <w:tcW w:w="5000" w:type="pct"/>
            <w:tcBorders>
              <w:top w:val="single" w:sz="6" w:space="0" w:color="78A22F"/>
              <w:left w:val="nil"/>
              <w:bottom w:val="nil"/>
              <w:right w:val="nil"/>
            </w:tcBorders>
            <w:shd w:val="clear" w:color="auto" w:fill="auto"/>
          </w:tcPr>
          <w:p w14:paraId="63C3C7C2" w14:textId="77777777" w:rsidR="00623F68" w:rsidRDefault="00623F68" w:rsidP="008909A5">
            <w:pPr>
              <w:pStyle w:val="FigureTitle"/>
            </w:pPr>
            <w:r w:rsidRPr="00784A05">
              <w:rPr>
                <w:b w:val="0"/>
              </w:rPr>
              <w:lastRenderedPageBreak/>
              <w:t xml:space="preserve">Figure </w:t>
            </w:r>
            <w:r w:rsidR="005B1F4A">
              <w:rPr>
                <w:b w:val="0"/>
              </w:rPr>
              <w:t>4.7</w:t>
            </w:r>
            <w:r>
              <w:tab/>
              <w:t>Contributions to labour productivity growth by economy, 200</w:t>
            </w:r>
            <w:r w:rsidR="00333DF4">
              <w:t>1</w:t>
            </w:r>
            <w:r w:rsidR="00AC3AE1">
              <w:t xml:space="preserve"> to </w:t>
            </w:r>
            <w:r>
              <w:t>2017</w:t>
            </w:r>
          </w:p>
          <w:p w14:paraId="68D347DF" w14:textId="77777777" w:rsidR="00623F68" w:rsidRPr="00176D3F" w:rsidRDefault="00623F68" w:rsidP="00333DF4">
            <w:pPr>
              <w:pStyle w:val="Subtitle"/>
            </w:pPr>
            <w:r>
              <w:t>Indexes (200</w:t>
            </w:r>
            <w:r w:rsidR="00333DF4">
              <w:t>1</w:t>
            </w:r>
            <w:r>
              <w:t>=100)</w:t>
            </w:r>
            <w:r w:rsidRPr="00192797">
              <w:rPr>
                <w:rStyle w:val="NoteLabel"/>
              </w:rPr>
              <w:t>a</w:t>
            </w:r>
          </w:p>
        </w:tc>
      </w:tr>
      <w:tr w:rsidR="00623F68" w14:paraId="0740382E" w14:textId="77777777" w:rsidTr="008909A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23F68" w:rsidRPr="00B1465D" w14:paraId="2228D4FF" w14:textId="77777777" w:rsidTr="008909A5">
              <w:trPr>
                <w:tblHeader/>
                <w:jc w:val="center"/>
              </w:trPr>
              <w:tc>
                <w:tcPr>
                  <w:tcW w:w="5000" w:type="pct"/>
                  <w:tcBorders>
                    <w:top w:val="nil"/>
                    <w:bottom w:val="nil"/>
                  </w:tcBorders>
                </w:tcPr>
                <w:p w14:paraId="20BA324F" w14:textId="77777777" w:rsidR="00623F68" w:rsidRPr="00B1465D" w:rsidRDefault="00623F68" w:rsidP="008909A5">
                  <w:pPr>
                    <w:pStyle w:val="Figure"/>
                    <w:spacing w:before="60" w:after="60"/>
                    <w:rPr>
                      <w:rFonts w:ascii="Arial" w:hAnsi="Arial" w:cs="Arial"/>
                      <w:sz w:val="18"/>
                      <w:szCs w:val="18"/>
                    </w:rPr>
                  </w:pPr>
                  <w:r>
                    <w:rPr>
                      <w:rFonts w:ascii="Arial" w:hAnsi="Arial" w:cs="Arial"/>
                      <w:sz w:val="18"/>
                      <w:szCs w:val="18"/>
                    </w:rPr>
                    <w:t>Capital deepening</w:t>
                  </w:r>
                </w:p>
              </w:tc>
            </w:tr>
            <w:tr w:rsidR="00623F68" w:rsidRPr="00B1465D" w14:paraId="2FDB6951" w14:textId="77777777" w:rsidTr="008909A5">
              <w:trPr>
                <w:tblHeader/>
                <w:jc w:val="center"/>
              </w:trPr>
              <w:tc>
                <w:tcPr>
                  <w:tcW w:w="5000" w:type="pct"/>
                  <w:tcBorders>
                    <w:top w:val="nil"/>
                    <w:bottom w:val="nil"/>
                  </w:tcBorders>
                </w:tcPr>
                <w:p w14:paraId="137FFB61" w14:textId="77777777" w:rsidR="00623F68" w:rsidRPr="00B1465D" w:rsidRDefault="00586A58" w:rsidP="008909A5">
                  <w:pPr>
                    <w:pStyle w:val="Figure"/>
                    <w:spacing w:before="60" w:after="60"/>
                    <w:rPr>
                      <w:rFonts w:ascii="Arial" w:hAnsi="Arial" w:cs="Arial"/>
                      <w:sz w:val="18"/>
                      <w:szCs w:val="18"/>
                    </w:rPr>
                  </w:pPr>
                  <w:r w:rsidRPr="00586A58">
                    <w:rPr>
                      <w:rFonts w:ascii="Arial" w:hAnsi="Arial" w:cs="Arial"/>
                      <w:noProof/>
                      <w:sz w:val="18"/>
                      <w:szCs w:val="18"/>
                    </w:rPr>
                    <w:drawing>
                      <wp:inline distT="0" distB="0" distL="0" distR="0" wp14:anchorId="602A5053" wp14:editId="52586C46">
                        <wp:extent cx="5399405" cy="2879090"/>
                        <wp:effectExtent l="0" t="0" r="0" b="0"/>
                        <wp:docPr id="63" name="Picture 63" descr="This figure consists of two panels that show the cumulative contributions to labour productivity growth from 2001 to 2017 in 10 advanced OECD economies (Australia, Canada, France, Germany, Italy Japan, the Netherlands, New Zealand, the United Kingdom and the United States).&#10;The upper panel shows the contribution from capital deepening. Unsurprisingly given the mining boom, Australia had the highest contribution from capital deepening, ahead of New Zealand and the United States." title="Figure 4.7 Contributions to labour productivity growth by economy, 2001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99405" cy="2879090"/>
                                </a:xfrm>
                                <a:prstGeom prst="rect">
                                  <a:avLst/>
                                </a:prstGeom>
                                <a:noFill/>
                                <a:ln>
                                  <a:noFill/>
                                </a:ln>
                              </pic:spPr>
                            </pic:pic>
                          </a:graphicData>
                        </a:graphic>
                      </wp:inline>
                    </w:drawing>
                  </w:r>
                </w:p>
              </w:tc>
            </w:tr>
            <w:tr w:rsidR="00623F68" w:rsidRPr="00B1465D" w14:paraId="0F5DFE0F" w14:textId="77777777" w:rsidTr="008909A5">
              <w:trPr>
                <w:tblHeader/>
                <w:jc w:val="center"/>
              </w:trPr>
              <w:tc>
                <w:tcPr>
                  <w:tcW w:w="5000" w:type="pct"/>
                  <w:tcBorders>
                    <w:top w:val="nil"/>
                    <w:bottom w:val="nil"/>
                  </w:tcBorders>
                </w:tcPr>
                <w:p w14:paraId="0F64214B" w14:textId="77777777" w:rsidR="00623F68" w:rsidRPr="00B1465D" w:rsidRDefault="00623F68" w:rsidP="008909A5">
                  <w:pPr>
                    <w:pStyle w:val="Figure"/>
                    <w:spacing w:before="60" w:after="60"/>
                    <w:rPr>
                      <w:rFonts w:ascii="Arial" w:hAnsi="Arial" w:cs="Arial"/>
                      <w:sz w:val="18"/>
                      <w:szCs w:val="18"/>
                    </w:rPr>
                  </w:pPr>
                  <w:r>
                    <w:rPr>
                      <w:rFonts w:ascii="Arial" w:hAnsi="Arial" w:cs="Arial"/>
                      <w:sz w:val="18"/>
                      <w:szCs w:val="18"/>
                    </w:rPr>
                    <w:t>Multifactor productivity</w:t>
                  </w:r>
                </w:p>
              </w:tc>
            </w:tr>
            <w:tr w:rsidR="00623F68" w:rsidRPr="00B1465D" w14:paraId="2112F44B" w14:textId="77777777" w:rsidTr="008909A5">
              <w:trPr>
                <w:tblHeader/>
                <w:jc w:val="center"/>
              </w:trPr>
              <w:tc>
                <w:tcPr>
                  <w:tcW w:w="5000" w:type="pct"/>
                  <w:tcBorders>
                    <w:top w:val="nil"/>
                    <w:bottom w:val="nil"/>
                  </w:tcBorders>
                </w:tcPr>
                <w:p w14:paraId="23E847B0" w14:textId="77777777" w:rsidR="00623F68" w:rsidRPr="00B1465D" w:rsidRDefault="0013393C" w:rsidP="008909A5">
                  <w:pPr>
                    <w:pStyle w:val="Figure"/>
                    <w:spacing w:before="60" w:after="60"/>
                    <w:rPr>
                      <w:rFonts w:ascii="Arial" w:hAnsi="Arial" w:cs="Arial"/>
                      <w:sz w:val="18"/>
                      <w:szCs w:val="18"/>
                    </w:rPr>
                  </w:pPr>
                  <w:r w:rsidRPr="0013393C">
                    <w:rPr>
                      <w:rFonts w:ascii="Arial" w:hAnsi="Arial" w:cs="Arial"/>
                      <w:noProof/>
                      <w:sz w:val="18"/>
                      <w:szCs w:val="18"/>
                    </w:rPr>
                    <w:drawing>
                      <wp:inline distT="0" distB="0" distL="0" distR="0" wp14:anchorId="253E9764" wp14:editId="6D42A89F">
                        <wp:extent cx="5399405" cy="2879090"/>
                        <wp:effectExtent l="0" t="0" r="0" b="0"/>
                        <wp:docPr id="67" name="Picture 67" descr="This figure consists of two panels that show the cumulative contributions to labour productivity growth from 2001 to 2017 in 10 advanced OECD economies (Australia, Canada, France, Germany, Italy Japan, the Netherlands, New Zealand, the United Kingdom and the United States).&#10;The lower panel shows the cumulative contribution from multifactor productivity. Two countries clearly stand out in the lower panel: the United States and Italy. The United States had the highest contribution, followed by Germany and Japan. Italy clearly had the lowest contribution. Unlike all of the other economies, the contribution from multifactor productivity in Italy actually fell over the period. Australia was on par with the Netherlands and France, towards the lower end of the spectrum.&#10;" title="Figure 4.7 Contributions to labour productivity growth by economy, 2001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99405" cy="2879090"/>
                                </a:xfrm>
                                <a:prstGeom prst="rect">
                                  <a:avLst/>
                                </a:prstGeom>
                                <a:noFill/>
                                <a:ln>
                                  <a:noFill/>
                                </a:ln>
                              </pic:spPr>
                            </pic:pic>
                          </a:graphicData>
                        </a:graphic>
                      </wp:inline>
                    </w:drawing>
                  </w:r>
                </w:p>
              </w:tc>
            </w:tr>
          </w:tbl>
          <w:p w14:paraId="6F32B46A" w14:textId="77777777" w:rsidR="00623F68" w:rsidRDefault="00623F68" w:rsidP="008909A5">
            <w:pPr>
              <w:pStyle w:val="Figure"/>
            </w:pPr>
          </w:p>
        </w:tc>
      </w:tr>
      <w:tr w:rsidR="00623F68" w:rsidRPr="00176D3F" w14:paraId="39F110DB" w14:textId="77777777" w:rsidTr="008909A5">
        <w:tc>
          <w:tcPr>
            <w:tcW w:w="5000" w:type="pct"/>
            <w:tcBorders>
              <w:top w:val="nil"/>
              <w:left w:val="nil"/>
              <w:bottom w:val="nil"/>
              <w:right w:val="nil"/>
            </w:tcBorders>
            <w:shd w:val="clear" w:color="auto" w:fill="auto"/>
          </w:tcPr>
          <w:p w14:paraId="45B7DEF4" w14:textId="77777777" w:rsidR="00623F68" w:rsidRPr="00176D3F" w:rsidRDefault="00623F68" w:rsidP="00333DF4">
            <w:pPr>
              <w:pStyle w:val="Note"/>
            </w:pPr>
            <w:proofErr w:type="spellStart"/>
            <w:r>
              <w:rPr>
                <w:rStyle w:val="NoteLabel"/>
              </w:rPr>
              <w:t>a</w:t>
            </w:r>
            <w:proofErr w:type="spellEnd"/>
            <w:r>
              <w:t xml:space="preserve"> </w:t>
            </w:r>
            <w:r w:rsidR="00333DF4">
              <w:t xml:space="preserve">Estimates of MFP and capital deepening </w:t>
            </w:r>
            <w:r w:rsidR="00746902">
              <w:t xml:space="preserve">for Australia </w:t>
            </w:r>
            <w:r w:rsidR="00333DF4">
              <w:t xml:space="preserve">are based on </w:t>
            </w:r>
            <w:r>
              <w:t xml:space="preserve">ABS </w:t>
            </w:r>
            <w:r w:rsidR="00333DF4">
              <w:t xml:space="preserve">not OECD data. </w:t>
            </w:r>
          </w:p>
        </w:tc>
      </w:tr>
      <w:tr w:rsidR="00623F68" w:rsidRPr="00176D3F" w14:paraId="276A5DE7" w14:textId="77777777" w:rsidTr="008909A5">
        <w:tc>
          <w:tcPr>
            <w:tcW w:w="5000" w:type="pct"/>
            <w:tcBorders>
              <w:top w:val="nil"/>
              <w:left w:val="nil"/>
              <w:bottom w:val="nil"/>
              <w:right w:val="nil"/>
            </w:tcBorders>
            <w:shd w:val="clear" w:color="auto" w:fill="auto"/>
          </w:tcPr>
          <w:p w14:paraId="70206FB5" w14:textId="77777777" w:rsidR="00623F68" w:rsidRPr="00176D3F" w:rsidRDefault="00623F68" w:rsidP="00AC3AE1">
            <w:pPr>
              <w:pStyle w:val="Source"/>
            </w:pPr>
            <w:r>
              <w:rPr>
                <w:i/>
              </w:rPr>
              <w:t>S</w:t>
            </w:r>
            <w:r w:rsidRPr="00784A05">
              <w:rPr>
                <w:i/>
              </w:rPr>
              <w:t>ource</w:t>
            </w:r>
            <w:r w:rsidRPr="00176D3F">
              <w:t xml:space="preserve">: </w:t>
            </w:r>
            <w:proofErr w:type="spellStart"/>
            <w:r>
              <w:t>OECD.Stat</w:t>
            </w:r>
            <w:proofErr w:type="spellEnd"/>
            <w:r>
              <w:t xml:space="preserve"> database.</w:t>
            </w:r>
          </w:p>
        </w:tc>
      </w:tr>
      <w:tr w:rsidR="00623F68" w14:paraId="61CE34B3" w14:textId="77777777" w:rsidTr="008909A5">
        <w:tc>
          <w:tcPr>
            <w:tcW w:w="5000" w:type="pct"/>
            <w:tcBorders>
              <w:top w:val="nil"/>
              <w:left w:val="nil"/>
              <w:bottom w:val="single" w:sz="6" w:space="0" w:color="78A22F"/>
              <w:right w:val="nil"/>
            </w:tcBorders>
            <w:shd w:val="clear" w:color="auto" w:fill="auto"/>
          </w:tcPr>
          <w:p w14:paraId="36A1372B" w14:textId="77777777" w:rsidR="00623F68" w:rsidRDefault="00623F68" w:rsidP="008909A5">
            <w:pPr>
              <w:pStyle w:val="Figurespace"/>
            </w:pPr>
          </w:p>
        </w:tc>
      </w:tr>
      <w:tr w:rsidR="00623F68" w:rsidRPr="000863A5" w14:paraId="33A8F570" w14:textId="77777777" w:rsidTr="008909A5">
        <w:tc>
          <w:tcPr>
            <w:tcW w:w="5000" w:type="pct"/>
            <w:tcBorders>
              <w:top w:val="single" w:sz="6" w:space="0" w:color="78A22F"/>
              <w:left w:val="nil"/>
              <w:bottom w:val="nil"/>
              <w:right w:val="nil"/>
            </w:tcBorders>
          </w:tcPr>
          <w:p w14:paraId="3EC8AD31" w14:textId="77777777" w:rsidR="00623F68" w:rsidRPr="00626D32" w:rsidRDefault="00623F68" w:rsidP="008909A5">
            <w:pPr>
              <w:pStyle w:val="BoxSpaceBelow"/>
            </w:pPr>
          </w:p>
        </w:tc>
      </w:tr>
    </w:tbl>
    <w:p w14:paraId="73DC8BD9" w14:textId="77777777" w:rsidR="00082A51" w:rsidRDefault="001B62D0" w:rsidP="00082A51">
      <w:pPr>
        <w:pStyle w:val="Heading2"/>
      </w:pPr>
      <w:bookmarkStart w:id="32" w:name="_Toc5636665"/>
      <w:bookmarkStart w:id="33" w:name="_Toc5690115"/>
      <w:r>
        <w:lastRenderedPageBreak/>
        <w:t>4.3</w:t>
      </w:r>
      <w:r w:rsidR="00082A51">
        <w:tab/>
        <w:t>The great productivity slowdown</w:t>
      </w:r>
      <w:bookmarkEnd w:id="32"/>
      <w:bookmarkEnd w:id="33"/>
    </w:p>
    <w:p w14:paraId="6EEDEC94" w14:textId="77777777" w:rsidR="00082A51" w:rsidRPr="004551F3" w:rsidRDefault="00082A51" w:rsidP="00082A51">
      <w:pPr>
        <w:pStyle w:val="BodyText"/>
      </w:pPr>
      <w:r>
        <w:t xml:space="preserve">Most developed economies experienced a marked slowing in labour productivity growth during the </w:t>
      </w:r>
      <w:proofErr w:type="spellStart"/>
      <w:r>
        <w:t>2000s</w:t>
      </w:r>
      <w:proofErr w:type="spellEnd"/>
      <w:r>
        <w:t xml:space="preserve"> compared with the previous 30 years.</w:t>
      </w:r>
      <w:r w:rsidRPr="004551F3">
        <w:t xml:space="preserve"> </w:t>
      </w:r>
      <w:r>
        <w:t>This slowdown is frequently referred to as ‘the great productivity slowdown’ or ‘secular stagnation’. This slowdown dominated the productivity landscape after 2000.</w:t>
      </w:r>
    </w:p>
    <w:p w14:paraId="3899E792" w14:textId="77777777" w:rsidR="00082A51" w:rsidRDefault="00082A51" w:rsidP="00082A51">
      <w:pPr>
        <w:pStyle w:val="BodyText"/>
      </w:pPr>
      <w:r>
        <w:t>The extent, timing and the duration of the s</w:t>
      </w:r>
      <w:r w:rsidR="00632439">
        <w:t>lowdown varied across economies</w:t>
      </w:r>
      <w:r>
        <w:t xml:space="preserve"> and industries</w:t>
      </w:r>
      <w:r w:rsidR="0085297D">
        <w:t xml:space="preserve"> </w:t>
      </w:r>
      <w:r w:rsidR="00632439" w:rsidRPr="00632439">
        <w:rPr>
          <w:szCs w:val="24"/>
        </w:rPr>
        <w:t>(figure</w:t>
      </w:r>
      <w:r w:rsidR="006A0FED">
        <w:rPr>
          <w:szCs w:val="24"/>
        </w:rPr>
        <w:t> </w:t>
      </w:r>
      <w:r w:rsidR="00632439" w:rsidRPr="00632439">
        <w:rPr>
          <w:szCs w:val="24"/>
        </w:rPr>
        <w:t>4.8 and OECD </w:t>
      </w:r>
      <w:proofErr w:type="spellStart"/>
      <w:r w:rsidR="00632439" w:rsidRPr="00632439">
        <w:rPr>
          <w:szCs w:val="24"/>
        </w:rPr>
        <w:t>2018a</w:t>
      </w:r>
      <w:proofErr w:type="spellEnd"/>
      <w:r w:rsidR="00632439" w:rsidRPr="00632439">
        <w:rPr>
          <w:szCs w:val="24"/>
        </w:rPr>
        <w:t>, p. 56)</w:t>
      </w:r>
      <w:r>
        <w:t xml:space="preserve">. For example, Italy was the first major economy to experience significant productivity stagnation, with growth slowing precipitously from 2001 compared with past decades. The global slowdown predated the </w:t>
      </w:r>
      <w:proofErr w:type="spellStart"/>
      <w:r>
        <w:t>GFC</w:t>
      </w:r>
      <w:proofErr w:type="spellEnd"/>
      <w:r>
        <w:t xml:space="preserve"> in most countries, though the crisis accentuated it. </w:t>
      </w:r>
    </w:p>
    <w:p w14:paraId="0355A4FC" w14:textId="77777777" w:rsidR="00082A51" w:rsidRDefault="00082A51" w:rsidP="00082A51">
      <w:pPr>
        <w:pStyle w:val="BodyText"/>
      </w:pPr>
      <w:r>
        <w:t xml:space="preserve">There </w:t>
      </w:r>
      <w:r w:rsidR="00A231E6">
        <w:t xml:space="preserve">are </w:t>
      </w:r>
      <w:r>
        <w:t xml:space="preserve">a multiplicity of conjectures for the slowdown, but the evidence about which matters </w:t>
      </w:r>
      <w:r w:rsidR="00B72F75">
        <w:t xml:space="preserve">most </w:t>
      </w:r>
      <w:r>
        <w:t>remain fragmentary (box 4.</w:t>
      </w:r>
      <w:r w:rsidR="002554CB">
        <w:t>1</w:t>
      </w:r>
      <w:r>
        <w:t>). While the fact that most countries experienced a slowdown at much the same time points to some common factors, this downplays the diversity of experiences about the exact timing, the affected industries and severity of the slowdown across different countries. Some country</w:t>
      </w:r>
      <w:r>
        <w:noBreakHyphen/>
        <w:t>specific factors must be at work, illustrated by the Australian experience</w:t>
      </w:r>
      <w:r w:rsidR="00233550">
        <w:t xml:space="preserve"> —</w:t>
      </w:r>
      <w:r>
        <w:t xml:space="preserve"> where the</w:t>
      </w:r>
      <w:r w:rsidR="00233550">
        <w:t>re has been a</w:t>
      </w:r>
      <w:r w:rsidR="00D33627">
        <w:t xml:space="preserve"> </w:t>
      </w:r>
      <w:r>
        <w:t>slowdown</w:t>
      </w:r>
      <w:r w:rsidR="005A0AC7">
        <w:t>,</w:t>
      </w:r>
      <w:r w:rsidR="00233550">
        <w:t xml:space="preserve"> but </w:t>
      </w:r>
      <w:r>
        <w:t>not as extreme</w:t>
      </w:r>
      <w:r w:rsidR="00233550">
        <w:t xml:space="preserve"> as other countries</w:t>
      </w:r>
      <w:r>
        <w:t xml:space="preserve">. </w:t>
      </w:r>
      <w:r w:rsidR="00D26B5E">
        <w:t>Australia’s productivity growth rates have been more consistent over time</w:t>
      </w:r>
      <w:r w:rsidR="002122C5">
        <w:t xml:space="preserve"> than some of its peers</w:t>
      </w:r>
      <w:r w:rsidR="00D26B5E">
        <w:t xml:space="preserve">, in part a reflection of the </w:t>
      </w:r>
      <w:r w:rsidR="002122C5">
        <w:t xml:space="preserve">relatively </w:t>
      </w:r>
      <w:r w:rsidR="00D26B5E">
        <w:t>low growth rate in the 1971</w:t>
      </w:r>
      <w:r w:rsidR="00D33627">
        <w:t>–</w:t>
      </w:r>
      <w:r w:rsidR="00D26B5E">
        <w:t>1990 period.</w:t>
      </w:r>
    </w:p>
    <w:p w14:paraId="07A6FBF7" w14:textId="77777777" w:rsidR="00046168" w:rsidRDefault="0004616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46168" w14:paraId="6D507E8F" w14:textId="77777777" w:rsidTr="00540BCD">
        <w:trPr>
          <w:tblHeader/>
        </w:trPr>
        <w:tc>
          <w:tcPr>
            <w:tcW w:w="5000" w:type="pct"/>
            <w:tcBorders>
              <w:top w:val="single" w:sz="6" w:space="0" w:color="78A22F"/>
              <w:left w:val="nil"/>
              <w:bottom w:val="nil"/>
              <w:right w:val="nil"/>
            </w:tcBorders>
            <w:shd w:val="clear" w:color="auto" w:fill="F2F2F2"/>
          </w:tcPr>
          <w:p w14:paraId="2C1CF0D9" w14:textId="77777777" w:rsidR="00046168" w:rsidRDefault="00046168" w:rsidP="00046168">
            <w:pPr>
              <w:pStyle w:val="BoxTitle"/>
            </w:pPr>
            <w:r>
              <w:rPr>
                <w:b w:val="0"/>
              </w:rPr>
              <w:t>Box 4.1</w:t>
            </w:r>
            <w:r>
              <w:tab/>
              <w:t>Hypotheses explaining the great productivity slowdown</w:t>
            </w:r>
          </w:p>
        </w:tc>
      </w:tr>
      <w:tr w:rsidR="00046168" w14:paraId="1F2A378D" w14:textId="77777777" w:rsidTr="00540BCD">
        <w:tc>
          <w:tcPr>
            <w:tcW w:w="5000" w:type="pct"/>
            <w:tcBorders>
              <w:top w:val="nil"/>
              <w:left w:val="nil"/>
              <w:bottom w:val="nil"/>
              <w:right w:val="nil"/>
            </w:tcBorders>
            <w:shd w:val="clear" w:color="auto" w:fill="F2F2F2"/>
          </w:tcPr>
          <w:p w14:paraId="441429F6" w14:textId="77777777" w:rsidR="00046168" w:rsidRDefault="00046168" w:rsidP="00046168">
            <w:pPr>
              <w:pStyle w:val="Box"/>
            </w:pPr>
            <w:r>
              <w:t>There has been much analysis and debate on the causes of the great productivity slowdown. These include:</w:t>
            </w:r>
          </w:p>
          <w:p w14:paraId="549A9F81" w14:textId="77777777" w:rsidR="00046168" w:rsidRDefault="00046168" w:rsidP="00046168">
            <w:pPr>
              <w:pStyle w:val="BoxListBullet"/>
            </w:pPr>
            <w:r>
              <w:t xml:space="preserve">recent innovations being more incremental in nature compared </w:t>
            </w:r>
            <w:r w:rsidR="00A852A8">
              <w:t>with</w:t>
            </w:r>
            <w:r>
              <w:t xml:space="preserve"> earlier innovations that were more transformative </w:t>
            </w:r>
            <w:r w:rsidR="004A036D" w:rsidRPr="003D4C6D">
              <w:rPr>
                <w:rFonts w:cs="Arial"/>
                <w:szCs w:val="24"/>
              </w:rPr>
              <w:t>(Fernald 2015; Gordon 2012, 2016)</w:t>
            </w:r>
          </w:p>
          <w:p w14:paraId="4AE5E93C" w14:textId="77777777" w:rsidR="00046168" w:rsidRDefault="00046168" w:rsidP="00046168">
            <w:pPr>
              <w:pStyle w:val="BoxListBullet"/>
            </w:pPr>
            <w:r>
              <w:t xml:space="preserve">output measurement error associated with the adoption of new technologies </w:t>
            </w:r>
            <w:r w:rsidR="004A036D" w:rsidRPr="003D4C6D">
              <w:rPr>
                <w:rFonts w:cs="Arial"/>
                <w:szCs w:val="24"/>
              </w:rPr>
              <w:t>(Mokyr 2014)</w:t>
            </w:r>
          </w:p>
          <w:p w14:paraId="713186AC" w14:textId="77777777" w:rsidR="00046168" w:rsidRDefault="00046168" w:rsidP="00046168">
            <w:pPr>
              <w:pStyle w:val="BoxListBullet"/>
            </w:pPr>
            <w:r>
              <w:t>the weaker corporate balance sheets, cost cutting and short</w:t>
            </w:r>
            <w:r>
              <w:noBreakHyphen/>
              <w:t>term profitability being put ahead of the investment in research, development and innovation needed for longer term growth</w:t>
            </w:r>
          </w:p>
          <w:p w14:paraId="1408798F" w14:textId="77777777" w:rsidR="00046168" w:rsidRDefault="00046168" w:rsidP="00046168">
            <w:pPr>
              <w:pStyle w:val="BoxListBullet"/>
            </w:pPr>
            <w:r>
              <w:t>increasing economic uncertainty and lower business investment</w:t>
            </w:r>
          </w:p>
          <w:p w14:paraId="242C2D35" w14:textId="77777777" w:rsidR="00046168" w:rsidRDefault="00046168" w:rsidP="00046168">
            <w:pPr>
              <w:pStyle w:val="BoxListBullet"/>
            </w:pPr>
            <w:r>
              <w:t>the slowing in the rate at which new knowledge and technologies is disseminated from frontier firms to non</w:t>
            </w:r>
            <w:r>
              <w:noBreakHyphen/>
              <w:t xml:space="preserve">frontier firms </w:t>
            </w:r>
            <w:r w:rsidR="004A036D" w:rsidRPr="003D4C6D">
              <w:rPr>
                <w:rFonts w:cs="Arial"/>
                <w:szCs w:val="24"/>
              </w:rPr>
              <w:t xml:space="preserve">(Andrews, </w:t>
            </w:r>
            <w:proofErr w:type="spellStart"/>
            <w:r w:rsidR="004A036D" w:rsidRPr="003D4C6D">
              <w:rPr>
                <w:rFonts w:cs="Arial"/>
                <w:szCs w:val="24"/>
              </w:rPr>
              <w:t>Criscuolo</w:t>
            </w:r>
            <w:proofErr w:type="spellEnd"/>
            <w:r w:rsidR="004A036D" w:rsidRPr="003D4C6D">
              <w:rPr>
                <w:rFonts w:cs="Arial"/>
                <w:szCs w:val="24"/>
              </w:rPr>
              <w:t xml:space="preserve"> and Gal 2015)</w:t>
            </w:r>
          </w:p>
          <w:p w14:paraId="4DCEFDF4" w14:textId="77777777" w:rsidR="00046168" w:rsidRDefault="00046168" w:rsidP="00046168">
            <w:pPr>
              <w:pStyle w:val="BoxListBullet"/>
            </w:pPr>
            <w:r>
              <w:t>changing market structures (such as the growing importance of knowledge</w:t>
            </w:r>
            <w:r>
              <w:noBreakHyphen/>
              <w:t>based capital and winner</w:t>
            </w:r>
            <w:r>
              <w:noBreakHyphen/>
              <w:t>takes</w:t>
            </w:r>
            <w:r>
              <w:noBreakHyphen/>
              <w:t xml:space="preserve">all dynamics or mismatches between and deficiencies in skills) </w:t>
            </w:r>
            <w:r w:rsidR="004A036D" w:rsidRPr="003D4C6D">
              <w:rPr>
                <w:rFonts w:cs="Arial"/>
                <w:szCs w:val="24"/>
              </w:rPr>
              <w:t xml:space="preserve">(Bloom, </w:t>
            </w:r>
            <w:proofErr w:type="spellStart"/>
            <w:r w:rsidR="004A036D" w:rsidRPr="003D4C6D">
              <w:rPr>
                <w:rFonts w:cs="Arial"/>
                <w:szCs w:val="24"/>
              </w:rPr>
              <w:t>Sadun</w:t>
            </w:r>
            <w:proofErr w:type="spellEnd"/>
            <w:r w:rsidR="004A036D" w:rsidRPr="003D4C6D">
              <w:rPr>
                <w:rFonts w:cs="Arial"/>
                <w:szCs w:val="24"/>
              </w:rPr>
              <w:t xml:space="preserve"> and Van Reenen 2016; McGowan and Andrews </w:t>
            </w:r>
            <w:proofErr w:type="spellStart"/>
            <w:r w:rsidR="004A036D" w:rsidRPr="003D4C6D">
              <w:rPr>
                <w:rFonts w:cs="Arial"/>
                <w:szCs w:val="24"/>
              </w:rPr>
              <w:t>2015a</w:t>
            </w:r>
            <w:proofErr w:type="spellEnd"/>
            <w:r w:rsidR="004A036D" w:rsidRPr="003D4C6D">
              <w:rPr>
                <w:rFonts w:cs="Arial"/>
                <w:szCs w:val="24"/>
              </w:rPr>
              <w:t xml:space="preserve">, </w:t>
            </w:r>
            <w:proofErr w:type="spellStart"/>
            <w:r w:rsidR="004A036D" w:rsidRPr="003D4C6D">
              <w:rPr>
                <w:rFonts w:cs="Arial"/>
                <w:szCs w:val="24"/>
              </w:rPr>
              <w:t>2015b</w:t>
            </w:r>
            <w:proofErr w:type="spellEnd"/>
            <w:r w:rsidR="004A036D" w:rsidRPr="003D4C6D">
              <w:rPr>
                <w:rFonts w:cs="Arial"/>
                <w:szCs w:val="24"/>
              </w:rPr>
              <w:t>)</w:t>
            </w:r>
            <w:r>
              <w:t xml:space="preserve"> </w:t>
            </w:r>
          </w:p>
          <w:p w14:paraId="18F16038" w14:textId="77777777" w:rsidR="00046168" w:rsidRDefault="00046168" w:rsidP="00046168">
            <w:pPr>
              <w:pStyle w:val="BoxListBullet"/>
            </w:pPr>
            <w:r>
              <w:t>the growing importance of non</w:t>
            </w:r>
            <w:r>
              <w:noBreakHyphen/>
              <w:t>market service industries such as health and education, which have lower measured productivity</w:t>
            </w:r>
          </w:p>
          <w:p w14:paraId="7F05115E" w14:textId="77777777" w:rsidR="00046168" w:rsidRDefault="00046168" w:rsidP="00046168">
            <w:pPr>
              <w:pStyle w:val="BoxListBullet"/>
            </w:pPr>
            <w:r>
              <w:t>the ageing of the population (</w:t>
            </w:r>
            <w:proofErr w:type="spellStart"/>
            <w:r>
              <w:t>Feyrer</w:t>
            </w:r>
            <w:proofErr w:type="spellEnd"/>
            <w:r>
              <w:t> </w:t>
            </w:r>
            <w:r w:rsidRPr="00E53FC5">
              <w:rPr>
                <w:rFonts w:cs="Arial"/>
              </w:rPr>
              <w:t>2007; 2008</w:t>
            </w:r>
            <w:r>
              <w:t>)</w:t>
            </w:r>
          </w:p>
          <w:p w14:paraId="007838DD" w14:textId="77777777" w:rsidR="00046168" w:rsidRDefault="00046168" w:rsidP="004A036D">
            <w:pPr>
              <w:pStyle w:val="BoxListBullet"/>
            </w:pPr>
            <w:r>
              <w:t xml:space="preserve">the slowing pace of structural reform and global trade integration </w:t>
            </w:r>
            <w:r w:rsidR="004A036D" w:rsidRPr="003D4C6D">
              <w:rPr>
                <w:rFonts w:cs="Arial"/>
                <w:szCs w:val="24"/>
              </w:rPr>
              <w:t>(Adler et al. 2017)</w:t>
            </w:r>
            <w:r>
              <w:t>.</w:t>
            </w:r>
          </w:p>
        </w:tc>
      </w:tr>
      <w:tr w:rsidR="00046168" w14:paraId="28DD755D" w14:textId="77777777" w:rsidTr="00540BCD">
        <w:tc>
          <w:tcPr>
            <w:tcW w:w="5000" w:type="pct"/>
            <w:tcBorders>
              <w:top w:val="nil"/>
              <w:left w:val="nil"/>
              <w:bottom w:val="single" w:sz="6" w:space="0" w:color="78A22F"/>
              <w:right w:val="nil"/>
            </w:tcBorders>
            <w:shd w:val="clear" w:color="auto" w:fill="F2F2F2"/>
          </w:tcPr>
          <w:p w14:paraId="31A1D7B8" w14:textId="77777777" w:rsidR="00046168" w:rsidRDefault="00046168">
            <w:pPr>
              <w:pStyle w:val="Box"/>
              <w:spacing w:before="0" w:line="120" w:lineRule="exact"/>
            </w:pPr>
          </w:p>
        </w:tc>
      </w:tr>
      <w:tr w:rsidR="00046168" w:rsidRPr="000863A5" w14:paraId="4D412602" w14:textId="77777777" w:rsidTr="00540BCD">
        <w:tc>
          <w:tcPr>
            <w:tcW w:w="5000" w:type="pct"/>
            <w:tcBorders>
              <w:top w:val="single" w:sz="6" w:space="0" w:color="78A22F"/>
              <w:left w:val="nil"/>
              <w:bottom w:val="nil"/>
              <w:right w:val="nil"/>
            </w:tcBorders>
          </w:tcPr>
          <w:p w14:paraId="52EC45DE" w14:textId="77777777" w:rsidR="00046168" w:rsidRPr="00626D32" w:rsidRDefault="00046168" w:rsidP="00540BCD">
            <w:pPr>
              <w:pStyle w:val="BoxSpaceBelow"/>
            </w:pPr>
          </w:p>
        </w:tc>
      </w:tr>
    </w:tbl>
    <w:p w14:paraId="575C007A" w14:textId="77777777" w:rsidR="00082A51" w:rsidRDefault="00082A51" w:rsidP="00082A51">
      <w:pPr>
        <w:pStyle w:val="BodyText"/>
      </w:pPr>
      <w:r>
        <w:lastRenderedPageBreak/>
        <w:t xml:space="preserve">Of course, </w:t>
      </w:r>
      <w:r w:rsidR="002122C5">
        <w:t xml:space="preserve">greater </w:t>
      </w:r>
      <w:r>
        <w:t xml:space="preserve">consistency in outcomes is not necessarily good if it entails reproducing mediocrity. The </w:t>
      </w:r>
      <w:r w:rsidR="002122C5">
        <w:t xml:space="preserve">most </w:t>
      </w:r>
      <w:r>
        <w:t xml:space="preserve">interesting feature of Australia’s </w:t>
      </w:r>
      <w:r w:rsidR="002122C5">
        <w:t xml:space="preserve">historical </w:t>
      </w:r>
      <w:r>
        <w:t xml:space="preserve">labour productivity performance </w:t>
      </w:r>
      <w:r w:rsidR="002122C5">
        <w:t>is</w:t>
      </w:r>
      <w:r>
        <w:t xml:space="preserve"> </w:t>
      </w:r>
      <w:r w:rsidR="002122C5">
        <w:t>the</w:t>
      </w:r>
      <w:r>
        <w:t xml:space="preserve"> transitory peak growth in the </w:t>
      </w:r>
      <w:proofErr w:type="spellStart"/>
      <w:r>
        <w:t>1990s</w:t>
      </w:r>
      <w:proofErr w:type="spellEnd"/>
      <w:r>
        <w:t xml:space="preserve"> (an era where there was large</w:t>
      </w:r>
      <w:r>
        <w:noBreakHyphen/>
        <w:t>scale uptake of I</w:t>
      </w:r>
      <w:r w:rsidR="00A231E6">
        <w:t>C</w:t>
      </w:r>
      <w:r>
        <w:t xml:space="preserve">T and significant microeconomic reforms). </w:t>
      </w:r>
    </w:p>
    <w:p w14:paraId="7F8B3BC8" w14:textId="77777777" w:rsidR="00D076E7" w:rsidRDefault="00D076E7" w:rsidP="00D076E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076E7" w14:paraId="025313C0" w14:textId="77777777" w:rsidTr="008909A5">
        <w:trPr>
          <w:tblHeader/>
        </w:trPr>
        <w:tc>
          <w:tcPr>
            <w:tcW w:w="5000" w:type="pct"/>
            <w:tcBorders>
              <w:top w:val="single" w:sz="6" w:space="0" w:color="78A22F"/>
              <w:left w:val="nil"/>
              <w:bottom w:val="nil"/>
              <w:right w:val="nil"/>
            </w:tcBorders>
            <w:shd w:val="clear" w:color="auto" w:fill="auto"/>
          </w:tcPr>
          <w:p w14:paraId="1B816457" w14:textId="77777777" w:rsidR="00D076E7" w:rsidRDefault="00D076E7" w:rsidP="008909A5">
            <w:pPr>
              <w:pStyle w:val="FigureTitle"/>
            </w:pPr>
            <w:r w:rsidRPr="00784A05">
              <w:rPr>
                <w:b w:val="0"/>
              </w:rPr>
              <w:t xml:space="preserve">Figure </w:t>
            </w:r>
            <w:r w:rsidR="00046168">
              <w:rPr>
                <w:b w:val="0"/>
              </w:rPr>
              <w:t>4.8</w:t>
            </w:r>
            <w:r>
              <w:tab/>
            </w:r>
            <w:r w:rsidR="00AC3AE1">
              <w:t>Time has wearied many economies</w:t>
            </w:r>
          </w:p>
          <w:p w14:paraId="4DF31AAC" w14:textId="29CBF517" w:rsidR="00D076E7" w:rsidRPr="00176D3F" w:rsidRDefault="00D076E7" w:rsidP="008909A5">
            <w:pPr>
              <w:pStyle w:val="Subtitle"/>
            </w:pPr>
            <w:r>
              <w:t>Average labour productivity growth rates over successive eras</w:t>
            </w:r>
            <w:r w:rsidR="008022E3">
              <w:t xml:space="preserve"> (per cent)</w:t>
            </w:r>
            <w:r w:rsidRPr="00146654">
              <w:rPr>
                <w:rStyle w:val="NoteLabel"/>
              </w:rPr>
              <w:t>a</w:t>
            </w:r>
          </w:p>
        </w:tc>
      </w:tr>
      <w:tr w:rsidR="00D076E7" w14:paraId="2FC81DEB" w14:textId="77777777" w:rsidTr="008909A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076E7" w:rsidRPr="00B1465D" w14:paraId="77BC12F7" w14:textId="77777777" w:rsidTr="008909A5">
              <w:trPr>
                <w:tblHeader/>
                <w:jc w:val="center"/>
              </w:trPr>
              <w:tc>
                <w:tcPr>
                  <w:tcW w:w="5000" w:type="pct"/>
                  <w:tcBorders>
                    <w:top w:val="nil"/>
                    <w:bottom w:val="nil"/>
                  </w:tcBorders>
                </w:tcPr>
                <w:p w14:paraId="4829695E" w14:textId="77777777" w:rsidR="00D076E7" w:rsidRPr="00B1465D" w:rsidRDefault="00233550" w:rsidP="008909A5">
                  <w:pPr>
                    <w:pStyle w:val="Figure"/>
                    <w:spacing w:before="60" w:after="60"/>
                    <w:rPr>
                      <w:rFonts w:ascii="Arial" w:hAnsi="Arial" w:cs="Arial"/>
                      <w:sz w:val="18"/>
                      <w:szCs w:val="18"/>
                    </w:rPr>
                  </w:pPr>
                  <w:r w:rsidRPr="00233550">
                    <w:rPr>
                      <w:rFonts w:ascii="Arial" w:hAnsi="Arial" w:cs="Arial"/>
                      <w:noProof/>
                      <w:sz w:val="18"/>
                      <w:szCs w:val="18"/>
                    </w:rPr>
                    <w:drawing>
                      <wp:inline distT="0" distB="0" distL="0" distR="0" wp14:anchorId="7099F9B2" wp14:editId="5E0D2383">
                        <wp:extent cx="5382895" cy="2868295"/>
                        <wp:effectExtent l="0" t="0" r="8255" b="8255"/>
                        <wp:docPr id="60" name="Picture 60" descr="This figure shows that the rate of labour productivity growth in all major OECD economies (including Australia) has slowed since the year 2000, particularly since 2011. All of these economies had higher, usually appreciably higher, growth rates in the 1990s (and many in the 1970s and 1980s as well) than today." title="Figure 4.8 Time has wearied many econo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82895" cy="2868295"/>
                                </a:xfrm>
                                <a:prstGeom prst="rect">
                                  <a:avLst/>
                                </a:prstGeom>
                                <a:noFill/>
                                <a:ln>
                                  <a:noFill/>
                                </a:ln>
                              </pic:spPr>
                            </pic:pic>
                          </a:graphicData>
                        </a:graphic>
                      </wp:inline>
                    </w:drawing>
                  </w:r>
                </w:p>
              </w:tc>
            </w:tr>
          </w:tbl>
          <w:p w14:paraId="05307A15" w14:textId="77777777" w:rsidR="00D076E7" w:rsidRDefault="00D076E7" w:rsidP="008909A5">
            <w:pPr>
              <w:pStyle w:val="Figure"/>
            </w:pPr>
          </w:p>
        </w:tc>
      </w:tr>
      <w:tr w:rsidR="00D076E7" w:rsidRPr="00176D3F" w14:paraId="018D8752" w14:textId="77777777" w:rsidTr="008909A5">
        <w:tc>
          <w:tcPr>
            <w:tcW w:w="5000" w:type="pct"/>
            <w:tcBorders>
              <w:top w:val="nil"/>
              <w:left w:val="nil"/>
              <w:bottom w:val="nil"/>
              <w:right w:val="nil"/>
            </w:tcBorders>
            <w:shd w:val="clear" w:color="auto" w:fill="auto"/>
          </w:tcPr>
          <w:p w14:paraId="2B30933E" w14:textId="77777777" w:rsidR="00D076E7" w:rsidRPr="00176D3F" w:rsidRDefault="00D076E7" w:rsidP="009C6259">
            <w:pPr>
              <w:pStyle w:val="Note"/>
            </w:pPr>
            <w:r>
              <w:rPr>
                <w:rStyle w:val="NoteLabel"/>
              </w:rPr>
              <w:t>a</w:t>
            </w:r>
            <w:r>
              <w:t xml:space="preserve"> Productivity </w:t>
            </w:r>
            <w:r w:rsidR="00053349">
              <w:t xml:space="preserve">growth rates are based on averages of annual changes in </w:t>
            </w:r>
            <w:r>
              <w:t>r</w:t>
            </w:r>
            <w:r w:rsidR="00233550">
              <w:t>eal GDP per hour (PPP adjusted)</w:t>
            </w:r>
            <w:r w:rsidR="00053349">
              <w:t xml:space="preserve"> for each year in the span shown</w:t>
            </w:r>
            <w:r w:rsidR="00233550">
              <w:t>.</w:t>
            </w:r>
            <w:r w:rsidR="00053349">
              <w:t xml:space="preserve"> For example, the average growth rate for 1971</w:t>
            </w:r>
            <w:r w:rsidR="00D33627">
              <w:t>–</w:t>
            </w:r>
            <w:r w:rsidR="00053349">
              <w:t>1990 is the average of the growth rates of 1970</w:t>
            </w:r>
            <w:r w:rsidR="00053349">
              <w:noBreakHyphen/>
              <w:t>71 to 1989</w:t>
            </w:r>
            <w:r w:rsidR="00053349">
              <w:noBreakHyphen/>
              <w:t xml:space="preserve">90. ABS data are used for </w:t>
            </w:r>
            <w:r w:rsidR="009C6259">
              <w:t xml:space="preserve">Australian </w:t>
            </w:r>
            <w:r w:rsidR="00053349">
              <w:t>growth rates</w:t>
            </w:r>
            <w:r w:rsidR="009C6259">
              <w:t>.</w:t>
            </w:r>
            <w:r w:rsidR="00053349">
              <w:t xml:space="preserve"> </w:t>
            </w:r>
          </w:p>
        </w:tc>
      </w:tr>
      <w:tr w:rsidR="00D076E7" w:rsidRPr="00176D3F" w14:paraId="16634BCD" w14:textId="77777777" w:rsidTr="008909A5">
        <w:tc>
          <w:tcPr>
            <w:tcW w:w="5000" w:type="pct"/>
            <w:tcBorders>
              <w:top w:val="nil"/>
              <w:left w:val="nil"/>
              <w:bottom w:val="nil"/>
              <w:right w:val="nil"/>
            </w:tcBorders>
            <w:shd w:val="clear" w:color="auto" w:fill="auto"/>
          </w:tcPr>
          <w:p w14:paraId="2D8D0771" w14:textId="77777777" w:rsidR="00D076E7" w:rsidRPr="00176D3F" w:rsidRDefault="00D076E7" w:rsidP="00192797">
            <w:pPr>
              <w:pStyle w:val="Source"/>
            </w:pPr>
            <w:r>
              <w:rPr>
                <w:i/>
              </w:rPr>
              <w:t>S</w:t>
            </w:r>
            <w:r w:rsidRPr="00784A05">
              <w:rPr>
                <w:i/>
              </w:rPr>
              <w:t>ource</w:t>
            </w:r>
            <w:r w:rsidRPr="00176D3F">
              <w:t xml:space="preserve">: </w:t>
            </w:r>
            <w:proofErr w:type="spellStart"/>
            <w:r w:rsidR="007D4107">
              <w:t>OECD.</w:t>
            </w:r>
            <w:r w:rsidR="00C57CD2">
              <w:t>S</w:t>
            </w:r>
            <w:r w:rsidR="00B2320A">
              <w:t>tat</w:t>
            </w:r>
            <w:proofErr w:type="spellEnd"/>
            <w:r w:rsidR="00B2320A">
              <w:t xml:space="preserve"> database</w:t>
            </w:r>
            <w:r w:rsidR="00192797">
              <w:t>.</w:t>
            </w:r>
          </w:p>
        </w:tc>
      </w:tr>
      <w:tr w:rsidR="00D076E7" w14:paraId="45E14ED9" w14:textId="77777777" w:rsidTr="008909A5">
        <w:tc>
          <w:tcPr>
            <w:tcW w:w="5000" w:type="pct"/>
            <w:tcBorders>
              <w:top w:val="nil"/>
              <w:left w:val="nil"/>
              <w:bottom w:val="single" w:sz="6" w:space="0" w:color="78A22F"/>
              <w:right w:val="nil"/>
            </w:tcBorders>
            <w:shd w:val="clear" w:color="auto" w:fill="auto"/>
          </w:tcPr>
          <w:p w14:paraId="7A5FBCF7" w14:textId="77777777" w:rsidR="00D076E7" w:rsidRDefault="00D076E7" w:rsidP="008909A5">
            <w:pPr>
              <w:pStyle w:val="Figurespace"/>
            </w:pPr>
          </w:p>
        </w:tc>
      </w:tr>
      <w:tr w:rsidR="00D076E7" w:rsidRPr="000863A5" w14:paraId="1B1812EC" w14:textId="77777777" w:rsidTr="008909A5">
        <w:tc>
          <w:tcPr>
            <w:tcW w:w="5000" w:type="pct"/>
            <w:tcBorders>
              <w:top w:val="single" w:sz="6" w:space="0" w:color="78A22F"/>
              <w:left w:val="nil"/>
              <w:bottom w:val="nil"/>
              <w:right w:val="nil"/>
            </w:tcBorders>
          </w:tcPr>
          <w:p w14:paraId="6F9AA77B" w14:textId="77777777" w:rsidR="00D076E7" w:rsidRPr="00626D32" w:rsidRDefault="00D076E7" w:rsidP="008909A5">
            <w:pPr>
              <w:pStyle w:val="BoxSpaceBelow"/>
            </w:pPr>
          </w:p>
        </w:tc>
      </w:tr>
    </w:tbl>
    <w:p w14:paraId="059A9751" w14:textId="77777777" w:rsidR="00A35D67" w:rsidRDefault="0011545A" w:rsidP="0011545A">
      <w:pPr>
        <w:pStyle w:val="BodyText"/>
      </w:pPr>
      <w:r>
        <w:t>While many of the factors that might explain a global productivity slowdown also apply to Australia</w:t>
      </w:r>
      <w:r w:rsidR="00A35D67">
        <w:t xml:space="preserve">, the </w:t>
      </w:r>
      <w:r>
        <w:t>high reliance on commodity exports</w:t>
      </w:r>
      <w:r w:rsidR="00A35D67">
        <w:t xml:space="preserve"> </w:t>
      </w:r>
      <w:r>
        <w:t>in</w:t>
      </w:r>
      <w:r w:rsidR="00A35D67">
        <w:t xml:space="preserve"> Australia</w:t>
      </w:r>
      <w:r>
        <w:t xml:space="preserve"> is likely to have counteracted these. Australia’s advantage in mining in particular has enabled it to </w:t>
      </w:r>
      <w:r w:rsidR="00A35D67">
        <w:t xml:space="preserve">complement the fast growing Chinese and Indian economies more so than most developed economies. The higher growth rates in these economies </w:t>
      </w:r>
      <w:r>
        <w:t>increased demand for</w:t>
      </w:r>
      <w:r w:rsidR="00A35D67">
        <w:t xml:space="preserve"> Australian iron ore, coal, natural gas and other </w:t>
      </w:r>
      <w:r w:rsidR="00145330">
        <w:t>commodities</w:t>
      </w:r>
      <w:r w:rsidR="00A35D67">
        <w:t>. This has benefited national production and, through a higher terms of trade, national income.</w:t>
      </w:r>
    </w:p>
    <w:p w14:paraId="16ABBF04" w14:textId="77777777" w:rsidR="00F63704" w:rsidRDefault="00A41217" w:rsidP="00F63704">
      <w:pPr>
        <w:pStyle w:val="Heading2"/>
      </w:pPr>
      <w:bookmarkStart w:id="34" w:name="_Toc5636666"/>
      <w:bookmarkStart w:id="35" w:name="_Toc5690116"/>
      <w:r>
        <w:lastRenderedPageBreak/>
        <w:t>4.4</w:t>
      </w:r>
      <w:r w:rsidR="00F63704">
        <w:tab/>
        <w:t>Potential for productivity catch up</w:t>
      </w:r>
      <w:bookmarkEnd w:id="34"/>
      <w:bookmarkEnd w:id="35"/>
    </w:p>
    <w:p w14:paraId="55CBC5F5" w14:textId="77777777" w:rsidR="00F63704" w:rsidRPr="00A352B7" w:rsidRDefault="00F63704" w:rsidP="00A352B7">
      <w:pPr>
        <w:pStyle w:val="Heading3"/>
        <w:spacing w:before="280"/>
        <w:rPr>
          <w:b w:val="0"/>
          <w:sz w:val="24"/>
          <w:szCs w:val="24"/>
        </w:rPr>
      </w:pPr>
      <w:r w:rsidRPr="00A352B7">
        <w:rPr>
          <w:b w:val="0"/>
          <w:sz w:val="24"/>
          <w:szCs w:val="24"/>
        </w:rPr>
        <w:t>It will be difficult for Australia to achieve the same productivity levels as better performing economies</w:t>
      </w:r>
    </w:p>
    <w:p w14:paraId="0576291D" w14:textId="77777777" w:rsidR="00D244CE" w:rsidRDefault="00D244CE" w:rsidP="00F63704">
      <w:pPr>
        <w:pStyle w:val="BodyText"/>
      </w:pPr>
      <w:r>
        <w:t xml:space="preserve">Notwithstanding </w:t>
      </w:r>
      <w:r w:rsidR="00B72F75">
        <w:t xml:space="preserve">the </w:t>
      </w:r>
      <w:r>
        <w:t xml:space="preserve">increase in recent years, over the longer run, Australia’s productivity level has </w:t>
      </w:r>
      <w:r w:rsidR="00916C13">
        <w:t xml:space="preserve">still </w:t>
      </w:r>
      <w:r>
        <w:t>fallen further behind the global frontier as measured by US performance (figure 4.</w:t>
      </w:r>
      <w:r w:rsidR="00916C13">
        <w:t>9</w:t>
      </w:r>
      <w:r>
        <w:t>).</w:t>
      </w:r>
    </w:p>
    <w:p w14:paraId="21140099" w14:textId="77777777" w:rsidR="00D244CE" w:rsidRDefault="00D244CE" w:rsidP="001E4C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244CE" w14:paraId="075572D7" w14:textId="77777777" w:rsidTr="001E4C01">
        <w:trPr>
          <w:tblHeader/>
        </w:trPr>
        <w:tc>
          <w:tcPr>
            <w:tcW w:w="5000" w:type="pct"/>
            <w:tcBorders>
              <w:top w:val="single" w:sz="6" w:space="0" w:color="78A22F"/>
              <w:left w:val="nil"/>
              <w:bottom w:val="nil"/>
              <w:right w:val="nil"/>
            </w:tcBorders>
            <w:shd w:val="clear" w:color="auto" w:fill="auto"/>
          </w:tcPr>
          <w:p w14:paraId="1767B6DD" w14:textId="77777777" w:rsidR="00D244CE" w:rsidRDefault="00D244CE" w:rsidP="001E4C01">
            <w:pPr>
              <w:pStyle w:val="FigureTitle"/>
            </w:pPr>
            <w:r w:rsidRPr="00784A05">
              <w:rPr>
                <w:b w:val="0"/>
              </w:rPr>
              <w:t xml:space="preserve">Figure </w:t>
            </w:r>
            <w:r w:rsidR="00046168">
              <w:rPr>
                <w:b w:val="0"/>
              </w:rPr>
              <w:t>4.9</w:t>
            </w:r>
            <w:r>
              <w:tab/>
              <w:t>Australia’s long</w:t>
            </w:r>
            <w:r>
              <w:noBreakHyphen/>
              <w:t>run productivity performance is taking it further below the global productivity frontier</w:t>
            </w:r>
          </w:p>
          <w:p w14:paraId="00DF087E" w14:textId="77777777" w:rsidR="00D244CE" w:rsidRPr="00176D3F" w:rsidRDefault="00973CE0" w:rsidP="00AC3AE1">
            <w:pPr>
              <w:pStyle w:val="Subtitle"/>
            </w:pPr>
            <w:r>
              <w:t>2001</w:t>
            </w:r>
            <w:r w:rsidR="00AC3AE1">
              <w:t xml:space="preserve"> to </w:t>
            </w:r>
            <w:r w:rsidR="00D244CE">
              <w:t>2017 (</w:t>
            </w:r>
            <w:r w:rsidR="00A231E6">
              <w:t xml:space="preserve">ratio of </w:t>
            </w:r>
            <w:r w:rsidR="00D244CE">
              <w:t xml:space="preserve">Australia/US real 2010 </w:t>
            </w:r>
            <w:r w:rsidR="00A231E6">
              <w:t>PPP</w:t>
            </w:r>
            <w:r w:rsidR="00A231E6">
              <w:noBreakHyphen/>
            </w:r>
            <w:r w:rsidR="00D244CE">
              <w:t>adjusted labour productivity)</w:t>
            </w:r>
            <w:r w:rsidRPr="00973CE0">
              <w:rPr>
                <w:rStyle w:val="NoteLabel"/>
              </w:rPr>
              <w:t>a</w:t>
            </w:r>
          </w:p>
        </w:tc>
      </w:tr>
      <w:tr w:rsidR="00D244CE" w14:paraId="50694DCF" w14:textId="77777777" w:rsidTr="001E4C0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D244CE" w:rsidRPr="00B1465D" w14:paraId="07F0B0D4" w14:textId="77777777" w:rsidTr="001E4C01">
              <w:trPr>
                <w:tblHeader/>
                <w:jc w:val="center"/>
              </w:trPr>
              <w:tc>
                <w:tcPr>
                  <w:tcW w:w="5000" w:type="pct"/>
                  <w:tcBorders>
                    <w:top w:val="nil"/>
                    <w:bottom w:val="nil"/>
                  </w:tcBorders>
                </w:tcPr>
                <w:p w14:paraId="742343E5" w14:textId="77777777" w:rsidR="00D244CE" w:rsidRPr="00B1465D" w:rsidRDefault="00233550" w:rsidP="001E4C01">
                  <w:pPr>
                    <w:pStyle w:val="Figure"/>
                    <w:spacing w:before="60" w:after="60"/>
                    <w:rPr>
                      <w:rFonts w:ascii="Arial" w:hAnsi="Arial" w:cs="Arial"/>
                      <w:sz w:val="18"/>
                      <w:szCs w:val="18"/>
                    </w:rPr>
                  </w:pPr>
                  <w:r w:rsidRPr="00233550">
                    <w:rPr>
                      <w:rFonts w:ascii="Arial" w:hAnsi="Arial" w:cs="Arial"/>
                      <w:noProof/>
                      <w:sz w:val="18"/>
                      <w:szCs w:val="18"/>
                    </w:rPr>
                    <w:drawing>
                      <wp:inline distT="0" distB="0" distL="0" distR="0" wp14:anchorId="3918508D" wp14:editId="74D703A4">
                        <wp:extent cx="5393690" cy="2645410"/>
                        <wp:effectExtent l="0" t="0" r="0" b="2540"/>
                        <wp:docPr id="62" name="Picture 62" descr="This figure shows the ratio of Australian to US labour productivity from 2001 to 2017. The level of Australian productivity was 83 per cent of that of the United States in 2001. This steadily decline to 77 per cent in 2010. Australia had regained most of this decline by 2016 reaching 82 per cent. The ratio fell marginally in 2017 to 81 per cent." title="Figure 4.9 Australia’s long run productivity performance is taking it further below the global productivity fron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93690" cy="2645410"/>
                                </a:xfrm>
                                <a:prstGeom prst="rect">
                                  <a:avLst/>
                                </a:prstGeom>
                                <a:noFill/>
                                <a:ln>
                                  <a:noFill/>
                                </a:ln>
                              </pic:spPr>
                            </pic:pic>
                          </a:graphicData>
                        </a:graphic>
                      </wp:inline>
                    </w:drawing>
                  </w:r>
                </w:p>
              </w:tc>
            </w:tr>
          </w:tbl>
          <w:p w14:paraId="37BC5DDA" w14:textId="77777777" w:rsidR="00D244CE" w:rsidRDefault="00D244CE" w:rsidP="001E4C01">
            <w:pPr>
              <w:pStyle w:val="Figure"/>
            </w:pPr>
          </w:p>
        </w:tc>
      </w:tr>
      <w:tr w:rsidR="00973CE0" w:rsidRPr="00176D3F" w14:paraId="52033944" w14:textId="77777777" w:rsidTr="001E4C01">
        <w:tc>
          <w:tcPr>
            <w:tcW w:w="5000" w:type="pct"/>
            <w:tcBorders>
              <w:top w:val="nil"/>
              <w:left w:val="nil"/>
              <w:bottom w:val="nil"/>
              <w:right w:val="nil"/>
            </w:tcBorders>
            <w:shd w:val="clear" w:color="auto" w:fill="auto"/>
          </w:tcPr>
          <w:p w14:paraId="72DAE154" w14:textId="77777777" w:rsidR="00973CE0" w:rsidRDefault="00973CE0" w:rsidP="00973CE0">
            <w:pPr>
              <w:pStyle w:val="Note"/>
            </w:pPr>
            <w:proofErr w:type="spellStart"/>
            <w:r w:rsidRPr="00973CE0">
              <w:rPr>
                <w:rStyle w:val="NoteLabel"/>
              </w:rPr>
              <w:t>a</w:t>
            </w:r>
            <w:proofErr w:type="spellEnd"/>
            <w:r>
              <w:t xml:space="preserve"> The data for Australia use the OECD’s estimate for the level of productivity in dollar terms</w:t>
            </w:r>
            <w:r w:rsidR="00A231E6">
              <w:t xml:space="preserve"> for 2017</w:t>
            </w:r>
            <w:r>
              <w:t xml:space="preserve">, and has back cast these using ABS growth rates in constant price GDP </w:t>
            </w:r>
            <w:r w:rsidR="00B73A1C">
              <w:t>per person</w:t>
            </w:r>
            <w:r>
              <w:t>. This reflects anomalies between the OECD and the ABS data.</w:t>
            </w:r>
          </w:p>
        </w:tc>
      </w:tr>
      <w:tr w:rsidR="00D244CE" w:rsidRPr="00176D3F" w14:paraId="2E75DCAE" w14:textId="77777777" w:rsidTr="001E4C01">
        <w:tc>
          <w:tcPr>
            <w:tcW w:w="5000" w:type="pct"/>
            <w:tcBorders>
              <w:top w:val="nil"/>
              <w:left w:val="nil"/>
              <w:bottom w:val="nil"/>
              <w:right w:val="nil"/>
            </w:tcBorders>
            <w:shd w:val="clear" w:color="auto" w:fill="auto"/>
          </w:tcPr>
          <w:p w14:paraId="60B8D951" w14:textId="77777777" w:rsidR="00D244CE" w:rsidRPr="00176D3F" w:rsidRDefault="00D244CE" w:rsidP="001E4C01">
            <w:pPr>
              <w:pStyle w:val="Source"/>
            </w:pPr>
            <w:r>
              <w:rPr>
                <w:i/>
              </w:rPr>
              <w:t>S</w:t>
            </w:r>
            <w:r w:rsidRPr="00784A05">
              <w:rPr>
                <w:i/>
              </w:rPr>
              <w:t>ource</w:t>
            </w:r>
            <w:r w:rsidRPr="00176D3F">
              <w:t xml:space="preserve">: </w:t>
            </w:r>
            <w:proofErr w:type="spellStart"/>
            <w:r w:rsidR="007D4107">
              <w:t>OECD.</w:t>
            </w:r>
            <w:r w:rsidR="00C57CD2">
              <w:t>S</w:t>
            </w:r>
            <w:r w:rsidR="00B2320A">
              <w:t>tat</w:t>
            </w:r>
            <w:proofErr w:type="spellEnd"/>
            <w:r w:rsidR="00B2320A">
              <w:t xml:space="preserve"> database</w:t>
            </w:r>
            <w:r>
              <w:t>.</w:t>
            </w:r>
          </w:p>
        </w:tc>
      </w:tr>
      <w:tr w:rsidR="00D244CE" w14:paraId="618A5711" w14:textId="77777777" w:rsidTr="001E4C01">
        <w:tc>
          <w:tcPr>
            <w:tcW w:w="5000" w:type="pct"/>
            <w:tcBorders>
              <w:top w:val="nil"/>
              <w:left w:val="nil"/>
              <w:bottom w:val="single" w:sz="6" w:space="0" w:color="78A22F"/>
              <w:right w:val="nil"/>
            </w:tcBorders>
            <w:shd w:val="clear" w:color="auto" w:fill="auto"/>
          </w:tcPr>
          <w:p w14:paraId="7A9FDA65" w14:textId="77777777" w:rsidR="00D244CE" w:rsidRDefault="00D244CE" w:rsidP="001E4C01">
            <w:pPr>
              <w:pStyle w:val="Figurespace"/>
            </w:pPr>
          </w:p>
        </w:tc>
      </w:tr>
      <w:tr w:rsidR="00D244CE" w:rsidRPr="000863A5" w14:paraId="59F34481" w14:textId="77777777" w:rsidTr="001E4C01">
        <w:tc>
          <w:tcPr>
            <w:tcW w:w="5000" w:type="pct"/>
            <w:tcBorders>
              <w:top w:val="single" w:sz="6" w:space="0" w:color="78A22F"/>
              <w:left w:val="nil"/>
              <w:bottom w:val="nil"/>
              <w:right w:val="nil"/>
            </w:tcBorders>
          </w:tcPr>
          <w:p w14:paraId="133B031E" w14:textId="77777777" w:rsidR="00D244CE" w:rsidRPr="00626D32" w:rsidRDefault="00D244CE" w:rsidP="001E4C01">
            <w:pPr>
              <w:pStyle w:val="BoxSpaceBelow"/>
            </w:pPr>
          </w:p>
        </w:tc>
      </w:tr>
    </w:tbl>
    <w:p w14:paraId="6497E1F3" w14:textId="77777777" w:rsidR="00F63704" w:rsidRPr="00750AAB" w:rsidRDefault="00D244CE" w:rsidP="00F63704">
      <w:pPr>
        <w:pStyle w:val="BodyText"/>
        <w:rPr>
          <w:spacing w:val="-4"/>
          <w:szCs w:val="24"/>
        </w:rPr>
      </w:pPr>
      <w:r w:rsidRPr="00750AAB">
        <w:rPr>
          <w:spacing w:val="-4"/>
          <w:szCs w:val="24"/>
        </w:rPr>
        <w:t>Several factors</w:t>
      </w:r>
      <w:r w:rsidR="00F63704" w:rsidRPr="00750AAB">
        <w:rPr>
          <w:spacing w:val="-4"/>
          <w:szCs w:val="24"/>
        </w:rPr>
        <w:t xml:space="preserve"> suggest that </w:t>
      </w:r>
      <w:r w:rsidR="00A85FD1" w:rsidRPr="00750AAB">
        <w:rPr>
          <w:spacing w:val="-4"/>
          <w:szCs w:val="24"/>
        </w:rPr>
        <w:t>the</w:t>
      </w:r>
      <w:r w:rsidR="00F63704" w:rsidRPr="00750AAB">
        <w:rPr>
          <w:spacing w:val="-4"/>
          <w:szCs w:val="24"/>
        </w:rPr>
        <w:t xml:space="preserve"> Australian economy </w:t>
      </w:r>
      <w:r w:rsidRPr="00750AAB">
        <w:rPr>
          <w:spacing w:val="-4"/>
          <w:szCs w:val="24"/>
        </w:rPr>
        <w:t>is unlikely to</w:t>
      </w:r>
      <w:r w:rsidR="00F63704" w:rsidRPr="00750AAB">
        <w:rPr>
          <w:spacing w:val="-4"/>
          <w:szCs w:val="24"/>
        </w:rPr>
        <w:t xml:space="preserve"> achieve the same </w:t>
      </w:r>
      <w:r w:rsidR="00F63704" w:rsidRPr="00750AAB">
        <w:rPr>
          <w:i/>
          <w:spacing w:val="-4"/>
          <w:szCs w:val="24"/>
        </w:rPr>
        <w:t>level</w:t>
      </w:r>
      <w:r w:rsidR="00F63704" w:rsidRPr="00750AAB">
        <w:rPr>
          <w:spacing w:val="-4"/>
          <w:szCs w:val="24"/>
        </w:rPr>
        <w:t xml:space="preserve"> of productivity as the United States. Some studies have attributed part of the persistent productivity gap with the United States to differences in historical and geographic circumstances </w:t>
      </w:r>
      <w:r w:rsidR="00D96B56" w:rsidRPr="00750AAB">
        <w:rPr>
          <w:spacing w:val="-4"/>
          <w:szCs w:val="24"/>
        </w:rPr>
        <w:t>(</w:t>
      </w:r>
      <w:proofErr w:type="spellStart"/>
      <w:r w:rsidR="00D96B56" w:rsidRPr="00750AAB">
        <w:rPr>
          <w:spacing w:val="-4"/>
          <w:szCs w:val="24"/>
        </w:rPr>
        <w:t>Battersby</w:t>
      </w:r>
      <w:proofErr w:type="spellEnd"/>
      <w:r w:rsidR="00D96B56" w:rsidRPr="00750AAB">
        <w:rPr>
          <w:spacing w:val="-4"/>
          <w:szCs w:val="24"/>
        </w:rPr>
        <w:t xml:space="preserve"> 2006; </w:t>
      </w:r>
      <w:proofErr w:type="spellStart"/>
      <w:r w:rsidR="00D96B56" w:rsidRPr="00750AAB">
        <w:rPr>
          <w:spacing w:val="-4"/>
          <w:szCs w:val="24"/>
        </w:rPr>
        <w:t>Boulhol</w:t>
      </w:r>
      <w:proofErr w:type="spellEnd"/>
      <w:r w:rsidR="00D96B56" w:rsidRPr="00750AAB">
        <w:rPr>
          <w:spacing w:val="-4"/>
          <w:szCs w:val="24"/>
        </w:rPr>
        <w:t xml:space="preserve">, </w:t>
      </w:r>
      <w:proofErr w:type="spellStart"/>
      <w:r w:rsidR="00D96B56" w:rsidRPr="00750AAB">
        <w:rPr>
          <w:spacing w:val="-4"/>
          <w:szCs w:val="24"/>
        </w:rPr>
        <w:t>Serres</w:t>
      </w:r>
      <w:proofErr w:type="spellEnd"/>
      <w:r w:rsidR="00D96B56" w:rsidRPr="00750AAB">
        <w:rPr>
          <w:spacing w:val="-4"/>
          <w:szCs w:val="24"/>
        </w:rPr>
        <w:t xml:space="preserve"> and Molnar 2008; PC 2017)</w:t>
      </w:r>
      <w:r w:rsidR="00F63704" w:rsidRPr="00750AAB">
        <w:rPr>
          <w:spacing w:val="-4"/>
          <w:szCs w:val="24"/>
        </w:rPr>
        <w:t xml:space="preserve">. Australia’s </w:t>
      </w:r>
      <w:r w:rsidRPr="00750AAB">
        <w:rPr>
          <w:spacing w:val="-4"/>
          <w:szCs w:val="24"/>
        </w:rPr>
        <w:t xml:space="preserve">relatively </w:t>
      </w:r>
      <w:r w:rsidR="00F63704" w:rsidRPr="00750AAB">
        <w:rPr>
          <w:spacing w:val="-4"/>
          <w:szCs w:val="24"/>
        </w:rPr>
        <w:t xml:space="preserve">small population prevents it from achieving the same economies of scale and scope in production as the United States. Australia is also further away from many major world markets. </w:t>
      </w:r>
    </w:p>
    <w:p w14:paraId="31C4265B" w14:textId="77777777" w:rsidR="00F63704" w:rsidRPr="00750AAB" w:rsidRDefault="00F63704" w:rsidP="00F63704">
      <w:pPr>
        <w:pStyle w:val="BodyText"/>
        <w:rPr>
          <w:spacing w:val="-4"/>
          <w:szCs w:val="24"/>
          <w14:props3d w14:extrusionH="0" w14:contourW="0" w14:prstMaterial="matte"/>
        </w:rPr>
      </w:pPr>
      <w:r w:rsidRPr="00750AAB">
        <w:rPr>
          <w:spacing w:val="-4"/>
          <w:szCs w:val="24"/>
          <w14:props3d w14:extrusionH="0" w14:contourW="0" w14:prstMaterial="matte"/>
        </w:rPr>
        <w:t xml:space="preserve">Australia </w:t>
      </w:r>
      <w:r w:rsidR="00D244CE" w:rsidRPr="00750AAB">
        <w:rPr>
          <w:spacing w:val="-4"/>
          <w:szCs w:val="24"/>
          <w14:props3d w14:extrusionH="0" w14:contourW="0" w14:prstMaterial="matte"/>
        </w:rPr>
        <w:t xml:space="preserve">also </w:t>
      </w:r>
      <w:r w:rsidRPr="00750AAB">
        <w:rPr>
          <w:spacing w:val="-4"/>
          <w:szCs w:val="24"/>
          <w14:props3d w14:extrusionH="0" w14:contourW="0" w14:prstMaterial="matte"/>
        </w:rPr>
        <w:t>has a very different industrial structure to most developed economies</w:t>
      </w:r>
      <w:r w:rsidR="00D244CE" w:rsidRPr="00750AAB">
        <w:rPr>
          <w:spacing w:val="-4"/>
          <w:szCs w:val="24"/>
          <w14:props3d w14:extrusionH="0" w14:contourW="0" w14:prstMaterial="matte"/>
        </w:rPr>
        <w:t>, with weaker capabilities</w:t>
      </w:r>
      <w:r w:rsidRPr="00750AAB">
        <w:rPr>
          <w:spacing w:val="-4"/>
          <w:szCs w:val="24"/>
          <w14:props3d w14:extrusionH="0" w14:contourW="0" w14:prstMaterial="matte"/>
        </w:rPr>
        <w:t xml:space="preserve"> </w:t>
      </w:r>
      <w:r w:rsidR="00D244CE" w:rsidRPr="00750AAB">
        <w:rPr>
          <w:spacing w:val="-4"/>
          <w:szCs w:val="24"/>
          <w14:props3d w14:extrusionH="0" w14:contourW="0" w14:prstMaterial="matte"/>
        </w:rPr>
        <w:t xml:space="preserve">in </w:t>
      </w:r>
      <w:r w:rsidRPr="00750AAB">
        <w:rPr>
          <w:spacing w:val="-4"/>
          <w:szCs w:val="24"/>
          <w14:props3d w14:extrusionH="0" w14:contourW="0" w14:prstMaterial="matte"/>
        </w:rPr>
        <w:t>high value</w:t>
      </w:r>
      <w:r w:rsidRPr="00750AAB">
        <w:rPr>
          <w:spacing w:val="-4"/>
          <w:szCs w:val="24"/>
          <w14:props3d w14:extrusionH="0" w14:contourW="0" w14:prstMaterial="matte"/>
        </w:rPr>
        <w:noBreakHyphen/>
        <w:t>added manufacturing industries such as aerospace, automotive design and assembly and computer design. Australian manufacturing is orientated towards lower value</w:t>
      </w:r>
      <w:r w:rsidRPr="00750AAB">
        <w:rPr>
          <w:spacing w:val="-4"/>
          <w:szCs w:val="24"/>
          <w14:props3d w14:extrusionH="0" w14:contourW="0" w14:prstMaterial="matte"/>
        </w:rPr>
        <w:noBreakHyphen/>
        <w:t>added manufacturing such as food and beverage processing (figure </w:t>
      </w:r>
      <w:r w:rsidR="00916C13" w:rsidRPr="00750AAB">
        <w:rPr>
          <w:spacing w:val="-4"/>
          <w:szCs w:val="24"/>
          <w14:props3d w14:extrusionH="0" w14:contourW="0" w14:prstMaterial="matte"/>
        </w:rPr>
        <w:t>4.10</w:t>
      </w:r>
      <w:r w:rsidRPr="00750AAB">
        <w:rPr>
          <w:spacing w:val="-4"/>
          <w:szCs w:val="24"/>
          <w14:props3d w14:extrusionH="0" w14:contourW="0" w14:prstMaterial="matte"/>
        </w:rPr>
        <w:t>)</w:t>
      </w:r>
      <w:r w:rsidR="002C52E9" w:rsidRPr="00750AAB">
        <w:rPr>
          <w:spacing w:val="-4"/>
          <w:szCs w:val="24"/>
          <w14:props3d w14:extrusionH="0" w14:contourW="0" w14:prstMaterial="matte"/>
        </w:rPr>
        <w:t>.</w:t>
      </w:r>
    </w:p>
    <w:p w14:paraId="4D004D4B" w14:textId="77777777" w:rsidR="00F63704" w:rsidRDefault="00F63704" w:rsidP="00F6370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63704" w14:paraId="7ECE6894" w14:textId="77777777" w:rsidTr="00D161FD">
        <w:trPr>
          <w:tblHeader/>
        </w:trPr>
        <w:tc>
          <w:tcPr>
            <w:tcW w:w="5000" w:type="pct"/>
            <w:tcBorders>
              <w:top w:val="single" w:sz="6" w:space="0" w:color="78A22F"/>
              <w:left w:val="nil"/>
              <w:bottom w:val="nil"/>
              <w:right w:val="nil"/>
            </w:tcBorders>
            <w:shd w:val="clear" w:color="auto" w:fill="auto"/>
          </w:tcPr>
          <w:p w14:paraId="1FA22717" w14:textId="77777777" w:rsidR="00F63704" w:rsidRDefault="00F63704" w:rsidP="00D161FD">
            <w:pPr>
              <w:pStyle w:val="FigureTitle"/>
            </w:pPr>
            <w:r w:rsidRPr="00784A05">
              <w:rPr>
                <w:b w:val="0"/>
              </w:rPr>
              <w:t xml:space="preserve">Figure </w:t>
            </w:r>
            <w:r w:rsidR="00046168">
              <w:rPr>
                <w:b w:val="0"/>
              </w:rPr>
              <w:t>4.10</w:t>
            </w:r>
            <w:r>
              <w:tab/>
              <w:t>Share of manufacturing in high value</w:t>
            </w:r>
            <w:r>
              <w:noBreakHyphen/>
              <w:t>adding activities, 2015</w:t>
            </w:r>
            <w:r w:rsidRPr="00531669">
              <w:rPr>
                <w:rStyle w:val="NoteLabel"/>
                <w:rFonts w:ascii="Arial Bold" w:hAnsi="Arial Bold"/>
                <w:b/>
                <w:position w:val="10"/>
              </w:rPr>
              <w:t>a</w:t>
            </w:r>
          </w:p>
          <w:p w14:paraId="2AC265F6" w14:textId="7F166C46" w:rsidR="00F63704" w:rsidRPr="00176D3F" w:rsidRDefault="00F63704" w:rsidP="00D161FD">
            <w:pPr>
              <w:pStyle w:val="Subtitle"/>
            </w:pPr>
            <w:r>
              <w:t>Per</w:t>
            </w:r>
            <w:r w:rsidR="008541EB">
              <w:t> </w:t>
            </w:r>
            <w:r>
              <w:t>cent</w:t>
            </w:r>
          </w:p>
        </w:tc>
      </w:tr>
      <w:tr w:rsidR="00F63704" w14:paraId="5B4F53B4" w14:textId="77777777" w:rsidTr="00D161F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F63704" w:rsidRPr="00B1465D" w14:paraId="38BE9104" w14:textId="77777777" w:rsidTr="00D161FD">
              <w:trPr>
                <w:tblHeader/>
                <w:jc w:val="center"/>
              </w:trPr>
              <w:tc>
                <w:tcPr>
                  <w:tcW w:w="5000" w:type="pct"/>
                  <w:tcBorders>
                    <w:top w:val="nil"/>
                    <w:bottom w:val="nil"/>
                  </w:tcBorders>
                </w:tcPr>
                <w:p w14:paraId="4F8EEA47" w14:textId="77777777" w:rsidR="00F63704" w:rsidRPr="00B1465D" w:rsidRDefault="00626CB2" w:rsidP="00D161FD">
                  <w:pPr>
                    <w:pStyle w:val="Figure"/>
                    <w:spacing w:before="60" w:after="60"/>
                    <w:rPr>
                      <w:rFonts w:ascii="Arial" w:hAnsi="Arial" w:cs="Arial"/>
                      <w:sz w:val="18"/>
                      <w:szCs w:val="18"/>
                    </w:rPr>
                  </w:pPr>
                  <w:r w:rsidRPr="00626CB2">
                    <w:rPr>
                      <w:rFonts w:ascii="Arial" w:hAnsi="Arial" w:cs="Arial"/>
                      <w:noProof/>
                      <w:sz w:val="18"/>
                      <w:szCs w:val="18"/>
                    </w:rPr>
                    <w:drawing>
                      <wp:inline distT="0" distB="0" distL="0" distR="0" wp14:anchorId="77B3A349" wp14:editId="418C1956">
                        <wp:extent cx="5397500" cy="2876550"/>
                        <wp:effectExtent l="0" t="0" r="0" b="0"/>
                        <wp:docPr id="68" name="Picture 68" descr="This figure shows the share of manufacturing in high value-adding activities in 2015 across 10 advanced OECD economies (Australia, Canada, France, Germany, Italy Japan, the Netherlands, New Zealand, the United Kingdom and the United States). New Zealand had the lowest share at 20 per cent, and Germany the highest at 50 per cent. Australia had the second lowest share at 20 per cent." title="Figure 4.10 Share of manufacturing in high value adding activities,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97500" cy="2876550"/>
                                </a:xfrm>
                                <a:prstGeom prst="rect">
                                  <a:avLst/>
                                </a:prstGeom>
                                <a:noFill/>
                                <a:ln>
                                  <a:noFill/>
                                </a:ln>
                              </pic:spPr>
                            </pic:pic>
                          </a:graphicData>
                        </a:graphic>
                      </wp:inline>
                    </w:drawing>
                  </w:r>
                </w:p>
              </w:tc>
            </w:tr>
          </w:tbl>
          <w:p w14:paraId="01CE1D86" w14:textId="77777777" w:rsidR="00F63704" w:rsidRDefault="00F63704" w:rsidP="00D161FD">
            <w:pPr>
              <w:pStyle w:val="Figure"/>
            </w:pPr>
          </w:p>
        </w:tc>
      </w:tr>
      <w:tr w:rsidR="00F63704" w:rsidRPr="00176D3F" w14:paraId="1037F492" w14:textId="77777777" w:rsidTr="00D161FD">
        <w:tc>
          <w:tcPr>
            <w:tcW w:w="5000" w:type="pct"/>
            <w:tcBorders>
              <w:top w:val="nil"/>
              <w:left w:val="nil"/>
              <w:bottom w:val="nil"/>
              <w:right w:val="nil"/>
            </w:tcBorders>
            <w:shd w:val="clear" w:color="auto" w:fill="auto"/>
          </w:tcPr>
          <w:p w14:paraId="0D4AF8D0" w14:textId="4168194D" w:rsidR="00F63704" w:rsidRPr="00176D3F" w:rsidRDefault="00F63704" w:rsidP="000D0FF4">
            <w:pPr>
              <w:pStyle w:val="Note"/>
            </w:pPr>
            <w:r>
              <w:rPr>
                <w:rStyle w:val="NoteLabel"/>
              </w:rPr>
              <w:t>a</w:t>
            </w:r>
            <w:r>
              <w:t xml:space="preserve"> High</w:t>
            </w:r>
            <w:r w:rsidR="000D0FF4">
              <w:t xml:space="preserve"> </w:t>
            </w:r>
            <w:r>
              <w:t>value</w:t>
            </w:r>
            <w:r w:rsidR="000D0FF4">
              <w:noBreakHyphen/>
              <w:t xml:space="preserve">adding </w:t>
            </w:r>
            <w:r>
              <w:t xml:space="preserve">manufacturing is defined as: pharmaceuticals; organic and inorganic chemical manufacturing; plastics manufacturing; semiconductors; computer manufacturing; communications equipment manufacturing; surgical and medical instruments manufacturing; automotive parts; and aviation parts. This definition is based on US Department of Commerce, </w:t>
            </w:r>
            <w:r w:rsidRPr="00B269C1">
              <w:rPr>
                <w:i/>
              </w:rPr>
              <w:t>1997 Economic Census Manufacturing Summary Series</w:t>
            </w:r>
            <w:r>
              <w:t>, General Summary.</w:t>
            </w:r>
          </w:p>
        </w:tc>
      </w:tr>
      <w:tr w:rsidR="00F63704" w:rsidRPr="00176D3F" w14:paraId="2E8A3F56" w14:textId="77777777" w:rsidTr="00D161FD">
        <w:tc>
          <w:tcPr>
            <w:tcW w:w="5000" w:type="pct"/>
            <w:tcBorders>
              <w:top w:val="nil"/>
              <w:left w:val="nil"/>
              <w:bottom w:val="nil"/>
              <w:right w:val="nil"/>
            </w:tcBorders>
            <w:shd w:val="clear" w:color="auto" w:fill="auto"/>
          </w:tcPr>
          <w:p w14:paraId="4DAE3092" w14:textId="77777777" w:rsidR="00F63704" w:rsidRPr="00176D3F" w:rsidRDefault="001434B5" w:rsidP="00D161FD">
            <w:pPr>
              <w:pStyle w:val="Source"/>
            </w:pPr>
            <w:r>
              <w:rPr>
                <w:i/>
              </w:rPr>
              <w:t>S</w:t>
            </w:r>
            <w:r w:rsidR="00F63704" w:rsidRPr="00784A05">
              <w:rPr>
                <w:i/>
              </w:rPr>
              <w:t>ource</w:t>
            </w:r>
            <w:r w:rsidR="00F63704" w:rsidRPr="00176D3F">
              <w:t xml:space="preserve">: </w:t>
            </w:r>
            <w:proofErr w:type="spellStart"/>
            <w:r w:rsidR="00F63704">
              <w:t>OECD.Stat</w:t>
            </w:r>
            <w:proofErr w:type="spellEnd"/>
            <w:r w:rsidR="00F63704">
              <w:t xml:space="preserve"> database.</w:t>
            </w:r>
          </w:p>
        </w:tc>
      </w:tr>
      <w:tr w:rsidR="00F63704" w14:paraId="5DEE40AF" w14:textId="77777777" w:rsidTr="00D161FD">
        <w:tc>
          <w:tcPr>
            <w:tcW w:w="5000" w:type="pct"/>
            <w:tcBorders>
              <w:top w:val="nil"/>
              <w:left w:val="nil"/>
              <w:bottom w:val="single" w:sz="6" w:space="0" w:color="78A22F"/>
              <w:right w:val="nil"/>
            </w:tcBorders>
            <w:shd w:val="clear" w:color="auto" w:fill="auto"/>
          </w:tcPr>
          <w:p w14:paraId="08AC881C" w14:textId="77777777" w:rsidR="00F63704" w:rsidRDefault="00F63704" w:rsidP="00D161FD">
            <w:pPr>
              <w:pStyle w:val="Figurespace"/>
            </w:pPr>
          </w:p>
        </w:tc>
      </w:tr>
    </w:tbl>
    <w:p w14:paraId="65BE3CC3" w14:textId="77777777" w:rsidR="00F63704" w:rsidRPr="00A352B7" w:rsidRDefault="00F63704" w:rsidP="00531669">
      <w:pPr>
        <w:pStyle w:val="Heading3"/>
        <w:spacing w:before="360"/>
        <w:rPr>
          <w:b w:val="0"/>
          <w:sz w:val="24"/>
          <w:szCs w:val="24"/>
        </w:rPr>
      </w:pPr>
      <w:r w:rsidRPr="00A352B7">
        <w:rPr>
          <w:b w:val="0"/>
          <w:sz w:val="24"/>
          <w:szCs w:val="24"/>
        </w:rPr>
        <w:t>… but scope exists for Australia to narrow the productivity gap</w:t>
      </w:r>
    </w:p>
    <w:p w14:paraId="4E2DF262" w14:textId="77C7EAC0" w:rsidR="00F63704" w:rsidRPr="00750AAB" w:rsidRDefault="00D244CE" w:rsidP="00F63704">
      <w:pPr>
        <w:pStyle w:val="BodyText"/>
        <w:rPr>
          <w:spacing w:val="-4"/>
          <w:szCs w:val="24"/>
        </w:rPr>
      </w:pPr>
      <w:r w:rsidRPr="00750AAB">
        <w:rPr>
          <w:spacing w:val="-4"/>
          <w:szCs w:val="24"/>
        </w:rPr>
        <w:t xml:space="preserve">There </w:t>
      </w:r>
      <w:r w:rsidR="00F63704" w:rsidRPr="00750AAB">
        <w:rPr>
          <w:spacing w:val="-4"/>
          <w:szCs w:val="24"/>
        </w:rPr>
        <w:t>is likely to be scope for catch</w:t>
      </w:r>
      <w:r w:rsidR="00F63704" w:rsidRPr="00750AAB">
        <w:rPr>
          <w:spacing w:val="-4"/>
          <w:szCs w:val="24"/>
        </w:rPr>
        <w:noBreakHyphen/>
        <w:t xml:space="preserve">up </w:t>
      </w:r>
      <w:r w:rsidRPr="00750AAB">
        <w:rPr>
          <w:spacing w:val="-4"/>
          <w:szCs w:val="24"/>
        </w:rPr>
        <w:t>for some</w:t>
      </w:r>
      <w:r w:rsidR="00F63704" w:rsidRPr="00750AAB">
        <w:rPr>
          <w:spacing w:val="-4"/>
          <w:szCs w:val="24"/>
        </w:rPr>
        <w:t xml:space="preserve"> industries </w:t>
      </w:r>
      <w:r w:rsidR="00D96B56" w:rsidRPr="00750AAB">
        <w:rPr>
          <w:spacing w:val="-4"/>
          <w:szCs w:val="24"/>
        </w:rPr>
        <w:t>(Dolman, Parham and Zheng 2007; PC 2017)</w:t>
      </w:r>
      <w:r w:rsidR="00F63704" w:rsidRPr="00750AAB">
        <w:rPr>
          <w:spacing w:val="-4"/>
          <w:szCs w:val="24"/>
        </w:rPr>
        <w:t>. Given the widespread dispersion in productivity</w:t>
      </w:r>
      <w:r w:rsidR="008F4A65" w:rsidRPr="00750AAB">
        <w:rPr>
          <w:spacing w:val="-4"/>
          <w:szCs w:val="24"/>
        </w:rPr>
        <w:t xml:space="preserve"> </w:t>
      </w:r>
      <w:r w:rsidR="00F63704" w:rsidRPr="00750AAB">
        <w:rPr>
          <w:spacing w:val="-4"/>
          <w:szCs w:val="24"/>
        </w:rPr>
        <w:t xml:space="preserve">levels across otherwise comparable firms </w:t>
      </w:r>
      <w:r w:rsidR="004A036D" w:rsidRPr="00750AAB">
        <w:rPr>
          <w:spacing w:val="-4"/>
          <w:szCs w:val="24"/>
        </w:rPr>
        <w:t xml:space="preserve">(Andrews, </w:t>
      </w:r>
      <w:proofErr w:type="spellStart"/>
      <w:r w:rsidR="004A036D" w:rsidRPr="00750AAB">
        <w:rPr>
          <w:spacing w:val="-4"/>
          <w:szCs w:val="24"/>
        </w:rPr>
        <w:t>Criscuolo</w:t>
      </w:r>
      <w:proofErr w:type="spellEnd"/>
      <w:r w:rsidR="004A036D" w:rsidRPr="00750AAB">
        <w:rPr>
          <w:spacing w:val="-4"/>
          <w:szCs w:val="24"/>
        </w:rPr>
        <w:t xml:space="preserve"> and Gal 2015)</w:t>
      </w:r>
      <w:r w:rsidRPr="00750AAB">
        <w:rPr>
          <w:spacing w:val="-4"/>
          <w:szCs w:val="24"/>
        </w:rPr>
        <w:t>, improved diffusion</w:t>
      </w:r>
      <w:r w:rsidR="00F63704" w:rsidRPr="00750AAB">
        <w:rPr>
          <w:spacing w:val="-4"/>
          <w:szCs w:val="24"/>
        </w:rPr>
        <w:t xml:space="preserve"> of existing technologies and knowledge offers a cost</w:t>
      </w:r>
      <w:r w:rsidR="00F63704" w:rsidRPr="00750AAB">
        <w:rPr>
          <w:spacing w:val="-4"/>
          <w:szCs w:val="24"/>
        </w:rPr>
        <w:noBreakHyphen/>
        <w:t>effective way for Australian firms and industries to narrow the gap with global leaders. Indeed, it has been already possible for individual Australian industries and firms to reach the global productivity frontier. Australian mining and</w:t>
      </w:r>
      <w:r w:rsidR="00B72F75" w:rsidRPr="00750AAB">
        <w:rPr>
          <w:spacing w:val="-4"/>
          <w:szCs w:val="24"/>
        </w:rPr>
        <w:t>, notwithstanding the difficulty in measuring its output,</w:t>
      </w:r>
      <w:r w:rsidR="00F63704" w:rsidRPr="00750AAB">
        <w:rPr>
          <w:spacing w:val="-4"/>
          <w:szCs w:val="24"/>
        </w:rPr>
        <w:t xml:space="preserve"> financial services have been found to lie on the global frontier</w:t>
      </w:r>
      <w:r w:rsidR="001D66BD" w:rsidRPr="00750AAB">
        <w:rPr>
          <w:spacing w:val="-4"/>
          <w:szCs w:val="24"/>
        </w:rPr>
        <w:t xml:space="preserve"> </w:t>
      </w:r>
      <w:r w:rsidR="00D96B56" w:rsidRPr="00750AAB">
        <w:rPr>
          <w:spacing w:val="-4"/>
          <w:szCs w:val="24"/>
        </w:rPr>
        <w:t>(PC 2017)</w:t>
      </w:r>
      <w:r w:rsidR="00F63704" w:rsidRPr="00750AAB">
        <w:rPr>
          <w:spacing w:val="-4"/>
          <w:szCs w:val="24"/>
        </w:rPr>
        <w:t>.</w:t>
      </w:r>
    </w:p>
    <w:p w14:paraId="53B888DF" w14:textId="77777777" w:rsidR="00F63704" w:rsidRPr="00A352B7" w:rsidRDefault="00F63704" w:rsidP="00531669">
      <w:pPr>
        <w:pStyle w:val="Heading3"/>
        <w:spacing w:before="480"/>
        <w:rPr>
          <w:b w:val="0"/>
          <w:sz w:val="24"/>
          <w:szCs w:val="24"/>
        </w:rPr>
      </w:pPr>
      <w:r w:rsidRPr="00A352B7">
        <w:rPr>
          <w:b w:val="0"/>
          <w:sz w:val="24"/>
          <w:szCs w:val="24"/>
        </w:rPr>
        <w:t>Many economies face similar challenges to Australia</w:t>
      </w:r>
    </w:p>
    <w:p w14:paraId="6967A2BC" w14:textId="77777777" w:rsidR="00D161FD" w:rsidRPr="00750AAB" w:rsidRDefault="00F63704" w:rsidP="00120072">
      <w:pPr>
        <w:pStyle w:val="BodyText"/>
        <w:rPr>
          <w:szCs w:val="24"/>
        </w:rPr>
        <w:sectPr w:rsidR="00D161FD" w:rsidRPr="00750AAB" w:rsidSect="00474A19">
          <w:type w:val="oddPage"/>
          <w:pgSz w:w="11907" w:h="16840" w:code="9"/>
          <w:pgMar w:top="1985" w:right="1304" w:bottom="1247" w:left="1814" w:header="1701" w:footer="397" w:gutter="0"/>
          <w:pgNumType w:chapSep="period"/>
          <w:cols w:space="720"/>
        </w:sectPr>
      </w:pPr>
      <w:r w:rsidRPr="00750AAB">
        <w:rPr>
          <w:spacing w:val="-4"/>
          <w:szCs w:val="24"/>
          <w14:props3d w14:extrusionH="0" w14:contourW="0" w14:prstMaterial="matte"/>
        </w:rPr>
        <w:t xml:space="preserve">It is worth noting that many of the actual and potential challenges affecting productivity growth and living standards in Australia that have been identified throughout this </w:t>
      </w:r>
      <w:r w:rsidR="00A231E6" w:rsidRPr="00750AAB">
        <w:rPr>
          <w:spacing w:val="-4"/>
          <w:szCs w:val="24"/>
          <w14:props3d w14:extrusionH="0" w14:contourW="0" w14:prstMaterial="matte"/>
        </w:rPr>
        <w:t xml:space="preserve">Bulletin </w:t>
      </w:r>
      <w:r w:rsidRPr="00750AAB">
        <w:rPr>
          <w:spacing w:val="-4"/>
          <w:szCs w:val="24"/>
          <w14:props3d w14:extrusionH="0" w14:contourW="0" w14:prstMaterial="matte"/>
        </w:rPr>
        <w:t>are shared by many other developed economies. These challenges include, but are not limited to, slowing economic growth, structural change away from goods producing industries towards service industries, slowing labour productivity growth, an ageing population, weak or s</w:t>
      </w:r>
      <w:r w:rsidR="00E06C2E" w:rsidRPr="00750AAB">
        <w:rPr>
          <w:spacing w:val="-4"/>
          <w:szCs w:val="24"/>
          <w14:props3d w14:extrusionH="0" w14:contourW="0" w14:prstMaterial="matte"/>
        </w:rPr>
        <w:t>low real wages growth and weak</w:t>
      </w:r>
      <w:r w:rsidRPr="00750AAB">
        <w:rPr>
          <w:spacing w:val="-4"/>
          <w:szCs w:val="24"/>
          <w14:props3d w14:extrusionH="0" w14:contourW="0" w14:prstMaterial="matte"/>
        </w:rPr>
        <w:t xml:space="preserve"> investment. Indeed, many of these challenges are potentially </w:t>
      </w:r>
      <w:r w:rsidR="007755C6" w:rsidRPr="00750AAB">
        <w:rPr>
          <w:spacing w:val="-4"/>
          <w:szCs w:val="24"/>
          <w14:props3d w14:extrusionH="0" w14:contourW="0" w14:prstMaterial="matte"/>
        </w:rPr>
        <w:t xml:space="preserve">more </w:t>
      </w:r>
      <w:r w:rsidRPr="00750AAB">
        <w:rPr>
          <w:spacing w:val="-4"/>
          <w:szCs w:val="24"/>
          <w14:props3d w14:extrusionH="0" w14:contourW="0" w14:prstMaterial="matte"/>
        </w:rPr>
        <w:t>pressing in other economies.</w:t>
      </w:r>
      <w:r w:rsidRPr="00750AAB">
        <w:rPr>
          <w:szCs w:val="24"/>
          <w14:props3d w14:extrusionH="0" w14:contourW="0" w14:prstMaterial="matte"/>
        </w:rPr>
        <w:t xml:space="preserve"> </w:t>
      </w:r>
    </w:p>
    <w:p w14:paraId="47DAEA53" w14:textId="77777777" w:rsidR="00D161FD" w:rsidRDefault="00D161FD" w:rsidP="00992299">
      <w:pPr>
        <w:pStyle w:val="Heading1NotTOC"/>
      </w:pPr>
      <w:bookmarkStart w:id="36" w:name="_AppendixNotByChapter"/>
      <w:bookmarkStart w:id="37" w:name="_Toc5636667"/>
      <w:bookmarkStart w:id="38" w:name="_Toc5690117"/>
      <w:bookmarkEnd w:id="36"/>
      <w:r>
        <w:lastRenderedPageBreak/>
        <w:t>A</w:t>
      </w:r>
      <w:r>
        <w:tab/>
        <w:t>Data annex</w:t>
      </w:r>
      <w:bookmarkEnd w:id="37"/>
      <w:bookmarkEnd w:id="38"/>
    </w:p>
    <w:p w14:paraId="345C5ECD" w14:textId="77777777" w:rsidR="00D161FD" w:rsidRDefault="00D161FD" w:rsidP="00D161FD">
      <w:pPr>
        <w:pStyle w:val="BodyText"/>
      </w:pPr>
      <w:r>
        <w:t xml:space="preserve">This annex provides details on the </w:t>
      </w:r>
      <w:r w:rsidR="00CA4E36">
        <w:t xml:space="preserve">methods and </w:t>
      </w:r>
      <w:r>
        <w:t xml:space="preserve">productivity data used in this </w:t>
      </w:r>
      <w:r w:rsidR="00B73A1C">
        <w:t>Bulletin</w:t>
      </w:r>
      <w:r>
        <w:t>.</w:t>
      </w:r>
    </w:p>
    <w:p w14:paraId="56ADA07C" w14:textId="77777777" w:rsidR="00D161FD" w:rsidRDefault="00A41217" w:rsidP="00D161FD">
      <w:pPr>
        <w:pStyle w:val="Heading2"/>
      </w:pPr>
      <w:bookmarkStart w:id="39" w:name="_Toc5127177"/>
      <w:bookmarkStart w:id="40" w:name="_Toc5636668"/>
      <w:bookmarkStart w:id="41" w:name="_Toc5690118"/>
      <w:proofErr w:type="spellStart"/>
      <w:r>
        <w:t>A.1</w:t>
      </w:r>
      <w:proofErr w:type="spellEnd"/>
      <w:r>
        <w:tab/>
      </w:r>
      <w:r w:rsidR="00D161FD">
        <w:t>Industry coverage</w:t>
      </w:r>
      <w:bookmarkEnd w:id="39"/>
      <w:bookmarkEnd w:id="40"/>
      <w:bookmarkEnd w:id="41"/>
    </w:p>
    <w:p w14:paraId="5DF28FDC" w14:textId="3C0118BA" w:rsidR="00D161FD" w:rsidRDefault="00D161FD" w:rsidP="00D161FD">
      <w:pPr>
        <w:pStyle w:val="BodyText"/>
      </w:pPr>
      <w:r>
        <w:t xml:space="preserve">Given the </w:t>
      </w:r>
      <w:r w:rsidR="00E0146B">
        <w:t>economy-wide</w:t>
      </w:r>
      <w:r>
        <w:t xml:space="preserve"> focus of this edition of the </w:t>
      </w:r>
      <w:r w:rsidR="001D2E43">
        <w:rPr>
          <w:i/>
        </w:rPr>
        <w:t>Productivity Bulletin</w:t>
      </w:r>
      <w:r>
        <w:t>,</w:t>
      </w:r>
      <w:r w:rsidRPr="00E14350">
        <w:t xml:space="preserve"> </w:t>
      </w:r>
      <w:r>
        <w:t>the industry classification used covers the entire Australian economy (box </w:t>
      </w:r>
      <w:proofErr w:type="spellStart"/>
      <w:r w:rsidR="00F74948">
        <w:t>A.1</w:t>
      </w:r>
      <w:proofErr w:type="spellEnd"/>
      <w:r>
        <w:t>).</w:t>
      </w:r>
      <w:r w:rsidR="00A231E6">
        <w:t xml:space="preserve"> </w:t>
      </w:r>
      <w:r>
        <w:t xml:space="preserve">It is the classification used by the Australian Bureau of Statistics (ABS) in its </w:t>
      </w:r>
      <w:r w:rsidRPr="00B94079">
        <w:rPr>
          <w:i/>
        </w:rPr>
        <w:t xml:space="preserve">Australian System of </w:t>
      </w:r>
      <w:r w:rsidRPr="00645E79">
        <w:rPr>
          <w:i/>
        </w:rPr>
        <w:t xml:space="preserve">National </w:t>
      </w:r>
      <w:r w:rsidRPr="00B94079">
        <w:rPr>
          <w:i/>
        </w:rPr>
        <w:t>Accounts</w:t>
      </w:r>
      <w:r>
        <w:t xml:space="preserve"> (</w:t>
      </w:r>
      <w:r w:rsidR="001435B2">
        <w:t>Cat</w:t>
      </w:r>
      <w:r>
        <w:t>.</w:t>
      </w:r>
      <w:r w:rsidR="000264BD">
        <w:t> </w:t>
      </w:r>
      <w:r>
        <w:t>no. 5204.0), a key source of industry</w:t>
      </w:r>
      <w:r>
        <w:noBreakHyphen/>
        <w:t>level productivity data (discussed in section </w:t>
      </w:r>
      <w:proofErr w:type="spellStart"/>
      <w:r>
        <w:t>A.2</w:t>
      </w:r>
      <w:proofErr w:type="spellEnd"/>
      <w:r>
        <w:t>). This classification comprises the 19 divisions that make up the Australian and New Zealand Standard Industry Classification (</w:t>
      </w:r>
      <w:proofErr w:type="spellStart"/>
      <w:r>
        <w:t>ANZSIC</w:t>
      </w:r>
      <w:proofErr w:type="spellEnd"/>
      <w:r>
        <w:t xml:space="preserve">), as well as </w:t>
      </w:r>
      <w:r w:rsidRPr="00B94079">
        <w:rPr>
          <w:i/>
        </w:rPr>
        <w:t>ownership of dwellings</w:t>
      </w:r>
      <w:r>
        <w:t>, which also forms part of national production and national labour productivity.</w:t>
      </w:r>
    </w:p>
    <w:p w14:paraId="3D85CA75" w14:textId="77777777" w:rsidR="00D161FD" w:rsidRDefault="00D161FD" w:rsidP="00D161FD">
      <w:pPr>
        <w:pStyle w:val="BodyText"/>
      </w:pPr>
      <w:r>
        <w:t xml:space="preserve">These industries are grouped to aid the understanding of structural change in the Australian economy and to enable comparisons with previous </w:t>
      </w:r>
      <w:r w:rsidR="001D2E43">
        <w:rPr>
          <w:i/>
        </w:rPr>
        <w:t>Productivity Bulletin</w:t>
      </w:r>
      <w:r w:rsidRPr="000B3D69">
        <w:rPr>
          <w:i/>
        </w:rPr>
        <w:t>s</w:t>
      </w:r>
      <w:r>
        <w:t xml:space="preserve"> (box </w:t>
      </w:r>
      <w:proofErr w:type="spellStart"/>
      <w:r w:rsidR="00F74948">
        <w:t>A.1</w:t>
      </w:r>
      <w:proofErr w:type="spellEnd"/>
      <w:r>
        <w:t>).</w:t>
      </w:r>
    </w:p>
    <w:p w14:paraId="50B4B4AF" w14:textId="77777777" w:rsidR="00D161FD" w:rsidRDefault="00D161FD" w:rsidP="00D161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161FD" w14:paraId="56E33AD1" w14:textId="77777777" w:rsidTr="00D161FD">
        <w:trPr>
          <w:tblHeader/>
        </w:trPr>
        <w:tc>
          <w:tcPr>
            <w:tcW w:w="5000" w:type="pct"/>
            <w:tcBorders>
              <w:top w:val="single" w:sz="6" w:space="0" w:color="78A22F"/>
              <w:left w:val="nil"/>
              <w:bottom w:val="nil"/>
              <w:right w:val="nil"/>
            </w:tcBorders>
            <w:shd w:val="clear" w:color="auto" w:fill="F2F2F2"/>
          </w:tcPr>
          <w:p w14:paraId="3F8470AC" w14:textId="77777777" w:rsidR="00D161FD" w:rsidRDefault="00D161FD" w:rsidP="00781577">
            <w:pPr>
              <w:pStyle w:val="BoxTitle"/>
              <w:spacing w:after="120"/>
            </w:pPr>
            <w:r w:rsidRPr="00CA78AD">
              <w:rPr>
                <w:b w:val="0"/>
              </w:rPr>
              <w:t xml:space="preserve">Box </w:t>
            </w:r>
            <w:r w:rsidRPr="00CA78AD">
              <w:rPr>
                <w:b w:val="0"/>
              </w:rPr>
              <w:fldChar w:fldCharType="begin"/>
            </w:r>
            <w:r w:rsidRPr="00CA78AD">
              <w:rPr>
                <w:b w:val="0"/>
              </w:rPr>
              <w:instrText xml:space="preserve"> COMMENTS  \* MERGEFORMAT </w:instrText>
            </w:r>
            <w:r w:rsidRPr="00CA78AD">
              <w:rPr>
                <w:b w:val="0"/>
              </w:rPr>
              <w:fldChar w:fldCharType="separate"/>
            </w:r>
            <w:proofErr w:type="spellStart"/>
            <w:r>
              <w:rPr>
                <w:b w:val="0"/>
              </w:rPr>
              <w:t>A.</w:t>
            </w:r>
            <w:r w:rsidRPr="00CA78AD">
              <w:rPr>
                <w:b w:val="0"/>
              </w:rPr>
              <w:fldChar w:fldCharType="end"/>
            </w:r>
            <w:r w:rsidRPr="00CA78AD">
              <w:rPr>
                <w:b w:val="0"/>
              </w:rPr>
              <w:fldChar w:fldCharType="begin"/>
            </w:r>
            <w:r w:rsidRPr="00CA78AD">
              <w:rPr>
                <w:b w:val="0"/>
              </w:rPr>
              <w:instrText xml:space="preserve"> SEQ Box \* ARABIC </w:instrText>
            </w:r>
            <w:r w:rsidRPr="00CA78AD">
              <w:rPr>
                <w:b w:val="0"/>
              </w:rPr>
              <w:fldChar w:fldCharType="separate"/>
            </w:r>
            <w:r w:rsidR="00AC6BBE">
              <w:rPr>
                <w:b w:val="0"/>
                <w:noProof/>
              </w:rPr>
              <w:t>1</w:t>
            </w:r>
            <w:proofErr w:type="spellEnd"/>
            <w:r w:rsidRPr="00CA78AD">
              <w:rPr>
                <w:b w:val="0"/>
              </w:rPr>
              <w:fldChar w:fldCharType="end"/>
            </w:r>
            <w:r>
              <w:tab/>
            </w:r>
            <w:r w:rsidRPr="00727CB0">
              <w:t xml:space="preserve">Industry </w:t>
            </w:r>
            <w:r w:rsidRPr="00F0743E">
              <w:t>coverage</w:t>
            </w:r>
            <w:r w:rsidRPr="00727CB0">
              <w:t xml:space="preserve"> </w:t>
            </w:r>
            <w:r>
              <w:t>used</w:t>
            </w:r>
          </w:p>
        </w:tc>
      </w:tr>
      <w:tr w:rsidR="00D161FD" w14:paraId="6F38117F" w14:textId="77777777" w:rsidTr="00EA2F47">
        <w:tc>
          <w:tcPr>
            <w:tcW w:w="5000" w:type="pct"/>
            <w:tcBorders>
              <w:top w:val="nil"/>
              <w:left w:val="nil"/>
              <w:bottom w:val="nil"/>
              <w:right w:val="nil"/>
            </w:tcBorders>
            <w:shd w:val="clear" w:color="auto" w:fill="F2F2F2"/>
          </w:tcPr>
          <w:tbl>
            <w:tblPr>
              <w:tblW w:w="5000" w:type="pct"/>
              <w:tblLook w:val="0000" w:firstRow="0" w:lastRow="0" w:firstColumn="0" w:lastColumn="0" w:noHBand="0" w:noVBand="0"/>
            </w:tblPr>
            <w:tblGrid>
              <w:gridCol w:w="4183"/>
              <w:gridCol w:w="4322"/>
            </w:tblGrid>
            <w:tr w:rsidR="00D161FD" w:rsidRPr="00727CB0" w14:paraId="0539BB08" w14:textId="77777777" w:rsidTr="00A179D2">
              <w:tc>
                <w:tcPr>
                  <w:tcW w:w="2459" w:type="pct"/>
                  <w:tcBorders>
                    <w:bottom w:val="single" w:sz="12" w:space="0" w:color="FFFFFF" w:themeColor="background1"/>
                    <w:right w:val="single" w:sz="48" w:space="0" w:color="F2F2F2"/>
                  </w:tcBorders>
                  <w:shd w:val="clear" w:color="auto" w:fill="A2D6E9" w:themeFill="text2" w:themeFillTint="99"/>
                </w:tcPr>
                <w:p w14:paraId="665456F0" w14:textId="77777777" w:rsidR="00D161FD" w:rsidRPr="00727CB0" w:rsidRDefault="00D161FD" w:rsidP="00EA2F47">
                  <w:pPr>
                    <w:pStyle w:val="Box"/>
                    <w:spacing w:before="80" w:after="80"/>
                    <w:jc w:val="left"/>
                    <w:rPr>
                      <w:b/>
                      <w:i/>
                    </w:rPr>
                  </w:pPr>
                  <w:r w:rsidRPr="00727CB0">
                    <w:rPr>
                      <w:b/>
                      <w:i/>
                    </w:rPr>
                    <w:t>Market sector</w:t>
                  </w:r>
                  <w:r>
                    <w:rPr>
                      <w:b/>
                      <w:i/>
                    </w:rPr>
                    <w:t xml:space="preserve"> </w:t>
                  </w:r>
                  <w:r w:rsidRPr="00727CB0">
                    <w:rPr>
                      <w:b/>
                      <w:i/>
                    </w:rPr>
                    <w:t>(12 industries)</w:t>
                  </w:r>
                </w:p>
              </w:tc>
              <w:tc>
                <w:tcPr>
                  <w:tcW w:w="2541" w:type="pct"/>
                  <w:tcBorders>
                    <w:left w:val="single" w:sz="48" w:space="0" w:color="F2F2F2"/>
                    <w:bottom w:val="single" w:sz="12" w:space="0" w:color="FFFFFF" w:themeColor="background1"/>
                  </w:tcBorders>
                  <w:shd w:val="clear" w:color="auto" w:fill="98BBE5" w:themeFill="background2" w:themeFillTint="66"/>
                </w:tcPr>
                <w:p w14:paraId="4C982E6C" w14:textId="77777777" w:rsidR="00D161FD" w:rsidRPr="00727CB0" w:rsidRDefault="00311A43" w:rsidP="00EA2F47">
                  <w:pPr>
                    <w:pStyle w:val="Box"/>
                    <w:spacing w:before="80" w:after="80"/>
                    <w:jc w:val="left"/>
                    <w:rPr>
                      <w:b/>
                      <w:i/>
                    </w:rPr>
                  </w:pPr>
                  <w:r w:rsidRPr="00EA2F47">
                    <w:rPr>
                      <w:b/>
                      <w:i/>
                    </w:rPr>
                    <w:t>Market</w:t>
                  </w:r>
                  <w:r w:rsidR="00D161FD" w:rsidRPr="00EA2F47">
                    <w:rPr>
                      <w:b/>
                      <w:i/>
                    </w:rPr>
                    <w:t xml:space="preserve"> sector (</w:t>
                  </w:r>
                  <w:r w:rsidRPr="00EA2F47">
                    <w:rPr>
                      <w:b/>
                      <w:i/>
                    </w:rPr>
                    <w:t>16</w:t>
                  </w:r>
                  <w:r w:rsidR="00D161FD" w:rsidRPr="00EA2F47">
                    <w:rPr>
                      <w:b/>
                      <w:i/>
                    </w:rPr>
                    <w:t> industries</w:t>
                  </w:r>
                  <w:r w:rsidR="00D161FD" w:rsidRPr="00727CB0">
                    <w:rPr>
                      <w:b/>
                      <w:i/>
                    </w:rPr>
                    <w:t>)</w:t>
                  </w:r>
                </w:p>
              </w:tc>
            </w:tr>
            <w:tr w:rsidR="00D161FD" w:rsidRPr="00727CB0" w14:paraId="3C24E406" w14:textId="77777777" w:rsidTr="00A179D2">
              <w:tc>
                <w:tcPr>
                  <w:tcW w:w="2459" w:type="pct"/>
                  <w:tcBorders>
                    <w:top w:val="single" w:sz="12" w:space="0" w:color="FFFFFF" w:themeColor="background1"/>
                    <w:right w:val="single" w:sz="48" w:space="0" w:color="F2F2F2"/>
                  </w:tcBorders>
                  <w:shd w:val="clear" w:color="auto" w:fill="E0F1F7" w:themeFill="text2" w:themeFillTint="33"/>
                </w:tcPr>
                <w:p w14:paraId="12C8D490" w14:textId="77777777" w:rsidR="00D161FD" w:rsidRPr="00727CB0" w:rsidRDefault="00D161FD" w:rsidP="00D161FD">
                  <w:pPr>
                    <w:pStyle w:val="Box"/>
                    <w:spacing w:before="40"/>
                    <w:jc w:val="left"/>
                  </w:pPr>
                  <w:r w:rsidRPr="00727CB0">
                    <w:t>Agriculture, forestry &amp; fishing</w:t>
                  </w:r>
                </w:p>
              </w:tc>
              <w:tc>
                <w:tcPr>
                  <w:tcW w:w="2541" w:type="pct"/>
                  <w:tcBorders>
                    <w:top w:val="single" w:sz="12" w:space="0" w:color="FFFFFF" w:themeColor="background1"/>
                    <w:left w:val="single" w:sz="48" w:space="0" w:color="F2F2F2"/>
                  </w:tcBorders>
                  <w:shd w:val="clear" w:color="auto" w:fill="CBDDF2" w:themeFill="background2" w:themeFillTint="33"/>
                </w:tcPr>
                <w:p w14:paraId="3D8F43B2" w14:textId="77777777" w:rsidR="00D161FD" w:rsidRPr="00311A43" w:rsidRDefault="00311A43" w:rsidP="00EA2F47">
                  <w:pPr>
                    <w:pStyle w:val="Box"/>
                    <w:spacing w:before="40" w:after="40"/>
                    <w:jc w:val="left"/>
                  </w:pPr>
                  <w:r w:rsidRPr="00311A43">
                    <w:t>Market sector (12 industries)</w:t>
                  </w:r>
                  <w:r>
                    <w:t xml:space="preserve"> </w:t>
                  </w:r>
                  <w:r w:rsidRPr="00076F3E">
                    <w:rPr>
                      <w:b/>
                    </w:rPr>
                    <w:t>plus</w:t>
                  </w:r>
                </w:p>
              </w:tc>
            </w:tr>
            <w:tr w:rsidR="00D161FD" w:rsidRPr="00727CB0" w14:paraId="0C3498C4" w14:textId="77777777" w:rsidTr="00A179D2">
              <w:tc>
                <w:tcPr>
                  <w:tcW w:w="2459" w:type="pct"/>
                  <w:tcBorders>
                    <w:right w:val="single" w:sz="48" w:space="0" w:color="F2F2F2"/>
                  </w:tcBorders>
                  <w:shd w:val="clear" w:color="auto" w:fill="E0F1F7" w:themeFill="text2" w:themeFillTint="33"/>
                </w:tcPr>
                <w:p w14:paraId="6E4C8448" w14:textId="77777777" w:rsidR="00D161FD" w:rsidRPr="00727CB0" w:rsidRDefault="00D161FD" w:rsidP="00EA2F47">
                  <w:pPr>
                    <w:pStyle w:val="Box"/>
                    <w:spacing w:before="40" w:after="40"/>
                    <w:jc w:val="left"/>
                  </w:pPr>
                  <w:r w:rsidRPr="00727CB0">
                    <w:t>Mining</w:t>
                  </w:r>
                </w:p>
              </w:tc>
              <w:tc>
                <w:tcPr>
                  <w:tcW w:w="2541" w:type="pct"/>
                  <w:tcBorders>
                    <w:left w:val="single" w:sz="48" w:space="0" w:color="F2F2F2"/>
                  </w:tcBorders>
                  <w:shd w:val="clear" w:color="auto" w:fill="CBDDF2" w:themeFill="background2" w:themeFillTint="33"/>
                </w:tcPr>
                <w:p w14:paraId="087BB0A7" w14:textId="77777777" w:rsidR="00D161FD" w:rsidRPr="009F58C4" w:rsidRDefault="00311A43" w:rsidP="00EA2F47">
                  <w:pPr>
                    <w:pStyle w:val="Box"/>
                    <w:spacing w:before="40" w:after="40"/>
                    <w:jc w:val="left"/>
                  </w:pPr>
                  <w:r w:rsidRPr="00727CB0">
                    <w:t>Rental, hiring &amp; real estate services</w:t>
                  </w:r>
                </w:p>
              </w:tc>
            </w:tr>
            <w:tr w:rsidR="00D161FD" w:rsidRPr="00727CB0" w14:paraId="3377C748" w14:textId="77777777" w:rsidTr="00A179D2">
              <w:tc>
                <w:tcPr>
                  <w:tcW w:w="2459" w:type="pct"/>
                  <w:tcBorders>
                    <w:right w:val="single" w:sz="48" w:space="0" w:color="F2F2F2"/>
                  </w:tcBorders>
                  <w:shd w:val="clear" w:color="auto" w:fill="E0F1F7" w:themeFill="text2" w:themeFillTint="33"/>
                </w:tcPr>
                <w:p w14:paraId="58D53D1E" w14:textId="77777777" w:rsidR="00D161FD" w:rsidRPr="00727CB0" w:rsidRDefault="00D161FD" w:rsidP="00EA2F47">
                  <w:pPr>
                    <w:pStyle w:val="Box"/>
                    <w:spacing w:before="40" w:after="40"/>
                    <w:jc w:val="left"/>
                  </w:pPr>
                  <w:r w:rsidRPr="00727CB0">
                    <w:t>Manufacturing</w:t>
                  </w:r>
                </w:p>
              </w:tc>
              <w:tc>
                <w:tcPr>
                  <w:tcW w:w="2541" w:type="pct"/>
                  <w:tcBorders>
                    <w:left w:val="single" w:sz="48" w:space="0" w:color="F2F2F2"/>
                  </w:tcBorders>
                  <w:shd w:val="clear" w:color="auto" w:fill="CBDDF2" w:themeFill="background2" w:themeFillTint="33"/>
                </w:tcPr>
                <w:p w14:paraId="07967E4B" w14:textId="77777777" w:rsidR="00D161FD" w:rsidRPr="00727CB0" w:rsidRDefault="00311A43" w:rsidP="00EA2F47">
                  <w:pPr>
                    <w:pStyle w:val="Box"/>
                    <w:spacing w:before="40" w:after="40"/>
                    <w:jc w:val="left"/>
                  </w:pPr>
                  <w:r w:rsidRPr="00727CB0">
                    <w:t>Professional, scientific &amp; technical services</w:t>
                  </w:r>
                </w:p>
              </w:tc>
            </w:tr>
            <w:tr w:rsidR="00D161FD" w:rsidRPr="00727CB0" w14:paraId="7DA09205" w14:textId="77777777" w:rsidTr="00A179D2">
              <w:tc>
                <w:tcPr>
                  <w:tcW w:w="2459" w:type="pct"/>
                  <w:tcBorders>
                    <w:right w:val="single" w:sz="48" w:space="0" w:color="F2F2F2"/>
                  </w:tcBorders>
                  <w:shd w:val="clear" w:color="auto" w:fill="E0F1F7" w:themeFill="text2" w:themeFillTint="33"/>
                </w:tcPr>
                <w:p w14:paraId="1524EC4D" w14:textId="77777777" w:rsidR="00D161FD" w:rsidRPr="00727CB0" w:rsidRDefault="00D161FD" w:rsidP="00EA2F47">
                  <w:pPr>
                    <w:pStyle w:val="Box"/>
                    <w:spacing w:before="40" w:after="40"/>
                    <w:jc w:val="left"/>
                    <w:rPr>
                      <w:i/>
                    </w:rPr>
                  </w:pPr>
                  <w:r w:rsidRPr="00727CB0">
                    <w:t>Electricity, gas, water &amp; waste services</w:t>
                  </w:r>
                </w:p>
              </w:tc>
              <w:tc>
                <w:tcPr>
                  <w:tcW w:w="2541" w:type="pct"/>
                  <w:tcBorders>
                    <w:left w:val="single" w:sz="48" w:space="0" w:color="F2F2F2"/>
                  </w:tcBorders>
                  <w:shd w:val="clear" w:color="auto" w:fill="CBDDF2" w:themeFill="background2" w:themeFillTint="33"/>
                </w:tcPr>
                <w:p w14:paraId="448A02F7" w14:textId="77777777" w:rsidR="00D161FD" w:rsidRPr="00727CB0" w:rsidRDefault="00311A43" w:rsidP="00EA2F47">
                  <w:pPr>
                    <w:pStyle w:val="Box"/>
                    <w:spacing w:before="40" w:after="40"/>
                    <w:jc w:val="left"/>
                  </w:pPr>
                  <w:r w:rsidRPr="00727CB0">
                    <w:t>Administrative &amp; support services</w:t>
                  </w:r>
                </w:p>
              </w:tc>
            </w:tr>
            <w:tr w:rsidR="00D161FD" w:rsidRPr="00727CB0" w14:paraId="12011273" w14:textId="77777777" w:rsidTr="00A179D2">
              <w:tc>
                <w:tcPr>
                  <w:tcW w:w="2459" w:type="pct"/>
                  <w:tcBorders>
                    <w:right w:val="single" w:sz="48" w:space="0" w:color="F2F2F2"/>
                  </w:tcBorders>
                  <w:shd w:val="clear" w:color="auto" w:fill="E0F1F7" w:themeFill="text2" w:themeFillTint="33"/>
                </w:tcPr>
                <w:p w14:paraId="140ED749" w14:textId="77777777" w:rsidR="00D161FD" w:rsidRPr="00727CB0" w:rsidRDefault="00D161FD" w:rsidP="00EA2F47">
                  <w:pPr>
                    <w:pStyle w:val="Box"/>
                    <w:spacing w:before="40" w:after="40"/>
                    <w:jc w:val="left"/>
                  </w:pPr>
                  <w:r w:rsidRPr="00727CB0">
                    <w:t>Construction</w:t>
                  </w:r>
                </w:p>
              </w:tc>
              <w:tc>
                <w:tcPr>
                  <w:tcW w:w="2541" w:type="pct"/>
                  <w:tcBorders>
                    <w:left w:val="single" w:sz="48" w:space="0" w:color="F2F2F2"/>
                  </w:tcBorders>
                  <w:shd w:val="clear" w:color="auto" w:fill="CBDDF2" w:themeFill="background2" w:themeFillTint="33"/>
                </w:tcPr>
                <w:p w14:paraId="1865BC9A" w14:textId="77777777" w:rsidR="00D161FD" w:rsidRPr="00727CB0" w:rsidRDefault="00311A43" w:rsidP="00EA2F47">
                  <w:pPr>
                    <w:pStyle w:val="Box"/>
                    <w:spacing w:before="40" w:after="40"/>
                    <w:jc w:val="left"/>
                    <w:rPr>
                      <w:i/>
                    </w:rPr>
                  </w:pPr>
                  <w:r w:rsidRPr="00727CB0">
                    <w:t>Other services</w:t>
                  </w:r>
                </w:p>
              </w:tc>
            </w:tr>
            <w:tr w:rsidR="00EA2F47" w:rsidRPr="00727CB0" w14:paraId="6E82EA12" w14:textId="77777777" w:rsidTr="00A179D2">
              <w:tc>
                <w:tcPr>
                  <w:tcW w:w="2459" w:type="pct"/>
                  <w:tcBorders>
                    <w:right w:val="single" w:sz="48" w:space="0" w:color="F2F2F2"/>
                  </w:tcBorders>
                  <w:shd w:val="clear" w:color="auto" w:fill="E0F1F7" w:themeFill="text2" w:themeFillTint="33"/>
                </w:tcPr>
                <w:p w14:paraId="4E2D8996" w14:textId="77777777" w:rsidR="00EA2F47" w:rsidRPr="00727CB0" w:rsidRDefault="00EA2F47" w:rsidP="00EA2F47">
                  <w:pPr>
                    <w:pStyle w:val="Box"/>
                    <w:spacing w:before="40" w:after="40"/>
                    <w:jc w:val="left"/>
                  </w:pPr>
                  <w:r w:rsidRPr="00727CB0">
                    <w:t>Wholesale trade</w:t>
                  </w:r>
                </w:p>
              </w:tc>
              <w:tc>
                <w:tcPr>
                  <w:tcW w:w="2541" w:type="pct"/>
                  <w:tcBorders>
                    <w:left w:val="single" w:sz="48" w:space="0" w:color="F2F2F2"/>
                  </w:tcBorders>
                  <w:shd w:val="clear" w:color="auto" w:fill="F2F2F2"/>
                </w:tcPr>
                <w:p w14:paraId="44042818" w14:textId="77777777" w:rsidR="00EA2F47" w:rsidRPr="00727CB0" w:rsidRDefault="00EA2F47" w:rsidP="00EA2F47">
                  <w:pPr>
                    <w:pStyle w:val="Box"/>
                    <w:spacing w:before="40" w:after="40"/>
                    <w:jc w:val="left"/>
                  </w:pPr>
                </w:p>
              </w:tc>
            </w:tr>
            <w:tr w:rsidR="00EA2F47" w:rsidRPr="00727CB0" w14:paraId="34C9AB87" w14:textId="77777777" w:rsidTr="00A179D2">
              <w:tc>
                <w:tcPr>
                  <w:tcW w:w="2459" w:type="pct"/>
                  <w:tcBorders>
                    <w:right w:val="single" w:sz="48" w:space="0" w:color="F2F2F2"/>
                  </w:tcBorders>
                  <w:shd w:val="clear" w:color="auto" w:fill="E0F1F7" w:themeFill="text2" w:themeFillTint="33"/>
                </w:tcPr>
                <w:p w14:paraId="2F5AAE13" w14:textId="77777777" w:rsidR="00EA2F47" w:rsidRPr="00727CB0" w:rsidRDefault="00EA2F47" w:rsidP="00EA2F47">
                  <w:pPr>
                    <w:pStyle w:val="Box"/>
                    <w:spacing w:before="40" w:after="40"/>
                    <w:jc w:val="left"/>
                  </w:pPr>
                  <w:r w:rsidRPr="00727CB0">
                    <w:t>Retail trade</w:t>
                  </w:r>
                </w:p>
              </w:tc>
              <w:tc>
                <w:tcPr>
                  <w:tcW w:w="2541" w:type="pct"/>
                  <w:tcBorders>
                    <w:left w:val="single" w:sz="48" w:space="0" w:color="F2F2F2"/>
                    <w:bottom w:val="single" w:sz="12" w:space="0" w:color="FFFFFF" w:themeColor="background1"/>
                  </w:tcBorders>
                  <w:shd w:val="clear" w:color="auto" w:fill="94C660" w:themeFill="accent2" w:themeFillTint="99"/>
                </w:tcPr>
                <w:p w14:paraId="44D4DA5B" w14:textId="77777777" w:rsidR="00EA2F47" w:rsidRPr="00311A43" w:rsidRDefault="00EA2F47" w:rsidP="00EA2F47">
                  <w:pPr>
                    <w:pStyle w:val="Box"/>
                    <w:spacing w:before="40"/>
                    <w:jc w:val="left"/>
                    <w:rPr>
                      <w:b/>
                    </w:rPr>
                  </w:pPr>
                  <w:r>
                    <w:rPr>
                      <w:b/>
                      <w:i/>
                    </w:rPr>
                    <w:t>N</w:t>
                  </w:r>
                  <w:r w:rsidRPr="00311A43">
                    <w:rPr>
                      <w:b/>
                      <w:i/>
                    </w:rPr>
                    <w:t>on</w:t>
                  </w:r>
                  <w:r w:rsidRPr="00311A43">
                    <w:rPr>
                      <w:b/>
                      <w:i/>
                    </w:rPr>
                    <w:noBreakHyphen/>
                    <w:t>market sector (4 industries)</w:t>
                  </w:r>
                </w:p>
              </w:tc>
            </w:tr>
            <w:tr w:rsidR="00EA2F47" w:rsidRPr="00727CB0" w14:paraId="49E93CF8" w14:textId="77777777" w:rsidTr="00A179D2">
              <w:tc>
                <w:tcPr>
                  <w:tcW w:w="2459" w:type="pct"/>
                  <w:tcBorders>
                    <w:right w:val="single" w:sz="48" w:space="0" w:color="F2F2F2"/>
                  </w:tcBorders>
                  <w:shd w:val="clear" w:color="auto" w:fill="E0F1F7" w:themeFill="text2" w:themeFillTint="33"/>
                </w:tcPr>
                <w:p w14:paraId="37C6250C" w14:textId="77777777" w:rsidR="00EA2F47" w:rsidRPr="00727CB0" w:rsidRDefault="00EA2F47" w:rsidP="00EA2F47">
                  <w:pPr>
                    <w:pStyle w:val="Box"/>
                    <w:spacing w:before="40" w:after="40"/>
                    <w:jc w:val="left"/>
                    <w:rPr>
                      <w:i/>
                    </w:rPr>
                  </w:pPr>
                  <w:r w:rsidRPr="00727CB0">
                    <w:t>Accommodation &amp; food services</w:t>
                  </w:r>
                </w:p>
              </w:tc>
              <w:tc>
                <w:tcPr>
                  <w:tcW w:w="2541" w:type="pct"/>
                  <w:tcBorders>
                    <w:top w:val="single" w:sz="12" w:space="0" w:color="FFFFFF" w:themeColor="background1"/>
                    <w:left w:val="single" w:sz="48" w:space="0" w:color="F2F2F2"/>
                  </w:tcBorders>
                  <w:shd w:val="clear" w:color="auto" w:fill="DBECCA" w:themeFill="accent2" w:themeFillTint="33"/>
                </w:tcPr>
                <w:p w14:paraId="47881061" w14:textId="77777777" w:rsidR="00EA2F47" w:rsidRPr="00727CB0" w:rsidRDefault="00EA2F47" w:rsidP="00EA2F47">
                  <w:pPr>
                    <w:pStyle w:val="Box"/>
                    <w:spacing w:before="40" w:after="40"/>
                    <w:jc w:val="left"/>
                  </w:pPr>
                  <w:r w:rsidRPr="00727CB0">
                    <w:t>Public administration &amp; safety</w:t>
                  </w:r>
                </w:p>
              </w:tc>
            </w:tr>
            <w:tr w:rsidR="00EA2F47" w:rsidRPr="00727CB0" w14:paraId="347835C2" w14:textId="77777777" w:rsidTr="00A179D2">
              <w:tc>
                <w:tcPr>
                  <w:tcW w:w="2459" w:type="pct"/>
                  <w:tcBorders>
                    <w:right w:val="single" w:sz="48" w:space="0" w:color="F2F2F2"/>
                  </w:tcBorders>
                  <w:shd w:val="clear" w:color="auto" w:fill="E0F1F7" w:themeFill="text2" w:themeFillTint="33"/>
                </w:tcPr>
                <w:p w14:paraId="13D4C6DF" w14:textId="77777777" w:rsidR="00EA2F47" w:rsidRPr="00727CB0" w:rsidRDefault="00EA2F47" w:rsidP="00EA2F47">
                  <w:pPr>
                    <w:pStyle w:val="Box"/>
                    <w:spacing w:before="40" w:after="40"/>
                    <w:jc w:val="left"/>
                    <w:rPr>
                      <w:i/>
                    </w:rPr>
                  </w:pPr>
                  <w:r w:rsidRPr="00727CB0">
                    <w:t>Transport, postal &amp; warehousing</w:t>
                  </w:r>
                </w:p>
              </w:tc>
              <w:tc>
                <w:tcPr>
                  <w:tcW w:w="2541" w:type="pct"/>
                  <w:tcBorders>
                    <w:left w:val="single" w:sz="48" w:space="0" w:color="F2F2F2"/>
                  </w:tcBorders>
                  <w:shd w:val="clear" w:color="auto" w:fill="DBECCA" w:themeFill="accent2" w:themeFillTint="33"/>
                </w:tcPr>
                <w:p w14:paraId="64DE0524" w14:textId="77777777" w:rsidR="00EA2F47" w:rsidRPr="00727CB0" w:rsidRDefault="00EA2F47" w:rsidP="00EA2F47">
                  <w:pPr>
                    <w:pStyle w:val="Box"/>
                    <w:spacing w:before="40" w:after="40"/>
                    <w:jc w:val="left"/>
                  </w:pPr>
                  <w:r w:rsidRPr="00727CB0">
                    <w:t>Education &amp; training</w:t>
                  </w:r>
                </w:p>
              </w:tc>
            </w:tr>
            <w:tr w:rsidR="00EA2F47" w:rsidRPr="00727CB0" w14:paraId="4D305997" w14:textId="77777777" w:rsidTr="00A179D2">
              <w:tc>
                <w:tcPr>
                  <w:tcW w:w="2459" w:type="pct"/>
                  <w:tcBorders>
                    <w:right w:val="single" w:sz="48" w:space="0" w:color="F2F2F2"/>
                  </w:tcBorders>
                  <w:shd w:val="clear" w:color="auto" w:fill="E0F1F7" w:themeFill="text2" w:themeFillTint="33"/>
                </w:tcPr>
                <w:p w14:paraId="02B31ABD" w14:textId="77777777" w:rsidR="00EA2F47" w:rsidRPr="00727CB0" w:rsidRDefault="00EA2F47" w:rsidP="00EA2F47">
                  <w:pPr>
                    <w:pStyle w:val="Box"/>
                    <w:spacing w:before="40" w:after="40"/>
                    <w:jc w:val="left"/>
                    <w:rPr>
                      <w:i/>
                    </w:rPr>
                  </w:pPr>
                  <w:r w:rsidRPr="00727CB0">
                    <w:t>Information media &amp; telecommunications</w:t>
                  </w:r>
                </w:p>
              </w:tc>
              <w:tc>
                <w:tcPr>
                  <w:tcW w:w="2541" w:type="pct"/>
                  <w:tcBorders>
                    <w:left w:val="single" w:sz="48" w:space="0" w:color="F2F2F2"/>
                  </w:tcBorders>
                  <w:shd w:val="clear" w:color="auto" w:fill="DBECCA" w:themeFill="accent2" w:themeFillTint="33"/>
                </w:tcPr>
                <w:p w14:paraId="2C156E2C" w14:textId="77777777" w:rsidR="00EA2F47" w:rsidRPr="00727CB0" w:rsidRDefault="00EA2F47" w:rsidP="00EA2F47">
                  <w:pPr>
                    <w:pStyle w:val="Box"/>
                    <w:spacing w:before="40" w:after="40"/>
                    <w:jc w:val="left"/>
                  </w:pPr>
                  <w:r w:rsidRPr="00727CB0">
                    <w:t>Health care &amp; social assistance</w:t>
                  </w:r>
                </w:p>
              </w:tc>
            </w:tr>
            <w:tr w:rsidR="00EA2F47" w:rsidRPr="00727CB0" w14:paraId="6BF290A0" w14:textId="77777777" w:rsidTr="00A179D2">
              <w:tc>
                <w:tcPr>
                  <w:tcW w:w="2459" w:type="pct"/>
                  <w:tcBorders>
                    <w:right w:val="single" w:sz="48" w:space="0" w:color="F2F2F2"/>
                  </w:tcBorders>
                  <w:shd w:val="clear" w:color="auto" w:fill="E0F1F7" w:themeFill="text2" w:themeFillTint="33"/>
                </w:tcPr>
                <w:p w14:paraId="52E9CAE6" w14:textId="77777777" w:rsidR="00EA2F47" w:rsidRPr="00727CB0" w:rsidRDefault="00EA2F47" w:rsidP="00EA2F47">
                  <w:pPr>
                    <w:pStyle w:val="Box"/>
                    <w:spacing w:before="40" w:after="40"/>
                    <w:jc w:val="left"/>
                    <w:rPr>
                      <w:i/>
                    </w:rPr>
                  </w:pPr>
                  <w:r w:rsidRPr="00727CB0">
                    <w:t>Financial &amp; insurance services</w:t>
                  </w:r>
                </w:p>
              </w:tc>
              <w:tc>
                <w:tcPr>
                  <w:tcW w:w="2541" w:type="pct"/>
                  <w:tcBorders>
                    <w:left w:val="single" w:sz="48" w:space="0" w:color="F2F2F2"/>
                  </w:tcBorders>
                  <w:shd w:val="clear" w:color="auto" w:fill="DBECCA" w:themeFill="accent2" w:themeFillTint="33"/>
                </w:tcPr>
                <w:p w14:paraId="6E19B99C" w14:textId="77777777" w:rsidR="00EA2F47" w:rsidRPr="00727CB0" w:rsidRDefault="00EA2F47" w:rsidP="00EA2F47">
                  <w:pPr>
                    <w:pStyle w:val="Box"/>
                    <w:spacing w:before="40" w:after="40"/>
                    <w:jc w:val="left"/>
                  </w:pPr>
                  <w:r w:rsidRPr="00727CB0">
                    <w:t>Ownership of dwellings</w:t>
                  </w:r>
                </w:p>
              </w:tc>
            </w:tr>
            <w:tr w:rsidR="00EA2F47" w:rsidRPr="00727CB0" w14:paraId="060C848C" w14:textId="77777777" w:rsidTr="00A179D2">
              <w:tc>
                <w:tcPr>
                  <w:tcW w:w="2459" w:type="pct"/>
                  <w:tcBorders>
                    <w:right w:val="single" w:sz="48" w:space="0" w:color="F2F2F2"/>
                  </w:tcBorders>
                  <w:shd w:val="clear" w:color="auto" w:fill="E0F1F7" w:themeFill="text2" w:themeFillTint="33"/>
                </w:tcPr>
                <w:p w14:paraId="53A34D2C" w14:textId="77777777" w:rsidR="00EA2F47" w:rsidRPr="00727CB0" w:rsidRDefault="00EA2F47" w:rsidP="00EA2F47">
                  <w:pPr>
                    <w:pStyle w:val="Box"/>
                    <w:spacing w:before="40" w:after="40"/>
                    <w:jc w:val="left"/>
                    <w:rPr>
                      <w:i/>
                    </w:rPr>
                  </w:pPr>
                  <w:r w:rsidRPr="00727CB0">
                    <w:t>Arts &amp; recreation services</w:t>
                  </w:r>
                </w:p>
              </w:tc>
              <w:tc>
                <w:tcPr>
                  <w:tcW w:w="2541" w:type="pct"/>
                  <w:tcBorders>
                    <w:left w:val="single" w:sz="48" w:space="0" w:color="F2F2F2"/>
                  </w:tcBorders>
                </w:tcPr>
                <w:p w14:paraId="3AD48559" w14:textId="77777777" w:rsidR="00EA2F47" w:rsidRPr="00727CB0" w:rsidRDefault="00EA2F47" w:rsidP="00EA2F47">
                  <w:pPr>
                    <w:pStyle w:val="Box"/>
                    <w:spacing w:before="40"/>
                    <w:jc w:val="left"/>
                  </w:pPr>
                </w:p>
              </w:tc>
            </w:tr>
          </w:tbl>
          <w:p w14:paraId="2945A0D7" w14:textId="77777777" w:rsidR="00D161FD" w:rsidRDefault="00D161FD" w:rsidP="00D161FD">
            <w:pPr>
              <w:pStyle w:val="Box"/>
            </w:pPr>
          </w:p>
        </w:tc>
      </w:tr>
      <w:tr w:rsidR="00D161FD" w14:paraId="1E48534D" w14:textId="77777777" w:rsidTr="00D161FD">
        <w:tc>
          <w:tcPr>
            <w:tcW w:w="5000" w:type="pct"/>
            <w:tcBorders>
              <w:top w:val="nil"/>
              <w:left w:val="nil"/>
              <w:bottom w:val="nil"/>
              <w:right w:val="nil"/>
            </w:tcBorders>
            <w:shd w:val="clear" w:color="auto" w:fill="F2F2F2"/>
          </w:tcPr>
          <w:p w14:paraId="55043A95" w14:textId="1753FF44" w:rsidR="00D161FD" w:rsidRDefault="00D161FD" w:rsidP="00D161FD">
            <w:pPr>
              <w:pStyle w:val="BoxSource"/>
            </w:pPr>
            <w:r>
              <w:rPr>
                <w:i/>
              </w:rPr>
              <w:t>Source</w:t>
            </w:r>
            <w:r w:rsidRPr="00167F06">
              <w:t xml:space="preserve">: </w:t>
            </w:r>
            <w:r>
              <w:t xml:space="preserve">ABS (2015, </w:t>
            </w:r>
            <w:r w:rsidRPr="00645E79">
              <w:rPr>
                <w:i/>
              </w:rPr>
              <w:t>Australian System of National Accounts</w:t>
            </w:r>
            <w:r>
              <w:rPr>
                <w:i/>
              </w:rPr>
              <w:t>:</w:t>
            </w:r>
            <w:r>
              <w:t xml:space="preserve"> </w:t>
            </w:r>
            <w:r w:rsidRPr="003959A7">
              <w:rPr>
                <w:i/>
              </w:rPr>
              <w:t>Concepts, Sources and Methods</w:t>
            </w:r>
            <w:r>
              <w:t xml:space="preserve">, </w:t>
            </w:r>
            <w:r w:rsidR="00EA2F47">
              <w:br/>
            </w:r>
            <w:r>
              <w:t>Cat.</w:t>
            </w:r>
            <w:r w:rsidR="000264BD">
              <w:t> </w:t>
            </w:r>
            <w:r>
              <w:t>no. 5216.0, pp. 427–28).</w:t>
            </w:r>
          </w:p>
        </w:tc>
      </w:tr>
      <w:tr w:rsidR="00D161FD" w14:paraId="28C79663" w14:textId="77777777" w:rsidTr="00D161FD">
        <w:tc>
          <w:tcPr>
            <w:tcW w:w="5000" w:type="pct"/>
            <w:tcBorders>
              <w:top w:val="nil"/>
              <w:left w:val="nil"/>
              <w:bottom w:val="single" w:sz="6" w:space="0" w:color="78A22F"/>
              <w:right w:val="nil"/>
            </w:tcBorders>
            <w:shd w:val="clear" w:color="auto" w:fill="F2F2F2"/>
          </w:tcPr>
          <w:p w14:paraId="57B07D66" w14:textId="77777777" w:rsidR="00D161FD" w:rsidRDefault="00D161FD" w:rsidP="00D161FD">
            <w:pPr>
              <w:pStyle w:val="Box"/>
              <w:spacing w:before="0" w:line="120" w:lineRule="exact"/>
            </w:pPr>
          </w:p>
        </w:tc>
      </w:tr>
      <w:tr w:rsidR="00D161FD" w:rsidRPr="000863A5" w14:paraId="54265D5E" w14:textId="77777777" w:rsidTr="00D161FD">
        <w:tc>
          <w:tcPr>
            <w:tcW w:w="5000" w:type="pct"/>
            <w:tcBorders>
              <w:top w:val="single" w:sz="6" w:space="0" w:color="78A22F"/>
              <w:left w:val="nil"/>
              <w:bottom w:val="nil"/>
              <w:right w:val="nil"/>
            </w:tcBorders>
          </w:tcPr>
          <w:p w14:paraId="0BE10FC3" w14:textId="77777777" w:rsidR="00D161FD" w:rsidRPr="00626D32" w:rsidRDefault="00D161FD" w:rsidP="00D161FD">
            <w:pPr>
              <w:pStyle w:val="BoxSpaceBelow"/>
            </w:pPr>
          </w:p>
        </w:tc>
      </w:tr>
    </w:tbl>
    <w:p w14:paraId="5ED8BB75" w14:textId="77777777" w:rsidR="00D161FD" w:rsidRDefault="005B22DD" w:rsidP="00D161FD">
      <w:pPr>
        <w:pStyle w:val="Heading2"/>
      </w:pPr>
      <w:bookmarkStart w:id="42" w:name="_Toc5127178"/>
      <w:bookmarkStart w:id="43" w:name="_Toc5636669"/>
      <w:bookmarkStart w:id="44" w:name="_Toc5690119"/>
      <w:proofErr w:type="spellStart"/>
      <w:r>
        <w:lastRenderedPageBreak/>
        <w:t>A.</w:t>
      </w:r>
      <w:r w:rsidR="007D6520">
        <w:t>2</w:t>
      </w:r>
      <w:proofErr w:type="spellEnd"/>
      <w:r>
        <w:tab/>
        <w:t>A</w:t>
      </w:r>
      <w:r w:rsidR="00753934">
        <w:t xml:space="preserve">ustralian data (chapters 1 to </w:t>
      </w:r>
      <w:r>
        <w:t>3</w:t>
      </w:r>
      <w:r w:rsidR="00D161FD">
        <w:t>)</w:t>
      </w:r>
      <w:bookmarkEnd w:id="42"/>
      <w:bookmarkEnd w:id="43"/>
      <w:bookmarkEnd w:id="44"/>
    </w:p>
    <w:p w14:paraId="3B9C6F51" w14:textId="5442C53C" w:rsidR="00213974" w:rsidRPr="00750AAB" w:rsidRDefault="00D161FD" w:rsidP="00D161FD">
      <w:pPr>
        <w:pStyle w:val="BodyText"/>
        <w:rPr>
          <w:spacing w:val="-4"/>
        </w:rPr>
      </w:pPr>
      <w:r w:rsidRPr="00750AAB">
        <w:rPr>
          <w:spacing w:val="-4"/>
        </w:rPr>
        <w:t xml:space="preserve">The primary source of productivity data — ABS </w:t>
      </w:r>
      <w:r w:rsidR="00C374EC" w:rsidRPr="00750AAB">
        <w:rPr>
          <w:spacing w:val="-4"/>
        </w:rPr>
        <w:t>(</w:t>
      </w:r>
      <w:hyperlink r:id="rId76" w:history="1">
        <w:r w:rsidRPr="00750AAB">
          <w:rPr>
            <w:rStyle w:val="Hyperlink"/>
            <w:i/>
            <w:color w:val="000000" w:themeColor="text1"/>
            <w:spacing w:val="-4"/>
            <w:u w:val="none"/>
          </w:rPr>
          <w:t>Estimates of Industry Multifactor Productivity</w:t>
        </w:r>
      </w:hyperlink>
      <w:r w:rsidR="00C374EC" w:rsidRPr="00750AAB">
        <w:rPr>
          <w:rStyle w:val="Hyperlink"/>
          <w:i/>
          <w:color w:val="000000" w:themeColor="text1"/>
          <w:spacing w:val="-4"/>
          <w:u w:val="none"/>
        </w:rPr>
        <w:t>, 2017</w:t>
      </w:r>
      <w:r w:rsidR="00C374EC" w:rsidRPr="00750AAB">
        <w:rPr>
          <w:rStyle w:val="Hyperlink"/>
          <w:i/>
          <w:color w:val="000000" w:themeColor="text1"/>
          <w:spacing w:val="-4"/>
          <w:u w:val="none"/>
        </w:rPr>
        <w:noBreakHyphen/>
        <w:t>18,</w:t>
      </w:r>
      <w:r w:rsidR="00C374EC" w:rsidRPr="00750AAB">
        <w:rPr>
          <w:color w:val="000000" w:themeColor="text1"/>
          <w:spacing w:val="-4"/>
        </w:rPr>
        <w:t xml:space="preserve"> </w:t>
      </w:r>
      <w:r w:rsidR="009B60FA" w:rsidRPr="00750AAB">
        <w:rPr>
          <w:color w:val="000000" w:themeColor="text1"/>
          <w:spacing w:val="-4"/>
        </w:rPr>
        <w:t>C</w:t>
      </w:r>
      <w:r w:rsidRPr="00750AAB">
        <w:rPr>
          <w:color w:val="000000" w:themeColor="text1"/>
          <w:spacing w:val="-4"/>
        </w:rPr>
        <w:t>at.</w:t>
      </w:r>
      <w:r w:rsidR="000264BD" w:rsidRPr="00750AAB">
        <w:rPr>
          <w:color w:val="000000" w:themeColor="text1"/>
          <w:spacing w:val="-4"/>
        </w:rPr>
        <w:t> </w:t>
      </w:r>
      <w:r w:rsidRPr="00750AAB">
        <w:rPr>
          <w:color w:val="000000" w:themeColor="text1"/>
          <w:spacing w:val="-4"/>
        </w:rPr>
        <w:t xml:space="preserve">no. 5260.0.55.002) — </w:t>
      </w:r>
      <w:r w:rsidRPr="00750AAB">
        <w:rPr>
          <w:spacing w:val="-4"/>
        </w:rPr>
        <w:t>focuses on industries in the market sector</w:t>
      </w:r>
      <w:r w:rsidR="008214A4" w:rsidRPr="00750AAB">
        <w:rPr>
          <w:spacing w:val="-4"/>
        </w:rPr>
        <w:t>, where prices are observable</w:t>
      </w:r>
      <w:r w:rsidRPr="00750AAB">
        <w:rPr>
          <w:spacing w:val="-4"/>
        </w:rPr>
        <w:t xml:space="preserve">. However, the </w:t>
      </w:r>
      <w:r w:rsidR="00E0146B" w:rsidRPr="00750AAB">
        <w:rPr>
          <w:spacing w:val="-4"/>
        </w:rPr>
        <w:t>economy-wide</w:t>
      </w:r>
      <w:r w:rsidRPr="00750AAB">
        <w:rPr>
          <w:spacing w:val="-4"/>
        </w:rPr>
        <w:t xml:space="preserve"> </w:t>
      </w:r>
      <w:r w:rsidR="00213974" w:rsidRPr="00750AAB">
        <w:rPr>
          <w:spacing w:val="-4"/>
        </w:rPr>
        <w:t>estimates</w:t>
      </w:r>
      <w:r w:rsidRPr="00750AAB">
        <w:rPr>
          <w:spacing w:val="-4"/>
        </w:rPr>
        <w:t xml:space="preserve"> of this </w:t>
      </w:r>
      <w:r w:rsidR="00B73A1C" w:rsidRPr="00750AAB">
        <w:rPr>
          <w:spacing w:val="-4"/>
        </w:rPr>
        <w:t>Bulletin</w:t>
      </w:r>
      <w:r w:rsidRPr="00750AAB">
        <w:rPr>
          <w:spacing w:val="-4"/>
        </w:rPr>
        <w:t xml:space="preserve"> requires data for </w:t>
      </w:r>
      <w:r w:rsidRPr="00750AAB">
        <w:rPr>
          <w:i/>
          <w:spacing w:val="-4"/>
        </w:rPr>
        <w:t>all</w:t>
      </w:r>
      <w:r w:rsidRPr="00750AAB">
        <w:rPr>
          <w:spacing w:val="-4"/>
        </w:rPr>
        <w:t xml:space="preserve"> industries in the Australian</w:t>
      </w:r>
      <w:r w:rsidR="008214A4" w:rsidRPr="00750AAB">
        <w:rPr>
          <w:spacing w:val="-4"/>
        </w:rPr>
        <w:t xml:space="preserve"> economy on a consistent basis. </w:t>
      </w:r>
      <w:r w:rsidRPr="00750AAB">
        <w:rPr>
          <w:spacing w:val="-4"/>
        </w:rPr>
        <w:t>Given</w:t>
      </w:r>
      <w:r w:rsidR="008214A4" w:rsidRPr="00750AAB">
        <w:rPr>
          <w:spacing w:val="-4"/>
        </w:rPr>
        <w:t xml:space="preserve"> this</w:t>
      </w:r>
      <w:r w:rsidRPr="00750AAB">
        <w:rPr>
          <w:spacing w:val="-4"/>
        </w:rPr>
        <w:t xml:space="preserve">, much of the data used in this </w:t>
      </w:r>
      <w:r w:rsidR="00B73A1C" w:rsidRPr="00750AAB">
        <w:rPr>
          <w:spacing w:val="-4"/>
        </w:rPr>
        <w:t>Bulletin</w:t>
      </w:r>
      <w:r w:rsidRPr="00750AAB">
        <w:rPr>
          <w:spacing w:val="-4"/>
        </w:rPr>
        <w:t xml:space="preserve"> is sourced </w:t>
      </w:r>
      <w:r w:rsidRPr="00750AAB">
        <w:rPr>
          <w:color w:val="000000" w:themeColor="text1"/>
          <w:spacing w:val="-4"/>
        </w:rPr>
        <w:t xml:space="preserve">directly from the </w:t>
      </w:r>
      <w:r w:rsidR="00BD3EF0" w:rsidRPr="00750AAB">
        <w:rPr>
          <w:color w:val="000000" w:themeColor="text1"/>
          <w:spacing w:val="-4"/>
        </w:rPr>
        <w:t xml:space="preserve">ABS </w:t>
      </w:r>
      <w:hyperlink r:id="rId77" w:history="1">
        <w:r w:rsidRPr="00750AAB">
          <w:rPr>
            <w:rStyle w:val="Hyperlink"/>
            <w:i/>
            <w:color w:val="000000" w:themeColor="text1"/>
            <w:spacing w:val="-4"/>
            <w:u w:val="none"/>
          </w:rPr>
          <w:t>Australian System of National Accounts</w:t>
        </w:r>
      </w:hyperlink>
      <w:r w:rsidRPr="00750AAB">
        <w:rPr>
          <w:color w:val="000000" w:themeColor="text1"/>
          <w:spacing w:val="-4"/>
        </w:rPr>
        <w:t xml:space="preserve"> (</w:t>
      </w:r>
      <w:r w:rsidR="001435B2" w:rsidRPr="00750AAB">
        <w:rPr>
          <w:color w:val="000000" w:themeColor="text1"/>
          <w:spacing w:val="-4"/>
        </w:rPr>
        <w:t>Cat</w:t>
      </w:r>
      <w:r w:rsidRPr="00750AAB">
        <w:rPr>
          <w:color w:val="000000" w:themeColor="text1"/>
          <w:spacing w:val="-4"/>
        </w:rPr>
        <w:t>.</w:t>
      </w:r>
      <w:r w:rsidR="000264BD" w:rsidRPr="00750AAB">
        <w:rPr>
          <w:color w:val="000000" w:themeColor="text1"/>
          <w:spacing w:val="-4"/>
        </w:rPr>
        <w:t> </w:t>
      </w:r>
      <w:r w:rsidRPr="00750AAB">
        <w:rPr>
          <w:color w:val="000000" w:themeColor="text1"/>
          <w:spacing w:val="-4"/>
        </w:rPr>
        <w:t>n</w:t>
      </w:r>
      <w:r w:rsidRPr="00750AAB">
        <w:rPr>
          <w:spacing w:val="-4"/>
        </w:rPr>
        <w:t>o. 5204.0)</w:t>
      </w:r>
      <w:r w:rsidR="008214A4" w:rsidRPr="00750AAB">
        <w:rPr>
          <w:spacing w:val="-4"/>
        </w:rPr>
        <w:t>,</w:t>
      </w:r>
      <w:r w:rsidRPr="00750AAB">
        <w:rPr>
          <w:spacing w:val="-4"/>
        </w:rPr>
        <w:t xml:space="preserve"> which cover all 20 industries in the Australian economy (box </w:t>
      </w:r>
      <w:proofErr w:type="spellStart"/>
      <w:r w:rsidR="00F74948" w:rsidRPr="00750AAB">
        <w:rPr>
          <w:spacing w:val="-4"/>
        </w:rPr>
        <w:t>A.1</w:t>
      </w:r>
      <w:proofErr w:type="spellEnd"/>
      <w:r w:rsidRPr="00750AAB">
        <w:rPr>
          <w:spacing w:val="-4"/>
        </w:rPr>
        <w:t>).</w:t>
      </w:r>
      <w:r w:rsidRPr="00750AAB">
        <w:rPr>
          <w:rStyle w:val="FootnoteReference"/>
          <w:spacing w:val="-4"/>
        </w:rPr>
        <w:footnoteReference w:id="17"/>
      </w:r>
    </w:p>
    <w:p w14:paraId="7B673AE8" w14:textId="2095712E" w:rsidR="00213974" w:rsidRPr="00D50BB9" w:rsidRDefault="00213974" w:rsidP="00D161FD">
      <w:pPr>
        <w:pStyle w:val="BodyText"/>
        <w:rPr>
          <w:spacing w:val="-2"/>
        </w:rPr>
      </w:pPr>
      <w:r w:rsidRPr="00D50BB9">
        <w:rPr>
          <w:spacing w:val="-2"/>
        </w:rPr>
        <w:t>There are several data challenges in estimating long</w:t>
      </w:r>
      <w:r w:rsidRPr="00D50BB9">
        <w:rPr>
          <w:spacing w:val="-2"/>
        </w:rPr>
        <w:noBreakHyphen/>
        <w:t xml:space="preserve">run </w:t>
      </w:r>
      <w:r w:rsidR="00E0146B">
        <w:rPr>
          <w:spacing w:val="-2"/>
        </w:rPr>
        <w:t>economy-wide</w:t>
      </w:r>
      <w:r w:rsidRPr="00D50BB9">
        <w:rPr>
          <w:spacing w:val="-2"/>
        </w:rPr>
        <w:t xml:space="preserve"> estimates</w:t>
      </w:r>
      <w:r w:rsidR="001B617D" w:rsidRPr="00D50BB9">
        <w:rPr>
          <w:spacing w:val="-2"/>
        </w:rPr>
        <w:t xml:space="preserve"> of productivity</w:t>
      </w:r>
      <w:r w:rsidRPr="00D50BB9">
        <w:rPr>
          <w:spacing w:val="-2"/>
        </w:rPr>
        <w:t>.</w:t>
      </w:r>
    </w:p>
    <w:p w14:paraId="424BD73C" w14:textId="77777777" w:rsidR="00D161FD" w:rsidRDefault="00AE71DB" w:rsidP="00D161FD">
      <w:pPr>
        <w:pStyle w:val="BodyText"/>
      </w:pPr>
      <w:r>
        <w:t>First, p</w:t>
      </w:r>
      <w:r w:rsidR="00213974">
        <w:t>ub</w:t>
      </w:r>
      <w:r>
        <w:t xml:space="preserve">lished data for some industries </w:t>
      </w:r>
      <w:r w:rsidR="00213974">
        <w:t xml:space="preserve">does not extend back to the same starting </w:t>
      </w:r>
      <w:r>
        <w:t>year</w:t>
      </w:r>
      <w:r w:rsidR="00213974">
        <w:t xml:space="preserve"> as other industries. This is particularly </w:t>
      </w:r>
      <w:r>
        <w:t xml:space="preserve">problematic </w:t>
      </w:r>
      <w:r w:rsidR="00213974">
        <w:t xml:space="preserve">for the four industries recently added by the ABS to </w:t>
      </w:r>
      <w:r>
        <w:t>the</w:t>
      </w:r>
      <w:r w:rsidR="00213974">
        <w:t xml:space="preserve"> market sector. </w:t>
      </w:r>
      <w:r>
        <w:t xml:space="preserve">Historical estimates for these industries are derived </w:t>
      </w:r>
      <w:r w:rsidR="00213974">
        <w:t xml:space="preserve">using the growth rates from a proxy series, typically the closest corresponding industry in an earlier published ABS series. Gabbitas and Salma (2016) provides a complete description of the </w:t>
      </w:r>
      <w:proofErr w:type="spellStart"/>
      <w:r w:rsidR="00213974">
        <w:t>backcasting</w:t>
      </w:r>
      <w:proofErr w:type="spellEnd"/>
      <w:r w:rsidR="00213974">
        <w:t xml:space="preserve"> approach, with its most important details set out below.</w:t>
      </w:r>
    </w:p>
    <w:p w14:paraId="728CE37F" w14:textId="77777777" w:rsidR="00D161FD" w:rsidRDefault="00AE71DB" w:rsidP="00D161FD">
      <w:pPr>
        <w:pStyle w:val="BodyText"/>
      </w:pPr>
      <w:r>
        <w:t xml:space="preserve">Second, </w:t>
      </w:r>
      <w:r w:rsidR="004F01CB">
        <w:t xml:space="preserve">the </w:t>
      </w:r>
      <w:r w:rsidR="004F01CB" w:rsidRPr="004F01CB">
        <w:t xml:space="preserve">ABS </w:t>
      </w:r>
      <w:r w:rsidR="001B617D">
        <w:t>does not publish any measure of capital services for the aggregate economy and the non</w:t>
      </w:r>
      <w:r w:rsidR="001B617D">
        <w:noBreakHyphen/>
        <w:t>market sector (but does do so for net capital stocks). Consequently, the Commission has estimated these capital services</w:t>
      </w:r>
      <w:r w:rsidR="00D161FD">
        <w:t xml:space="preserve"> to decompose labour productivity growth into the contributions made by capital deepening and multifactor productivity</w:t>
      </w:r>
      <w:r w:rsidR="001B617D">
        <w:t>.</w:t>
      </w:r>
      <w:r w:rsidR="00D161FD">
        <w:t xml:space="preserve"> </w:t>
      </w:r>
      <w:r w:rsidR="001B617D">
        <w:t>The method used to estimate capital inputs is described below.</w:t>
      </w:r>
      <w:r w:rsidR="001B617D" w:rsidRPr="007A5DC9" w:rsidDel="001B617D">
        <w:rPr>
          <w:rStyle w:val="FootnoteReference"/>
        </w:rPr>
        <w:t xml:space="preserve"> </w:t>
      </w:r>
    </w:p>
    <w:p w14:paraId="22008303" w14:textId="77777777" w:rsidR="00D161FD" w:rsidRPr="00D50BB9" w:rsidRDefault="00D161FD" w:rsidP="00D50BB9">
      <w:pPr>
        <w:pStyle w:val="Heading3"/>
        <w:spacing w:before="480"/>
        <w:rPr>
          <w:b w:val="0"/>
          <w:sz w:val="24"/>
          <w:szCs w:val="24"/>
        </w:rPr>
      </w:pPr>
      <w:r w:rsidRPr="00D50BB9">
        <w:rPr>
          <w:b w:val="0"/>
          <w:sz w:val="24"/>
          <w:szCs w:val="24"/>
        </w:rPr>
        <w:t>Output</w:t>
      </w:r>
    </w:p>
    <w:p w14:paraId="08AED7F2" w14:textId="77777777" w:rsidR="00D161FD" w:rsidRPr="00CA5A69" w:rsidRDefault="00D161FD" w:rsidP="00D161FD">
      <w:pPr>
        <w:pStyle w:val="BodyText"/>
      </w:pPr>
      <w:r>
        <w:t>Industry output is chain volume gross value added</w:t>
      </w:r>
      <w:r w:rsidR="00AE71DB">
        <w:t xml:space="preserve"> (</w:t>
      </w:r>
      <w:proofErr w:type="spellStart"/>
      <w:r w:rsidR="00AE71DB">
        <w:t>GVA</w:t>
      </w:r>
      <w:proofErr w:type="spellEnd"/>
      <w:r w:rsidR="00AE71DB">
        <w:t>)</w:t>
      </w:r>
      <w:r>
        <w:t>. It is published in the National Accounts for all industries back to 1974</w:t>
      </w:r>
      <w:r>
        <w:noBreakHyphen/>
        <w:t xml:space="preserve">75. </w:t>
      </w:r>
      <w:r w:rsidR="003017F2" w:rsidRPr="00BD3EF0">
        <w:t>Gross value added o</w:t>
      </w:r>
      <w:r w:rsidR="00207F79">
        <w:t>utput is Gross domestic product</w:t>
      </w:r>
      <w:r w:rsidR="003017F2" w:rsidRPr="00BD3EF0">
        <w:t xml:space="preserve"> less taxes less subsidies on products and </w:t>
      </w:r>
      <w:r w:rsidR="003017F2">
        <w:t>(in early years in the data</w:t>
      </w:r>
      <w:r w:rsidR="001435B2">
        <w:t xml:space="preserve"> and the latest year</w:t>
      </w:r>
      <w:r w:rsidR="003017F2">
        <w:t xml:space="preserve">) </w:t>
      </w:r>
      <w:r w:rsidR="003017F2" w:rsidRPr="00BD3EF0">
        <w:t xml:space="preserve">the </w:t>
      </w:r>
      <w:r w:rsidR="003017F2">
        <w:t>‘s</w:t>
      </w:r>
      <w:r w:rsidR="003017F2" w:rsidRPr="00BD3EF0">
        <w:t>tatistical discrepancy</w:t>
      </w:r>
      <w:r w:rsidR="003017F2">
        <w:t xml:space="preserve">’. The growth rates </w:t>
      </w:r>
      <w:r w:rsidR="0064655F">
        <w:t xml:space="preserve">of the </w:t>
      </w:r>
      <w:r w:rsidR="003017F2">
        <w:t xml:space="preserve">two </w:t>
      </w:r>
      <w:r w:rsidR="0064655F">
        <w:t>measures</w:t>
      </w:r>
      <w:r w:rsidR="003017F2">
        <w:t xml:space="preserve"> </w:t>
      </w:r>
      <w:r w:rsidR="0064655F">
        <w:t xml:space="preserve">are very close. In most instances, </w:t>
      </w:r>
      <w:r w:rsidR="00C6139F">
        <w:t xml:space="preserve">this </w:t>
      </w:r>
      <w:r w:rsidR="00B73A1C">
        <w:t>Bulletin</w:t>
      </w:r>
      <w:r w:rsidR="00C6139F">
        <w:t xml:space="preserve"> uses </w:t>
      </w:r>
      <w:proofErr w:type="spellStart"/>
      <w:r w:rsidR="00C6139F">
        <w:t>GVA</w:t>
      </w:r>
      <w:proofErr w:type="spellEnd"/>
      <w:r w:rsidR="00C6139F">
        <w:t xml:space="preserve"> as its measure of output (chapters</w:t>
      </w:r>
      <w:r w:rsidR="00D33627">
        <w:t> </w:t>
      </w:r>
      <w:r w:rsidR="00C6139F">
        <w:t xml:space="preserve">1 and 2). However, given its common usage in analysis of wage growth, GDP per hour is used </w:t>
      </w:r>
      <w:r w:rsidR="00A231E6">
        <w:t xml:space="preserve">to measure labour productivity </w:t>
      </w:r>
      <w:r w:rsidR="00C6139F">
        <w:t xml:space="preserve">in chapter 3. </w:t>
      </w:r>
    </w:p>
    <w:p w14:paraId="369F07D3" w14:textId="77777777" w:rsidR="00D161FD" w:rsidRPr="00D50BB9" w:rsidRDefault="00D161FD" w:rsidP="00D50BB9">
      <w:pPr>
        <w:pStyle w:val="Heading3"/>
        <w:spacing w:before="480"/>
        <w:rPr>
          <w:b w:val="0"/>
          <w:sz w:val="24"/>
          <w:szCs w:val="24"/>
        </w:rPr>
      </w:pPr>
      <w:r w:rsidRPr="00D50BB9">
        <w:rPr>
          <w:b w:val="0"/>
          <w:sz w:val="24"/>
          <w:szCs w:val="24"/>
        </w:rPr>
        <w:t>Labour inputs</w:t>
      </w:r>
    </w:p>
    <w:p w14:paraId="0DFC0A3D" w14:textId="77777777" w:rsidR="00D161FD" w:rsidRDefault="00D161FD" w:rsidP="00D161FD">
      <w:pPr>
        <w:pStyle w:val="BodyText"/>
      </w:pPr>
      <w:r>
        <w:t xml:space="preserve">The ABS does not publish the </w:t>
      </w:r>
      <w:r w:rsidR="00AE71DB">
        <w:t>number</w:t>
      </w:r>
      <w:r>
        <w:t xml:space="preserve"> of hours worked by each industry in the National Accounts or, for industries in the market sector, in </w:t>
      </w:r>
      <w:r w:rsidR="009B60FA">
        <w:t>its</w:t>
      </w:r>
      <w:r>
        <w:t xml:space="preserve"> </w:t>
      </w:r>
      <w:r w:rsidRPr="009B60FA">
        <w:rPr>
          <w:i/>
        </w:rPr>
        <w:t>Estimates of Industry Multifactor Productivity</w:t>
      </w:r>
      <w:r>
        <w:t>.</w:t>
      </w:r>
    </w:p>
    <w:p w14:paraId="19217ECF" w14:textId="77777777" w:rsidR="00D161FD" w:rsidRDefault="00D161FD" w:rsidP="00D161FD">
      <w:pPr>
        <w:pStyle w:val="BodyText"/>
      </w:pPr>
      <w:r>
        <w:lastRenderedPageBreak/>
        <w:t>Instead, the ABS publishes an index of hours worked for all industries in the National Accounts from 1985</w:t>
      </w:r>
      <w:r>
        <w:noBreakHyphen/>
        <w:t>86 to 2017</w:t>
      </w:r>
      <w:r>
        <w:noBreakHyphen/>
        <w:t>18. This series for each industry was extended back to 1974</w:t>
      </w:r>
      <w:r>
        <w:noBreakHyphen/>
        <w:t xml:space="preserve">75 using the growth rate in ABS hours worked data </w:t>
      </w:r>
      <w:r w:rsidR="00AE71DB">
        <w:t>for</w:t>
      </w:r>
      <w:r>
        <w:t xml:space="preserve"> the corresponding </w:t>
      </w:r>
      <w:proofErr w:type="spellStart"/>
      <w:r>
        <w:t>ANZSIC</w:t>
      </w:r>
      <w:proofErr w:type="spellEnd"/>
      <w:r>
        <w:t xml:space="preserve"> 1993 division supplied to the Commission</w:t>
      </w:r>
      <w:r w:rsidR="00AE71DB">
        <w:t xml:space="preserve"> by the ABS</w:t>
      </w:r>
      <w:r>
        <w:t>.</w:t>
      </w:r>
    </w:p>
    <w:p w14:paraId="350A8AF7" w14:textId="77777777" w:rsidR="00D161FD" w:rsidRPr="00076F3E" w:rsidRDefault="00D161FD" w:rsidP="00D161FD">
      <w:pPr>
        <w:pStyle w:val="BodyText"/>
        <w:rPr>
          <w:spacing w:val="-2"/>
        </w:rPr>
      </w:pPr>
      <w:r w:rsidRPr="00076F3E">
        <w:rPr>
          <w:spacing w:val="-2"/>
        </w:rPr>
        <w:t>To enable aggregation of these series, each index of industry hours worked was converted into the number of hours worked using a three step process. First, the number of hours worked in each industry in 2016</w:t>
      </w:r>
      <w:r w:rsidRPr="00076F3E">
        <w:rPr>
          <w:spacing w:val="-2"/>
        </w:rPr>
        <w:noBreakHyphen/>
        <w:t>17</w:t>
      </w:r>
      <w:r w:rsidR="00AE71DB" w:rsidRPr="00076F3E">
        <w:rPr>
          <w:spacing w:val="-2"/>
        </w:rPr>
        <w:t xml:space="preserve"> (</w:t>
      </w:r>
      <w:r w:rsidRPr="00076F3E">
        <w:rPr>
          <w:spacing w:val="-2"/>
        </w:rPr>
        <w:t>the reference year of the published index</w:t>
      </w:r>
      <w:r w:rsidR="00AE71DB" w:rsidRPr="00076F3E">
        <w:rPr>
          <w:spacing w:val="-2"/>
        </w:rPr>
        <w:t>)</w:t>
      </w:r>
      <w:r w:rsidRPr="00076F3E">
        <w:rPr>
          <w:spacing w:val="-2"/>
        </w:rPr>
        <w:t xml:space="preserve">, was calculated by using the published levels in ABS </w:t>
      </w:r>
      <w:r w:rsidRPr="00076F3E">
        <w:rPr>
          <w:i/>
          <w:spacing w:val="-2"/>
        </w:rPr>
        <w:t>Labour Force, Australia, Detailed, Quarterly</w:t>
      </w:r>
      <w:r w:rsidRPr="00076F3E">
        <w:rPr>
          <w:spacing w:val="-2"/>
        </w:rPr>
        <w:t xml:space="preserve"> (</w:t>
      </w:r>
      <w:r w:rsidR="009B60FA" w:rsidRPr="00076F3E">
        <w:rPr>
          <w:spacing w:val="-2"/>
        </w:rPr>
        <w:t>C</w:t>
      </w:r>
      <w:r w:rsidRPr="00076F3E">
        <w:rPr>
          <w:spacing w:val="-2"/>
        </w:rPr>
        <w:t>at.</w:t>
      </w:r>
      <w:r w:rsidR="00D11BF4" w:rsidRPr="00076F3E">
        <w:rPr>
          <w:spacing w:val="-2"/>
        </w:rPr>
        <w:t> </w:t>
      </w:r>
      <w:r w:rsidRPr="00076F3E">
        <w:rPr>
          <w:spacing w:val="-2"/>
        </w:rPr>
        <w:t>no. 6291.0.55.003). This required averaging of the four published quarterly values for hours worked per week for each industry to get a weekly average. Each weekly estimate was then scaled to give an annual estimate by multiplying by 52.14. Second, this level was applied to the published indexes for each industry to give the number of hours worked in each industry in each financial year. Third, the resulting estimate of hours worked in each industry was scaled proportionately to ensure that the total number of hours worked across the Australian economy aligned with the index published in the National Accounts in each year.</w:t>
      </w:r>
    </w:p>
    <w:p w14:paraId="7081EF4F" w14:textId="77777777" w:rsidR="00D161FD" w:rsidRPr="00D50BB9" w:rsidRDefault="00D161FD" w:rsidP="00D50BB9">
      <w:pPr>
        <w:pStyle w:val="Heading3"/>
        <w:spacing w:before="480"/>
        <w:rPr>
          <w:b w:val="0"/>
          <w:sz w:val="24"/>
          <w:szCs w:val="24"/>
        </w:rPr>
      </w:pPr>
      <w:r w:rsidRPr="00D50BB9">
        <w:rPr>
          <w:b w:val="0"/>
          <w:sz w:val="24"/>
          <w:szCs w:val="24"/>
        </w:rPr>
        <w:t>Capital inputs</w:t>
      </w:r>
    </w:p>
    <w:p w14:paraId="43C691C6" w14:textId="1FF0B0D4" w:rsidR="00D161FD" w:rsidRPr="00A1352C" w:rsidRDefault="00D161FD" w:rsidP="00D161FD">
      <w:pPr>
        <w:pStyle w:val="BodyText"/>
        <w:rPr>
          <w:color w:val="000000" w:themeColor="text1"/>
        </w:rPr>
      </w:pPr>
      <w:r>
        <w:t xml:space="preserve">For the 16 industries that comprise the expanded ABS market sector, the capital inputs are from </w:t>
      </w:r>
      <w:r w:rsidR="00BD3EF0">
        <w:t xml:space="preserve">the </w:t>
      </w:r>
      <w:r w:rsidRPr="00A1352C">
        <w:rPr>
          <w:color w:val="000000" w:themeColor="text1"/>
        </w:rPr>
        <w:t>ABS</w:t>
      </w:r>
      <w:r w:rsidRPr="00753934">
        <w:rPr>
          <w:color w:val="000000" w:themeColor="text1"/>
        </w:rPr>
        <w:t xml:space="preserve"> </w:t>
      </w:r>
      <w:hyperlink r:id="rId78" w:history="1">
        <w:r w:rsidRPr="00753934">
          <w:rPr>
            <w:rStyle w:val="Hyperlink"/>
            <w:i/>
            <w:color w:val="000000" w:themeColor="text1"/>
            <w:u w:val="none"/>
          </w:rPr>
          <w:t>Estimates of Industry Multifactor Productivity</w:t>
        </w:r>
      </w:hyperlink>
      <w:r w:rsidRPr="00A1352C">
        <w:rPr>
          <w:color w:val="000000" w:themeColor="text1"/>
        </w:rPr>
        <w:t xml:space="preserve"> (</w:t>
      </w:r>
      <w:r w:rsidR="001435B2">
        <w:rPr>
          <w:color w:val="000000" w:themeColor="text1"/>
        </w:rPr>
        <w:t>C</w:t>
      </w:r>
      <w:r w:rsidR="001435B2" w:rsidRPr="00A1352C">
        <w:rPr>
          <w:color w:val="000000" w:themeColor="text1"/>
        </w:rPr>
        <w:t>at</w:t>
      </w:r>
      <w:r w:rsidRPr="00A1352C">
        <w:rPr>
          <w:color w:val="000000" w:themeColor="text1"/>
        </w:rPr>
        <w:t>.</w:t>
      </w:r>
      <w:r w:rsidR="00450617">
        <w:rPr>
          <w:color w:val="000000" w:themeColor="text1"/>
        </w:rPr>
        <w:t> </w:t>
      </w:r>
      <w:r w:rsidRPr="00A1352C">
        <w:rPr>
          <w:color w:val="000000" w:themeColor="text1"/>
        </w:rPr>
        <w:t>no. 5260.0.55.002).</w:t>
      </w:r>
    </w:p>
    <w:p w14:paraId="33D33E4F" w14:textId="77777777" w:rsidR="00D161FD" w:rsidRDefault="00BA4854" w:rsidP="00D161FD">
      <w:pPr>
        <w:pStyle w:val="BodyText"/>
      </w:pPr>
      <w:r>
        <w:t>As noted above, t</w:t>
      </w:r>
      <w:r w:rsidR="002F2DC8" w:rsidRPr="00BD3EF0">
        <w:t xml:space="preserve">he ABS does not publish a measure of capital services </w:t>
      </w:r>
      <w:r w:rsidRPr="00BD3EF0">
        <w:t>for the non</w:t>
      </w:r>
      <w:r>
        <w:noBreakHyphen/>
      </w:r>
      <w:r w:rsidRPr="00BD3EF0">
        <w:t xml:space="preserve">market sector </w:t>
      </w:r>
      <w:r>
        <w:t>and</w:t>
      </w:r>
      <w:r w:rsidR="002F2DC8" w:rsidRPr="00BD3EF0">
        <w:t xml:space="preserve"> the economy as a whole</w:t>
      </w:r>
      <w:r w:rsidR="00F5271C">
        <w:t xml:space="preserve">. </w:t>
      </w:r>
      <w:r w:rsidR="00F5271C">
        <w:rPr>
          <w:color w:val="000000" w:themeColor="text1"/>
        </w:rPr>
        <w:t>Instead</w:t>
      </w:r>
      <w:r w:rsidR="002F2DC8">
        <w:rPr>
          <w:color w:val="000000" w:themeColor="text1"/>
        </w:rPr>
        <w:t>, the growth in c</w:t>
      </w:r>
      <w:r w:rsidR="00D161FD" w:rsidRPr="00A1352C">
        <w:rPr>
          <w:color w:val="000000" w:themeColor="text1"/>
        </w:rPr>
        <w:t xml:space="preserve">apital inputs for </w:t>
      </w:r>
      <w:r w:rsidR="00D161FD">
        <w:t xml:space="preserve">the remaining four industries — </w:t>
      </w:r>
      <w:r w:rsidR="00D161FD" w:rsidRPr="00610B83">
        <w:rPr>
          <w:i/>
        </w:rPr>
        <w:t>public administration &amp; safety</w:t>
      </w:r>
      <w:r w:rsidR="00D161FD">
        <w:t xml:space="preserve">, </w:t>
      </w:r>
      <w:r w:rsidR="00D161FD" w:rsidRPr="00610B83">
        <w:rPr>
          <w:i/>
        </w:rPr>
        <w:t>education &amp; training</w:t>
      </w:r>
      <w:r w:rsidR="00D161FD" w:rsidRPr="00610B83">
        <w:t>,</w:t>
      </w:r>
      <w:r w:rsidR="00D161FD">
        <w:t xml:space="preserve"> </w:t>
      </w:r>
      <w:r w:rsidR="00D161FD" w:rsidRPr="00610B83">
        <w:rPr>
          <w:i/>
        </w:rPr>
        <w:t>health care &amp; social assistance</w:t>
      </w:r>
      <w:r w:rsidR="00D161FD">
        <w:t xml:space="preserve"> and </w:t>
      </w:r>
      <w:r w:rsidR="00D161FD" w:rsidRPr="00610B83">
        <w:rPr>
          <w:i/>
        </w:rPr>
        <w:t>ownership of dwellings</w:t>
      </w:r>
      <w:r w:rsidR="00D161FD">
        <w:rPr>
          <w:i/>
        </w:rPr>
        <w:t xml:space="preserve"> — </w:t>
      </w:r>
      <w:r w:rsidR="002F2DC8">
        <w:t xml:space="preserve">are </w:t>
      </w:r>
      <w:proofErr w:type="spellStart"/>
      <w:r w:rsidR="002F2DC8">
        <w:t>proxied</w:t>
      </w:r>
      <w:proofErr w:type="spellEnd"/>
      <w:r w:rsidR="002F2DC8">
        <w:t xml:space="preserve"> by the</w:t>
      </w:r>
      <w:r w:rsidR="00D161FD">
        <w:t xml:space="preserve"> growth in their respective net capital stocks published in the National Accounts</w:t>
      </w:r>
      <w:r w:rsidR="002F2DC8">
        <w:t>,</w:t>
      </w:r>
      <w:r w:rsidR="00D161FD">
        <w:t xml:space="preserve"> adjusted to include the additional asset classes that form part of the ABS productivity capital stocks (land, ownership transfer costs and inventories).</w:t>
      </w:r>
      <w:r w:rsidR="00F5271C" w:rsidRPr="007A5DC9">
        <w:rPr>
          <w:rStyle w:val="FootnoteReference"/>
        </w:rPr>
        <w:footnoteReference w:id="18"/>
      </w:r>
    </w:p>
    <w:p w14:paraId="4A0A2D52" w14:textId="77777777" w:rsidR="00D161FD" w:rsidRDefault="00D161FD" w:rsidP="00D161FD">
      <w:pPr>
        <w:pStyle w:val="BodyText"/>
      </w:pPr>
      <w:r>
        <w:t>All of the industry capital input aggregations reported are the average of the industry growth</w:t>
      </w:r>
      <w:r w:rsidR="003017F2">
        <w:t xml:space="preserve"> rates</w:t>
      </w:r>
      <w:r>
        <w:t xml:space="preserve"> weighted </w:t>
      </w:r>
      <w:r w:rsidR="003017F2">
        <w:t>by</w:t>
      </w:r>
      <w:r>
        <w:t xml:space="preserve"> their capital income share (technically, their rental value)</w:t>
      </w:r>
      <w:r w:rsidR="003017F2">
        <w:t xml:space="preserve">, which is the same </w:t>
      </w:r>
      <w:r>
        <w:t>methodology</w:t>
      </w:r>
      <w:r w:rsidR="003017F2">
        <w:t xml:space="preserve"> used by the ABS</w:t>
      </w:r>
      <w:r>
        <w:t>.</w:t>
      </w:r>
    </w:p>
    <w:p w14:paraId="03798DB7" w14:textId="77777777" w:rsidR="00D161FD" w:rsidRPr="00D50BB9" w:rsidRDefault="00D161FD" w:rsidP="00D50BB9">
      <w:pPr>
        <w:pStyle w:val="Heading3"/>
        <w:spacing w:before="480"/>
        <w:rPr>
          <w:b w:val="0"/>
          <w:sz w:val="24"/>
          <w:szCs w:val="24"/>
        </w:rPr>
      </w:pPr>
      <w:r w:rsidRPr="00D50BB9">
        <w:rPr>
          <w:b w:val="0"/>
          <w:sz w:val="24"/>
          <w:szCs w:val="24"/>
        </w:rPr>
        <w:t>Labour productivity growth</w:t>
      </w:r>
    </w:p>
    <w:p w14:paraId="693E60AC" w14:textId="77777777" w:rsidR="00D161FD" w:rsidRPr="008406F5" w:rsidRDefault="00D161FD" w:rsidP="00D161FD">
      <w:pPr>
        <w:pStyle w:val="BodyText"/>
      </w:pPr>
      <w:r>
        <w:t>Labour productivity growth is the growth in output less the growth in labour inputs.</w:t>
      </w:r>
    </w:p>
    <w:p w14:paraId="190F935C" w14:textId="77777777" w:rsidR="00D161FD" w:rsidRPr="00D50BB9" w:rsidRDefault="00D161FD" w:rsidP="00D50BB9">
      <w:pPr>
        <w:pStyle w:val="Heading3"/>
        <w:spacing w:before="480"/>
        <w:rPr>
          <w:b w:val="0"/>
          <w:sz w:val="24"/>
          <w:szCs w:val="24"/>
        </w:rPr>
      </w:pPr>
      <w:r w:rsidRPr="00D50BB9">
        <w:rPr>
          <w:b w:val="0"/>
          <w:sz w:val="24"/>
          <w:szCs w:val="24"/>
        </w:rPr>
        <w:lastRenderedPageBreak/>
        <w:t>Contributions to labour productivity growth</w:t>
      </w:r>
    </w:p>
    <w:p w14:paraId="0594E0FB" w14:textId="77777777" w:rsidR="00D161FD" w:rsidRDefault="003017F2" w:rsidP="00D161FD">
      <w:pPr>
        <w:pStyle w:val="BodyText"/>
      </w:pPr>
      <w:r>
        <w:t>In line with the ABS approach, t</w:t>
      </w:r>
      <w:r w:rsidR="00D161FD">
        <w:t xml:space="preserve">he contribution </w:t>
      </w:r>
      <w:r>
        <w:t xml:space="preserve">of capital deepening </w:t>
      </w:r>
      <w:r w:rsidR="00D161FD">
        <w:t>to labour productivity growth is calculated as the growth in the capital–labour ratio for each industry multiplied by the two</w:t>
      </w:r>
      <w:r w:rsidR="00D161FD">
        <w:noBreakHyphen/>
        <w:t>period average capital income share, where the growth in the capital–labour ratio is the growth in capital inputs less the growth in labour inputs.</w:t>
      </w:r>
    </w:p>
    <w:p w14:paraId="3B87A545" w14:textId="77777777" w:rsidR="00D161FD" w:rsidRDefault="00D161FD" w:rsidP="00D161FD">
      <w:pPr>
        <w:pStyle w:val="BodyText"/>
      </w:pPr>
      <w:r>
        <w:t>The capital income shares exclude the impl</w:t>
      </w:r>
      <w:r w:rsidR="00D11BF4">
        <w:t xml:space="preserve">ied labour incomes of the </w:t>
      </w:r>
      <w:r>
        <w:t>self</w:t>
      </w:r>
      <w:r>
        <w:noBreakHyphen/>
        <w:t>employed, which forms part of gross mixed income published by the ABS.</w:t>
      </w:r>
      <w:r w:rsidRPr="007A5DC9">
        <w:rPr>
          <w:rStyle w:val="FootnoteReference"/>
        </w:rPr>
        <w:footnoteReference w:id="19"/>
      </w:r>
      <w:r>
        <w:t xml:space="preserve"> This imputed labour income is derived using the difference between the published capital income shares for each industry that exclude the imputed labour income and those derived from the published factor income components that do not. This process is outlined in Gabbitas and Salma </w:t>
      </w:r>
      <w:r w:rsidR="004A036D" w:rsidRPr="004A036D">
        <w:t>(2016)</w:t>
      </w:r>
      <w:r>
        <w:t>.</w:t>
      </w:r>
    </w:p>
    <w:p w14:paraId="5DDC28B9" w14:textId="77777777" w:rsidR="00D161FD" w:rsidRDefault="00D161FD" w:rsidP="00D161FD">
      <w:pPr>
        <w:pStyle w:val="BodyText"/>
      </w:pPr>
      <w:r>
        <w:t>The contribution from multifactor productivity is residually calculated as labour productivity growth not accounted for by capital deepening.</w:t>
      </w:r>
    </w:p>
    <w:p w14:paraId="6213272F" w14:textId="77777777" w:rsidR="00BD3EF0" w:rsidRPr="00D50BB9" w:rsidRDefault="00BD3EF0" w:rsidP="00D50BB9">
      <w:pPr>
        <w:pStyle w:val="Heading3"/>
        <w:spacing w:before="480"/>
        <w:rPr>
          <w:b w:val="0"/>
          <w:sz w:val="24"/>
          <w:szCs w:val="24"/>
        </w:rPr>
      </w:pPr>
      <w:r w:rsidRPr="00D50BB9">
        <w:rPr>
          <w:b w:val="0"/>
          <w:sz w:val="24"/>
          <w:szCs w:val="24"/>
        </w:rPr>
        <w:t>A note on business cycles</w:t>
      </w:r>
    </w:p>
    <w:p w14:paraId="13D31815" w14:textId="77777777" w:rsidR="00F12C1D" w:rsidRDefault="00F662F4" w:rsidP="00D161FD">
      <w:pPr>
        <w:pStyle w:val="BodyText"/>
      </w:pPr>
      <w:r>
        <w:t xml:space="preserve">In general, productivity growth rates </w:t>
      </w:r>
      <w:r w:rsidR="00F12C1D">
        <w:t>are</w:t>
      </w:r>
      <w:r>
        <w:t xml:space="preserve"> calculated </w:t>
      </w:r>
      <w:r w:rsidR="00A231E6">
        <w:t xml:space="preserve">between productivity </w:t>
      </w:r>
      <w:r>
        <w:t xml:space="preserve">peaks </w:t>
      </w:r>
      <w:r w:rsidR="00A231E6">
        <w:t>(referred to as ‘</w:t>
      </w:r>
      <w:r>
        <w:t xml:space="preserve">a </w:t>
      </w:r>
      <w:r w:rsidR="00A231E6">
        <w:t xml:space="preserve">productivity </w:t>
      </w:r>
      <w:r>
        <w:t>cycle</w:t>
      </w:r>
      <w:r w:rsidR="00A231E6">
        <w:t>’)</w:t>
      </w:r>
      <w:r>
        <w:t xml:space="preserve">, </w:t>
      </w:r>
      <w:r w:rsidR="00F12C1D">
        <w:t xml:space="preserve">though it is common to use the most recent year as the end point for the </w:t>
      </w:r>
      <w:r w:rsidR="00A231E6">
        <w:t xml:space="preserve">current incomplete </w:t>
      </w:r>
      <w:r w:rsidR="00F12C1D">
        <w:t xml:space="preserve">cycle. </w:t>
      </w:r>
      <w:r w:rsidR="00536A3E">
        <w:t>The last complete cycle was from 2003</w:t>
      </w:r>
      <w:r w:rsidR="00536A3E">
        <w:noBreakHyphen/>
        <w:t>04 to 2011</w:t>
      </w:r>
      <w:r w:rsidR="00536A3E">
        <w:noBreakHyphen/>
        <w:t xml:space="preserve">12, and productivity estimates for this period are used throughout this </w:t>
      </w:r>
      <w:r w:rsidR="00B73A1C">
        <w:t>Bulletin</w:t>
      </w:r>
      <w:r w:rsidR="00536A3E">
        <w:t xml:space="preserve">. </w:t>
      </w:r>
      <w:r w:rsidR="00F12C1D">
        <w:t xml:space="preserve">The last (incomplete) cycle in ABS productivity data is </w:t>
      </w:r>
      <w:r w:rsidR="00536A3E">
        <w:t xml:space="preserve">from </w:t>
      </w:r>
      <w:r w:rsidR="00F12C1D">
        <w:t>2011</w:t>
      </w:r>
      <w:r w:rsidR="00F12C1D">
        <w:noBreakHyphen/>
        <w:t>12 to 2017</w:t>
      </w:r>
      <w:r w:rsidR="00F12C1D">
        <w:noBreakHyphen/>
        <w:t xml:space="preserve">18, and is </w:t>
      </w:r>
      <w:r w:rsidR="00536A3E">
        <w:t xml:space="preserve">also </w:t>
      </w:r>
      <w:r w:rsidR="00F12C1D">
        <w:t xml:space="preserve">used in this </w:t>
      </w:r>
      <w:r w:rsidR="00B73A1C">
        <w:t>Bulletin</w:t>
      </w:r>
      <w:r w:rsidR="00F12C1D">
        <w:t xml:space="preserve"> and </w:t>
      </w:r>
      <w:r w:rsidR="00F30FED">
        <w:t xml:space="preserve">by </w:t>
      </w:r>
      <w:r w:rsidR="00F12C1D">
        <w:t>the ABS</w:t>
      </w:r>
      <w:r w:rsidR="00F30FED">
        <w:t xml:space="preserve"> in its reporting of recent trends</w:t>
      </w:r>
      <w:r w:rsidR="00F12C1D">
        <w:t>. Since output growth has been relatively strong in 2017</w:t>
      </w:r>
      <w:r w:rsidR="00F12C1D">
        <w:noBreakHyphen/>
        <w:t xml:space="preserve">18, the use of an incomplete cycle is unlikely to bias estimates of recent productivity trends. </w:t>
      </w:r>
    </w:p>
    <w:p w14:paraId="244FA796" w14:textId="77777777" w:rsidR="00F662F4" w:rsidRPr="00076F3E" w:rsidRDefault="00BD3EF0" w:rsidP="00D161FD">
      <w:pPr>
        <w:pStyle w:val="BodyText"/>
        <w:rPr>
          <w:spacing w:val="-2"/>
        </w:rPr>
      </w:pPr>
      <w:r w:rsidRPr="00076F3E">
        <w:rPr>
          <w:spacing w:val="-2"/>
        </w:rPr>
        <w:t xml:space="preserve">The ABS indicates that the business cycle in the </w:t>
      </w:r>
      <w:proofErr w:type="spellStart"/>
      <w:r w:rsidRPr="00076F3E">
        <w:rPr>
          <w:spacing w:val="-2"/>
        </w:rPr>
        <w:t>1970s</w:t>
      </w:r>
      <w:proofErr w:type="spellEnd"/>
      <w:r w:rsidRPr="00076F3E">
        <w:rPr>
          <w:spacing w:val="-2"/>
        </w:rPr>
        <w:t xml:space="preserve"> </w:t>
      </w:r>
      <w:r w:rsidR="00536A3E" w:rsidRPr="00076F3E">
        <w:rPr>
          <w:spacing w:val="-2"/>
        </w:rPr>
        <w:t>began</w:t>
      </w:r>
      <w:r w:rsidRPr="00076F3E">
        <w:rPr>
          <w:spacing w:val="-2"/>
        </w:rPr>
        <w:t xml:space="preserve"> with 1973</w:t>
      </w:r>
      <w:r w:rsidRPr="00076F3E">
        <w:rPr>
          <w:spacing w:val="-2"/>
        </w:rPr>
        <w:noBreakHyphen/>
        <w:t>74, but data for this year are not available for all of the industries in the 16</w:t>
      </w:r>
      <w:r w:rsidR="003017F2" w:rsidRPr="00076F3E">
        <w:rPr>
          <w:spacing w:val="-2"/>
        </w:rPr>
        <w:noBreakHyphen/>
      </w:r>
      <w:r w:rsidRPr="00076F3E">
        <w:rPr>
          <w:spacing w:val="-2"/>
        </w:rPr>
        <w:t>industry market sector or the economy as a whole. Consequently, the growth rates are calculated from the 1974</w:t>
      </w:r>
      <w:r w:rsidRPr="00076F3E">
        <w:rPr>
          <w:spacing w:val="-2"/>
        </w:rPr>
        <w:noBreakHyphen/>
        <w:t xml:space="preserve">75 index value. </w:t>
      </w:r>
      <w:r w:rsidR="003017F2" w:rsidRPr="00076F3E">
        <w:rPr>
          <w:spacing w:val="-2"/>
        </w:rPr>
        <w:t xml:space="preserve">This makes little difference. </w:t>
      </w:r>
      <w:r w:rsidRPr="00076F3E">
        <w:rPr>
          <w:spacing w:val="-2"/>
        </w:rPr>
        <w:t>Data for 12 selected industries in the market sector, which extends back further, show that</w:t>
      </w:r>
      <w:r w:rsidR="00DC61F1" w:rsidRPr="00076F3E">
        <w:rPr>
          <w:spacing w:val="-2"/>
        </w:rPr>
        <w:t xml:space="preserve"> the average growth rate for the full cycle from 1973</w:t>
      </w:r>
      <w:r w:rsidR="00DC61F1" w:rsidRPr="00076F3E">
        <w:rPr>
          <w:spacing w:val="-2"/>
        </w:rPr>
        <w:noBreakHyphen/>
        <w:t>74 to 2017</w:t>
      </w:r>
      <w:r w:rsidR="00DC61F1" w:rsidRPr="00076F3E">
        <w:rPr>
          <w:spacing w:val="-2"/>
        </w:rPr>
        <w:noBreakHyphen/>
        <w:t>18 was 2.23 per cent, while it was 2.21 per cent for 1974</w:t>
      </w:r>
      <w:r w:rsidR="00DC61F1" w:rsidRPr="00076F3E">
        <w:rPr>
          <w:spacing w:val="-2"/>
        </w:rPr>
        <w:noBreakHyphen/>
        <w:t>75 to 2017</w:t>
      </w:r>
      <w:r w:rsidR="00DC61F1" w:rsidRPr="00076F3E">
        <w:rPr>
          <w:spacing w:val="-2"/>
        </w:rPr>
        <w:noBreakHyphen/>
        <w:t>18</w:t>
      </w:r>
      <w:r w:rsidR="003017F2" w:rsidRPr="00076F3E">
        <w:rPr>
          <w:spacing w:val="-2"/>
        </w:rPr>
        <w:t xml:space="preserve"> — a negligible</w:t>
      </w:r>
      <w:r w:rsidR="00DC61F1" w:rsidRPr="00076F3E">
        <w:rPr>
          <w:spacing w:val="-2"/>
        </w:rPr>
        <w:t xml:space="preserve"> </w:t>
      </w:r>
      <w:r w:rsidRPr="00076F3E">
        <w:rPr>
          <w:spacing w:val="-2"/>
        </w:rPr>
        <w:t>differenc</w:t>
      </w:r>
      <w:r w:rsidR="00DC61F1" w:rsidRPr="00076F3E">
        <w:rPr>
          <w:spacing w:val="-2"/>
        </w:rPr>
        <w:t>e</w:t>
      </w:r>
      <w:r w:rsidRPr="00076F3E">
        <w:rPr>
          <w:spacing w:val="-2"/>
        </w:rPr>
        <w:t>.</w:t>
      </w:r>
    </w:p>
    <w:p w14:paraId="1EDCE3AF" w14:textId="77777777" w:rsidR="00D161FD" w:rsidRDefault="005B22DD" w:rsidP="00D161FD">
      <w:pPr>
        <w:pStyle w:val="Heading2"/>
      </w:pPr>
      <w:bookmarkStart w:id="45" w:name="_Toc5127179"/>
      <w:bookmarkStart w:id="46" w:name="_Toc5636670"/>
      <w:bookmarkStart w:id="47" w:name="_Toc5690120"/>
      <w:proofErr w:type="spellStart"/>
      <w:r>
        <w:t>A.</w:t>
      </w:r>
      <w:r w:rsidR="007D6520">
        <w:t>3</w:t>
      </w:r>
      <w:proofErr w:type="spellEnd"/>
      <w:r>
        <w:tab/>
      </w:r>
      <w:r w:rsidR="00D161FD">
        <w:t xml:space="preserve">International </w:t>
      </w:r>
      <w:r w:rsidR="00753934">
        <w:t>data (chapter 4</w:t>
      </w:r>
      <w:r w:rsidR="00D161FD">
        <w:t>)</w:t>
      </w:r>
      <w:bookmarkEnd w:id="45"/>
      <w:bookmarkEnd w:id="46"/>
      <w:bookmarkEnd w:id="47"/>
    </w:p>
    <w:p w14:paraId="1B178146" w14:textId="77777777" w:rsidR="00D161FD" w:rsidRDefault="00D161FD" w:rsidP="00D161FD">
      <w:pPr>
        <w:pStyle w:val="BodyText"/>
      </w:pPr>
      <w:r>
        <w:t xml:space="preserve">International productivity comparisons require a common metric that adjusts for the different currencies used in each economy. They should also take into account differences </w:t>
      </w:r>
      <w:r w:rsidR="00E84EB7">
        <w:t>in the extent to which a country’s production levels translate into</w:t>
      </w:r>
      <w:r>
        <w:t xml:space="preserve"> </w:t>
      </w:r>
      <w:r w:rsidR="00E84EB7">
        <w:t>consumers’ purchasing capacity</w:t>
      </w:r>
      <w:r>
        <w:t xml:space="preserve">, </w:t>
      </w:r>
      <w:r>
        <w:lastRenderedPageBreak/>
        <w:t xml:space="preserve">as higher prices effectively reduce the purchasing power of local production. </w:t>
      </w:r>
      <w:r w:rsidR="00E84EB7">
        <w:t>‘Purchasing power parity’ (PPP) adjustments to output and productivity addresses such price differences</w:t>
      </w:r>
      <w:r>
        <w:t>.</w:t>
      </w:r>
    </w:p>
    <w:p w14:paraId="6FC725F4" w14:textId="77777777" w:rsidR="00D161FD" w:rsidRDefault="00D161FD" w:rsidP="00D161FD">
      <w:pPr>
        <w:pStyle w:val="BodyText"/>
      </w:pPr>
      <w:r>
        <w:t>The international c</w:t>
      </w:r>
      <w:r w:rsidR="00E84EB7">
        <w:t>omparisons presented in chapter 4</w:t>
      </w:r>
      <w:r>
        <w:t xml:space="preserve"> are </w:t>
      </w:r>
      <w:r w:rsidR="00E84EB7">
        <w:t xml:space="preserve">largely </w:t>
      </w:r>
      <w:r>
        <w:t xml:space="preserve">based on productivity </w:t>
      </w:r>
      <w:r w:rsidR="00E84EB7">
        <w:t xml:space="preserve">estimates produced by the </w:t>
      </w:r>
      <w:r w:rsidRPr="00787F05">
        <w:t>Organisation for Economic Co</w:t>
      </w:r>
      <w:r>
        <w:noBreakHyphen/>
      </w:r>
      <w:r w:rsidRPr="00787F05">
        <w:t>operation and Development</w:t>
      </w:r>
      <w:r>
        <w:t xml:space="preserve"> (OECD)</w:t>
      </w:r>
      <w:r w:rsidR="00E84EB7">
        <w:t xml:space="preserve"> and sourced from the </w:t>
      </w:r>
      <w:proofErr w:type="spellStart"/>
      <w:r w:rsidR="00E84EB7" w:rsidRPr="001E4E3A">
        <w:rPr>
          <w:i/>
        </w:rPr>
        <w:t>OECD.Stats</w:t>
      </w:r>
      <w:proofErr w:type="spellEnd"/>
      <w:r w:rsidR="00E84EB7">
        <w:t xml:space="preserve"> </w:t>
      </w:r>
      <w:proofErr w:type="spellStart"/>
      <w:r w:rsidR="00E84EB7">
        <w:t>on</w:t>
      </w:r>
      <w:r w:rsidR="00E84EB7">
        <w:noBreakHyphen/>
        <w:t>line</w:t>
      </w:r>
      <w:proofErr w:type="spellEnd"/>
      <w:r w:rsidR="00E84EB7">
        <w:t xml:space="preserve"> database</w:t>
      </w:r>
      <w:r>
        <w:t xml:space="preserve">. </w:t>
      </w:r>
      <w:r w:rsidR="00291471">
        <w:t>T</w:t>
      </w:r>
      <w:r>
        <w:t xml:space="preserve">hese data </w:t>
      </w:r>
      <w:r w:rsidR="00291471">
        <w:t>have three advantages</w:t>
      </w:r>
      <w:r>
        <w:t>:</w:t>
      </w:r>
    </w:p>
    <w:p w14:paraId="46080570" w14:textId="77777777" w:rsidR="00D161FD" w:rsidRDefault="00D161FD" w:rsidP="00D161FD">
      <w:pPr>
        <w:pStyle w:val="ListNumber"/>
      </w:pPr>
      <w:r>
        <w:t>as far as possible, they have been standardised across countries</w:t>
      </w:r>
    </w:p>
    <w:p w14:paraId="3CC58702" w14:textId="77777777" w:rsidR="00D161FD" w:rsidRDefault="00D161FD" w:rsidP="00D161FD">
      <w:pPr>
        <w:pStyle w:val="ListNumber"/>
      </w:pPr>
      <w:r>
        <w:t xml:space="preserve">the constant price GDP and wages data adjust for differences in purchasing power across countries </w:t>
      </w:r>
      <w:r w:rsidR="00823FDE">
        <w:t>for a given base year. Values for other years are extrapolated using each country’s constant price measures of GDP</w:t>
      </w:r>
    </w:p>
    <w:p w14:paraId="00D93218" w14:textId="77777777" w:rsidR="00D161FD" w:rsidRDefault="00D161FD" w:rsidP="00D161FD">
      <w:pPr>
        <w:pStyle w:val="ListNumber"/>
      </w:pPr>
      <w:r>
        <w:t>they can be linked to other economic data (such as population, employment and labour market data) to enable a richer story to be told.</w:t>
      </w:r>
    </w:p>
    <w:p w14:paraId="27637872" w14:textId="77777777" w:rsidR="00D700DC" w:rsidRDefault="00D161FD" w:rsidP="00120072">
      <w:pPr>
        <w:pStyle w:val="BodyText"/>
      </w:pPr>
      <w:r>
        <w:t xml:space="preserve">The OECD data cover </w:t>
      </w:r>
      <w:r w:rsidR="00D700DC">
        <w:t>its 36</w:t>
      </w:r>
      <w:r>
        <w:t xml:space="preserve"> </w:t>
      </w:r>
      <w:r w:rsidR="00D700DC">
        <w:t xml:space="preserve">members and </w:t>
      </w:r>
      <w:r>
        <w:t>tw</w:t>
      </w:r>
      <w:r w:rsidR="00D54214">
        <w:t>o</w:t>
      </w:r>
      <w:r>
        <w:t xml:space="preserve"> non</w:t>
      </w:r>
      <w:r>
        <w:noBreakHyphen/>
        <w:t xml:space="preserve">OECD </w:t>
      </w:r>
      <w:r w:rsidR="00D700DC">
        <w:t>countries</w:t>
      </w:r>
      <w:r>
        <w:t xml:space="preserve"> (Russia and South Africa)</w:t>
      </w:r>
      <w:r w:rsidR="00D700DC">
        <w:t xml:space="preserve">. Most of the international comparisons </w:t>
      </w:r>
      <w:r w:rsidR="00913144">
        <w:t xml:space="preserve">in this </w:t>
      </w:r>
      <w:r w:rsidR="00B73A1C">
        <w:t>Bulletin</w:t>
      </w:r>
      <w:r w:rsidR="00913144">
        <w:t xml:space="preserve"> </w:t>
      </w:r>
      <w:r w:rsidR="00D700DC">
        <w:t xml:space="preserve">concentrate on the </w:t>
      </w:r>
      <w:proofErr w:type="spellStart"/>
      <w:r w:rsidR="00D700DC">
        <w:t>G7</w:t>
      </w:r>
      <w:proofErr w:type="spellEnd"/>
      <w:r w:rsidR="00076F3E">
        <w:t> </w:t>
      </w:r>
      <w:r w:rsidR="00D700DC">
        <w:t>economies, Australia, New Zealand and the Netherlands. This removes a variety of countries that are either not at the same level of economic development (primarily Eastern European countries, Turkey, Mexico and Chile), are similar to those included anyway, or have other differences that make them weak comparators (as in oil</w:t>
      </w:r>
      <w:r w:rsidR="00D700DC">
        <w:noBreakHyphen/>
        <w:t>rich Norway). As much as it would have been desirable to use the OECD data for Austr</w:t>
      </w:r>
      <w:r w:rsidR="00C563C8">
        <w:t>alia, the Commission found year</w:t>
      </w:r>
      <w:r w:rsidR="00C563C8">
        <w:noBreakHyphen/>
        <w:t>on</w:t>
      </w:r>
      <w:r w:rsidR="00C563C8">
        <w:noBreakHyphen/>
      </w:r>
      <w:r w:rsidR="00D700DC">
        <w:t>year growth rates in key OECD measures were not consistent with official ABS data (though long</w:t>
      </w:r>
      <w:r w:rsidR="00D700DC">
        <w:noBreakHyphen/>
        <w:t>term trends were generally well</w:t>
      </w:r>
      <w:r w:rsidR="00D700DC">
        <w:noBreakHyphen/>
        <w:t>aligned). Given this, the Commission has adapted the OECD data for Australia, using the OECD’s latest PPP</w:t>
      </w:r>
      <w:r w:rsidR="00D700DC">
        <w:noBreakHyphen/>
        <w:t xml:space="preserve">adjusted level of productivity, and </w:t>
      </w:r>
      <w:proofErr w:type="spellStart"/>
      <w:r w:rsidR="00D700DC">
        <w:t>backcasting</w:t>
      </w:r>
      <w:proofErr w:type="spellEnd"/>
      <w:r w:rsidR="00D700DC">
        <w:t xml:space="preserve"> using ABS growth rates. The reasons for the discrepancies </w:t>
      </w:r>
      <w:r w:rsidR="00C563C8">
        <w:t>are</w:t>
      </w:r>
      <w:r w:rsidR="00D700DC">
        <w:t xml:space="preserve"> being investigated further.</w:t>
      </w:r>
    </w:p>
    <w:p w14:paraId="2E1069F5" w14:textId="77777777" w:rsidR="00D161FD" w:rsidRDefault="00291471" w:rsidP="00120072">
      <w:pPr>
        <w:pStyle w:val="BodyText"/>
      </w:pPr>
      <w:r>
        <w:t>In addition</w:t>
      </w:r>
      <w:r w:rsidR="00D700DC">
        <w:t xml:space="preserve"> to the above global data</w:t>
      </w:r>
      <w:r>
        <w:t xml:space="preserve">, the Commission has used the Conference Board’s Total Economy Database </w:t>
      </w:r>
      <w:r w:rsidR="00A231E6">
        <w:t xml:space="preserve">(TED) </w:t>
      </w:r>
      <w:r>
        <w:t>for analysis that extends back further in time, though generally the OECD data is preferred.</w:t>
      </w:r>
    </w:p>
    <w:p w14:paraId="46BDB85A" w14:textId="77777777" w:rsidR="00280ED3" w:rsidRDefault="00280ED3" w:rsidP="00120072">
      <w:pPr>
        <w:pStyle w:val="BodyText"/>
      </w:pPr>
    </w:p>
    <w:p w14:paraId="77563CCE" w14:textId="77777777" w:rsidR="00280ED3" w:rsidRDefault="00280ED3" w:rsidP="00120072">
      <w:pPr>
        <w:pStyle w:val="BodyText"/>
        <w:sectPr w:rsidR="00280ED3" w:rsidSect="00474A19">
          <w:headerReference w:type="even" r:id="rId79"/>
          <w:headerReference w:type="default" r:id="rId80"/>
          <w:footerReference w:type="even" r:id="rId81"/>
          <w:footerReference w:type="default" r:id="rId82"/>
          <w:type w:val="oddPage"/>
          <w:pgSz w:w="11907" w:h="16840" w:code="9"/>
          <w:pgMar w:top="1985" w:right="1304" w:bottom="1247" w:left="1814" w:header="1701" w:footer="397" w:gutter="0"/>
          <w:pgNumType w:chapStyle="1" w:chapSep="period"/>
          <w:cols w:space="720"/>
        </w:sectPr>
      </w:pPr>
    </w:p>
    <w:p w14:paraId="4267A6C4" w14:textId="77777777" w:rsidR="00D434A0" w:rsidRDefault="00D161FD" w:rsidP="00D161FD">
      <w:pPr>
        <w:pStyle w:val="Heading1"/>
      </w:pPr>
      <w:bookmarkStart w:id="48" w:name="_Toc5636671"/>
      <w:bookmarkStart w:id="49" w:name="_Toc5690121"/>
      <w:r>
        <w:lastRenderedPageBreak/>
        <w:t>References</w:t>
      </w:r>
      <w:bookmarkEnd w:id="48"/>
      <w:bookmarkEnd w:id="49"/>
    </w:p>
    <w:p w14:paraId="1D7597D4" w14:textId="6FBC6BA3" w:rsidR="00D76048" w:rsidRPr="00076F3E" w:rsidRDefault="00D76048" w:rsidP="00D4400D">
      <w:pPr>
        <w:pStyle w:val="Reference"/>
        <w:rPr>
          <w:spacing w:val="-2"/>
          <w:sz w:val="22"/>
          <w:szCs w:val="22"/>
        </w:rPr>
      </w:pPr>
      <w:r w:rsidRPr="00076F3E">
        <w:rPr>
          <w:spacing w:val="-2"/>
          <w:sz w:val="22"/>
          <w:szCs w:val="22"/>
        </w:rPr>
        <w:t xml:space="preserve">ABS (Australian Bureau of Statistics) 2016, </w:t>
      </w:r>
      <w:r w:rsidRPr="00076F3E">
        <w:rPr>
          <w:i/>
          <w:iCs/>
          <w:spacing w:val="-2"/>
          <w:sz w:val="22"/>
          <w:szCs w:val="22"/>
        </w:rPr>
        <w:t>Australian System of National Accounts: Concepts, Sources and Methods, 2015</w:t>
      </w:r>
      <w:r w:rsidRPr="00076F3E">
        <w:rPr>
          <w:spacing w:val="-2"/>
          <w:sz w:val="22"/>
          <w:szCs w:val="22"/>
        </w:rPr>
        <w:t>, Cat.</w:t>
      </w:r>
      <w:r w:rsidR="00981F8A">
        <w:rPr>
          <w:spacing w:val="-2"/>
          <w:sz w:val="22"/>
          <w:szCs w:val="22"/>
        </w:rPr>
        <w:t> </w:t>
      </w:r>
      <w:r w:rsidRPr="00076F3E">
        <w:rPr>
          <w:spacing w:val="-2"/>
          <w:sz w:val="22"/>
          <w:szCs w:val="22"/>
        </w:rPr>
        <w:t>no.</w:t>
      </w:r>
      <w:r w:rsidR="00651076" w:rsidRPr="00076F3E">
        <w:rPr>
          <w:spacing w:val="-2"/>
          <w:sz w:val="22"/>
          <w:szCs w:val="22"/>
        </w:rPr>
        <w:t> </w:t>
      </w:r>
      <w:r w:rsidRPr="00076F3E">
        <w:rPr>
          <w:spacing w:val="-2"/>
          <w:sz w:val="22"/>
          <w:szCs w:val="22"/>
        </w:rPr>
        <w:t>5216.0 2015</w:t>
      </w:r>
      <w:r w:rsidR="00651076" w:rsidRPr="00076F3E">
        <w:rPr>
          <w:spacing w:val="-2"/>
          <w:sz w:val="22"/>
          <w:szCs w:val="22"/>
        </w:rPr>
        <w:t>, Canberra</w:t>
      </w:r>
      <w:r w:rsidRPr="00076F3E">
        <w:rPr>
          <w:spacing w:val="-2"/>
          <w:sz w:val="22"/>
          <w:szCs w:val="22"/>
        </w:rPr>
        <w:t>.</w:t>
      </w:r>
    </w:p>
    <w:p w14:paraId="434E65B3" w14:textId="2A7A3604"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2018a</w:t>
      </w:r>
      <w:proofErr w:type="spellEnd"/>
      <w:r w:rsidRPr="00076F3E">
        <w:rPr>
          <w:spacing w:val="-2"/>
          <w:sz w:val="22"/>
          <w:szCs w:val="22"/>
        </w:rPr>
        <w:t xml:space="preserve">, </w:t>
      </w:r>
      <w:r w:rsidRPr="00076F3E">
        <w:rPr>
          <w:i/>
          <w:iCs/>
          <w:spacing w:val="-2"/>
          <w:sz w:val="22"/>
          <w:szCs w:val="22"/>
        </w:rPr>
        <w:t xml:space="preserve">Feature Article </w:t>
      </w:r>
      <w:r w:rsidR="001D523C" w:rsidRPr="00076F3E">
        <w:rPr>
          <w:i/>
          <w:iCs/>
          <w:spacing w:val="-2"/>
          <w:sz w:val="22"/>
          <w:szCs w:val="22"/>
        </w:rPr>
        <w:t>—</w:t>
      </w:r>
      <w:r w:rsidRPr="00076F3E">
        <w:rPr>
          <w:i/>
          <w:iCs/>
          <w:spacing w:val="-2"/>
          <w:sz w:val="22"/>
          <w:szCs w:val="22"/>
        </w:rPr>
        <w:t xml:space="preserve"> Trends in the Labour Income Share in Australia</w:t>
      </w:r>
      <w:r w:rsidRPr="00076F3E">
        <w:rPr>
          <w:spacing w:val="-2"/>
          <w:sz w:val="22"/>
          <w:szCs w:val="22"/>
        </w:rPr>
        <w:t>, Feature Article, Cat.</w:t>
      </w:r>
      <w:r w:rsidR="00981F8A">
        <w:rPr>
          <w:spacing w:val="-2"/>
          <w:sz w:val="22"/>
          <w:szCs w:val="22"/>
        </w:rPr>
        <w:t> </w:t>
      </w:r>
      <w:r w:rsidRPr="00076F3E">
        <w:rPr>
          <w:spacing w:val="-2"/>
          <w:sz w:val="22"/>
          <w:szCs w:val="22"/>
        </w:rPr>
        <w:t>no.</w:t>
      </w:r>
      <w:r w:rsidR="00651076" w:rsidRPr="00076F3E">
        <w:rPr>
          <w:spacing w:val="-2"/>
          <w:sz w:val="22"/>
          <w:szCs w:val="22"/>
        </w:rPr>
        <w:t> </w:t>
      </w:r>
      <w:r w:rsidRPr="00076F3E">
        <w:rPr>
          <w:spacing w:val="-2"/>
          <w:sz w:val="22"/>
          <w:szCs w:val="22"/>
        </w:rPr>
        <w:t>5260.0.55.002, Canberra.</w:t>
      </w:r>
    </w:p>
    <w:p w14:paraId="31A05B05" w14:textId="2D76FD36"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2018b</w:t>
      </w:r>
      <w:proofErr w:type="spellEnd"/>
      <w:r w:rsidRPr="00076F3E">
        <w:rPr>
          <w:spacing w:val="-2"/>
          <w:sz w:val="22"/>
          <w:szCs w:val="22"/>
        </w:rPr>
        <w:t xml:space="preserve">, </w:t>
      </w:r>
      <w:r w:rsidRPr="00076F3E">
        <w:rPr>
          <w:i/>
          <w:iCs/>
          <w:spacing w:val="-2"/>
          <w:sz w:val="22"/>
          <w:szCs w:val="22"/>
        </w:rPr>
        <w:t>Participation, Job Search and Mobility, Australia, 2018</w:t>
      </w:r>
      <w:r w:rsidRPr="00076F3E">
        <w:rPr>
          <w:spacing w:val="-2"/>
          <w:sz w:val="22"/>
          <w:szCs w:val="22"/>
        </w:rPr>
        <w:t>, Cat.</w:t>
      </w:r>
      <w:r w:rsidR="00981F8A">
        <w:rPr>
          <w:spacing w:val="-2"/>
          <w:sz w:val="22"/>
          <w:szCs w:val="22"/>
        </w:rPr>
        <w:t> </w:t>
      </w:r>
      <w:r w:rsidRPr="00076F3E">
        <w:rPr>
          <w:spacing w:val="-2"/>
          <w:sz w:val="22"/>
          <w:szCs w:val="22"/>
        </w:rPr>
        <w:t>no.</w:t>
      </w:r>
      <w:r w:rsidR="00651076" w:rsidRPr="00076F3E">
        <w:rPr>
          <w:spacing w:val="-2"/>
          <w:sz w:val="22"/>
          <w:szCs w:val="22"/>
        </w:rPr>
        <w:t> </w:t>
      </w:r>
      <w:r w:rsidRPr="00076F3E">
        <w:rPr>
          <w:spacing w:val="-2"/>
          <w:sz w:val="22"/>
          <w:szCs w:val="22"/>
        </w:rPr>
        <w:t>6226.0, Canberra.</w:t>
      </w:r>
    </w:p>
    <w:p w14:paraId="6FD0A43B" w14:textId="48DCDE94"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2019a</w:t>
      </w:r>
      <w:proofErr w:type="spellEnd"/>
      <w:r w:rsidRPr="00076F3E">
        <w:rPr>
          <w:spacing w:val="-2"/>
          <w:sz w:val="22"/>
          <w:szCs w:val="22"/>
        </w:rPr>
        <w:t xml:space="preserve">, </w:t>
      </w:r>
      <w:r w:rsidRPr="00076F3E">
        <w:rPr>
          <w:i/>
          <w:iCs/>
          <w:spacing w:val="-2"/>
          <w:sz w:val="22"/>
          <w:szCs w:val="22"/>
        </w:rPr>
        <w:t>Job Vacancies, Australia, November 1018</w:t>
      </w:r>
      <w:r w:rsidRPr="00076F3E">
        <w:rPr>
          <w:spacing w:val="-2"/>
          <w:sz w:val="22"/>
          <w:szCs w:val="22"/>
        </w:rPr>
        <w:t>, Cat.</w:t>
      </w:r>
      <w:r w:rsidR="00981F8A">
        <w:rPr>
          <w:spacing w:val="-2"/>
          <w:sz w:val="22"/>
          <w:szCs w:val="22"/>
        </w:rPr>
        <w:t> </w:t>
      </w:r>
      <w:r w:rsidRPr="00076F3E">
        <w:rPr>
          <w:spacing w:val="-2"/>
          <w:sz w:val="22"/>
          <w:szCs w:val="22"/>
        </w:rPr>
        <w:t>no.</w:t>
      </w:r>
      <w:r w:rsidR="00651076" w:rsidRPr="00076F3E">
        <w:rPr>
          <w:spacing w:val="-2"/>
          <w:sz w:val="22"/>
          <w:szCs w:val="22"/>
        </w:rPr>
        <w:t> </w:t>
      </w:r>
      <w:r w:rsidRPr="00076F3E">
        <w:rPr>
          <w:spacing w:val="-2"/>
          <w:sz w:val="22"/>
          <w:szCs w:val="22"/>
        </w:rPr>
        <w:t>6354.0, Canberra.</w:t>
      </w:r>
    </w:p>
    <w:p w14:paraId="32396E56" w14:textId="5C53A510"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2019b</w:t>
      </w:r>
      <w:proofErr w:type="spellEnd"/>
      <w:r w:rsidRPr="00076F3E">
        <w:rPr>
          <w:spacing w:val="-2"/>
          <w:sz w:val="22"/>
          <w:szCs w:val="22"/>
        </w:rPr>
        <w:t xml:space="preserve">, </w:t>
      </w:r>
      <w:r w:rsidRPr="00076F3E">
        <w:rPr>
          <w:i/>
          <w:iCs/>
          <w:spacing w:val="-2"/>
          <w:sz w:val="22"/>
          <w:szCs w:val="22"/>
        </w:rPr>
        <w:t>Labour Force, Australia, Jan 2019,</w:t>
      </w:r>
      <w:r w:rsidRPr="00076F3E">
        <w:rPr>
          <w:spacing w:val="-2"/>
          <w:sz w:val="22"/>
          <w:szCs w:val="22"/>
        </w:rPr>
        <w:t xml:space="preserve"> Cat.</w:t>
      </w:r>
      <w:r w:rsidR="00981F8A">
        <w:rPr>
          <w:spacing w:val="-2"/>
          <w:sz w:val="22"/>
          <w:szCs w:val="22"/>
        </w:rPr>
        <w:t> </w:t>
      </w:r>
      <w:r w:rsidRPr="00076F3E">
        <w:rPr>
          <w:spacing w:val="-2"/>
          <w:sz w:val="22"/>
          <w:szCs w:val="22"/>
        </w:rPr>
        <w:t>no.</w:t>
      </w:r>
      <w:r w:rsidR="00651076" w:rsidRPr="00076F3E">
        <w:rPr>
          <w:spacing w:val="-2"/>
          <w:sz w:val="22"/>
          <w:szCs w:val="22"/>
        </w:rPr>
        <w:t> </w:t>
      </w:r>
      <w:r w:rsidRPr="00076F3E">
        <w:rPr>
          <w:spacing w:val="-2"/>
          <w:sz w:val="22"/>
          <w:szCs w:val="22"/>
        </w:rPr>
        <w:t>6202.0, Canberra.</w:t>
      </w:r>
    </w:p>
    <w:p w14:paraId="604A994E" w14:textId="0FF033BA"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2019c</w:t>
      </w:r>
      <w:proofErr w:type="spellEnd"/>
      <w:r w:rsidRPr="00076F3E">
        <w:rPr>
          <w:spacing w:val="-2"/>
          <w:sz w:val="22"/>
          <w:szCs w:val="22"/>
        </w:rPr>
        <w:t xml:space="preserve">, </w:t>
      </w:r>
      <w:r w:rsidRPr="00076F3E">
        <w:rPr>
          <w:i/>
          <w:iCs/>
          <w:spacing w:val="-2"/>
          <w:sz w:val="22"/>
          <w:szCs w:val="22"/>
        </w:rPr>
        <w:t>Selected Living Cost Indexes, Australia, Dec 2018</w:t>
      </w:r>
      <w:r w:rsidRPr="00076F3E">
        <w:rPr>
          <w:spacing w:val="-2"/>
          <w:sz w:val="22"/>
          <w:szCs w:val="22"/>
        </w:rPr>
        <w:t>, Cat.</w:t>
      </w:r>
      <w:r w:rsidR="00981F8A">
        <w:rPr>
          <w:spacing w:val="-2"/>
          <w:sz w:val="22"/>
          <w:szCs w:val="22"/>
        </w:rPr>
        <w:t> </w:t>
      </w:r>
      <w:r w:rsidRPr="00076F3E">
        <w:rPr>
          <w:spacing w:val="-2"/>
          <w:sz w:val="22"/>
          <w:szCs w:val="22"/>
        </w:rPr>
        <w:t>no. 6467.0, Canberra.</w:t>
      </w:r>
    </w:p>
    <w:p w14:paraId="28E82ACA" w14:textId="77777777" w:rsidR="00D76048" w:rsidRPr="00076F3E" w:rsidRDefault="00D76048" w:rsidP="00D4400D">
      <w:pPr>
        <w:pStyle w:val="Reference"/>
        <w:rPr>
          <w:spacing w:val="-2"/>
          <w:sz w:val="22"/>
          <w:szCs w:val="22"/>
        </w:rPr>
      </w:pPr>
      <w:r w:rsidRPr="00076F3E">
        <w:rPr>
          <w:spacing w:val="-2"/>
          <w:sz w:val="22"/>
          <w:szCs w:val="22"/>
        </w:rPr>
        <w:t xml:space="preserve">Adler, G., Duval, R.A., </w:t>
      </w:r>
      <w:proofErr w:type="spellStart"/>
      <w:r w:rsidRPr="00076F3E">
        <w:rPr>
          <w:spacing w:val="-2"/>
          <w:sz w:val="22"/>
          <w:szCs w:val="22"/>
        </w:rPr>
        <w:t>Furceri</w:t>
      </w:r>
      <w:proofErr w:type="spellEnd"/>
      <w:r w:rsidRPr="00076F3E">
        <w:rPr>
          <w:spacing w:val="-2"/>
          <w:sz w:val="22"/>
          <w:szCs w:val="22"/>
        </w:rPr>
        <w:t xml:space="preserve">, D., </w:t>
      </w:r>
      <w:proofErr w:type="spellStart"/>
      <w:r w:rsidRPr="00076F3E">
        <w:rPr>
          <w:spacing w:val="-2"/>
          <w:sz w:val="22"/>
          <w:szCs w:val="22"/>
        </w:rPr>
        <w:t>Çelik</w:t>
      </w:r>
      <w:proofErr w:type="spellEnd"/>
      <w:r w:rsidRPr="00076F3E">
        <w:rPr>
          <w:spacing w:val="-2"/>
          <w:sz w:val="22"/>
          <w:szCs w:val="22"/>
        </w:rPr>
        <w:t xml:space="preserve">, </w:t>
      </w:r>
      <w:proofErr w:type="spellStart"/>
      <w:r w:rsidRPr="00076F3E">
        <w:rPr>
          <w:spacing w:val="-2"/>
          <w:sz w:val="22"/>
          <w:szCs w:val="22"/>
        </w:rPr>
        <w:t>S.K</w:t>
      </w:r>
      <w:proofErr w:type="spellEnd"/>
      <w:r w:rsidRPr="00076F3E">
        <w:rPr>
          <w:spacing w:val="-2"/>
          <w:sz w:val="22"/>
          <w:szCs w:val="22"/>
        </w:rPr>
        <w:t xml:space="preserve">., </w:t>
      </w:r>
      <w:proofErr w:type="spellStart"/>
      <w:r w:rsidRPr="00076F3E">
        <w:rPr>
          <w:spacing w:val="-2"/>
          <w:sz w:val="22"/>
          <w:szCs w:val="22"/>
        </w:rPr>
        <w:t>Koloskova</w:t>
      </w:r>
      <w:proofErr w:type="spellEnd"/>
      <w:r w:rsidRPr="00076F3E">
        <w:rPr>
          <w:spacing w:val="-2"/>
          <w:sz w:val="22"/>
          <w:szCs w:val="22"/>
        </w:rPr>
        <w:t xml:space="preserve">, K. and Ribeiro, </w:t>
      </w:r>
      <w:proofErr w:type="spellStart"/>
      <w:r w:rsidRPr="00076F3E">
        <w:rPr>
          <w:spacing w:val="-2"/>
          <w:sz w:val="22"/>
          <w:szCs w:val="22"/>
        </w:rPr>
        <w:t>M.P</w:t>
      </w:r>
      <w:proofErr w:type="spellEnd"/>
      <w:r w:rsidRPr="00076F3E">
        <w:rPr>
          <w:spacing w:val="-2"/>
          <w:sz w:val="22"/>
          <w:szCs w:val="22"/>
        </w:rPr>
        <w:t xml:space="preserve">. 2017, </w:t>
      </w:r>
      <w:r w:rsidRPr="00076F3E">
        <w:rPr>
          <w:i/>
          <w:iCs/>
          <w:spacing w:val="-2"/>
          <w:sz w:val="22"/>
          <w:szCs w:val="22"/>
        </w:rPr>
        <w:t>Gone with the Headwinds; Global Productivity</w:t>
      </w:r>
      <w:r w:rsidRPr="00076F3E">
        <w:rPr>
          <w:spacing w:val="-2"/>
          <w:sz w:val="22"/>
          <w:szCs w:val="22"/>
        </w:rPr>
        <w:t>, IMF Staff Discussion Notes</w:t>
      </w:r>
      <w:r w:rsidR="00651076" w:rsidRPr="00076F3E">
        <w:rPr>
          <w:spacing w:val="-2"/>
          <w:sz w:val="22"/>
          <w:szCs w:val="22"/>
        </w:rPr>
        <w:t> 17/04</w:t>
      </w:r>
      <w:r w:rsidRPr="00076F3E">
        <w:rPr>
          <w:spacing w:val="-2"/>
          <w:sz w:val="22"/>
          <w:szCs w:val="22"/>
        </w:rPr>
        <w:t>, International Monetary Fund</w:t>
      </w:r>
      <w:r w:rsidR="00651076" w:rsidRPr="00076F3E">
        <w:rPr>
          <w:spacing w:val="-2"/>
          <w:sz w:val="22"/>
          <w:szCs w:val="22"/>
        </w:rPr>
        <w:t>, Washington, DC</w:t>
      </w:r>
      <w:r w:rsidRPr="00076F3E">
        <w:rPr>
          <w:spacing w:val="-2"/>
          <w:sz w:val="22"/>
          <w:szCs w:val="22"/>
        </w:rPr>
        <w:t>.</w:t>
      </w:r>
    </w:p>
    <w:p w14:paraId="6DBE5EF9" w14:textId="77777777" w:rsidR="00D76048" w:rsidRPr="00076F3E" w:rsidRDefault="00D76048" w:rsidP="00D4400D">
      <w:pPr>
        <w:pStyle w:val="Reference"/>
        <w:rPr>
          <w:spacing w:val="-2"/>
          <w:sz w:val="22"/>
          <w:szCs w:val="22"/>
        </w:rPr>
      </w:pPr>
      <w:r w:rsidRPr="00076F3E">
        <w:rPr>
          <w:spacing w:val="-2"/>
          <w:sz w:val="22"/>
          <w:szCs w:val="22"/>
        </w:rPr>
        <w:t xml:space="preserve">Andrews, D., </w:t>
      </w:r>
      <w:proofErr w:type="spellStart"/>
      <w:r w:rsidRPr="00076F3E">
        <w:rPr>
          <w:spacing w:val="-2"/>
          <w:sz w:val="22"/>
          <w:szCs w:val="22"/>
        </w:rPr>
        <w:t>Criscuolo</w:t>
      </w:r>
      <w:proofErr w:type="spellEnd"/>
      <w:r w:rsidRPr="00076F3E">
        <w:rPr>
          <w:spacing w:val="-2"/>
          <w:sz w:val="22"/>
          <w:szCs w:val="22"/>
        </w:rPr>
        <w:t xml:space="preserve">, C. and Gal, P.N. 2015, </w:t>
      </w:r>
      <w:r w:rsidRPr="00076F3E">
        <w:rPr>
          <w:i/>
          <w:iCs/>
          <w:spacing w:val="-2"/>
          <w:sz w:val="22"/>
          <w:szCs w:val="22"/>
        </w:rPr>
        <w:t>Frontier Firms, Technology Diffusion and Public Policy: Micro Evidence from OECD Countries</w:t>
      </w:r>
      <w:r w:rsidRPr="00076F3E">
        <w:rPr>
          <w:spacing w:val="-2"/>
          <w:sz w:val="22"/>
          <w:szCs w:val="22"/>
        </w:rPr>
        <w:t>, OECD Productivity Working Paper</w:t>
      </w:r>
      <w:r w:rsidR="00651076" w:rsidRPr="00076F3E">
        <w:rPr>
          <w:spacing w:val="-2"/>
          <w:sz w:val="22"/>
          <w:szCs w:val="22"/>
        </w:rPr>
        <w:t xml:space="preserve"> no. 2</w:t>
      </w:r>
      <w:r w:rsidRPr="00076F3E">
        <w:rPr>
          <w:spacing w:val="-2"/>
          <w:sz w:val="22"/>
          <w:szCs w:val="22"/>
        </w:rPr>
        <w:t xml:space="preserve">, </w:t>
      </w:r>
      <w:r w:rsidR="00651076" w:rsidRPr="00076F3E">
        <w:rPr>
          <w:spacing w:val="-2"/>
          <w:sz w:val="22"/>
          <w:szCs w:val="22"/>
        </w:rPr>
        <w:t>Organisation for Economic Co</w:t>
      </w:r>
      <w:r w:rsidR="006A0FED" w:rsidRPr="00076F3E">
        <w:rPr>
          <w:spacing w:val="-2"/>
          <w:sz w:val="22"/>
          <w:szCs w:val="22"/>
        </w:rPr>
        <w:noBreakHyphen/>
      </w:r>
      <w:r w:rsidR="00651076" w:rsidRPr="00076F3E">
        <w:rPr>
          <w:spacing w:val="-2"/>
          <w:sz w:val="22"/>
          <w:szCs w:val="22"/>
        </w:rPr>
        <w:t>operation and Development, Paris</w:t>
      </w:r>
      <w:r w:rsidRPr="00076F3E">
        <w:rPr>
          <w:spacing w:val="-2"/>
          <w:sz w:val="22"/>
          <w:szCs w:val="22"/>
        </w:rPr>
        <w:t>.</w:t>
      </w:r>
    </w:p>
    <w:p w14:paraId="3B4E5D42" w14:textId="77777777" w:rsidR="00D76048" w:rsidRPr="00076F3E" w:rsidRDefault="00D76048" w:rsidP="00D4400D">
      <w:pPr>
        <w:pStyle w:val="Reference"/>
        <w:rPr>
          <w:spacing w:val="-2"/>
          <w:sz w:val="22"/>
          <w:szCs w:val="22"/>
        </w:rPr>
      </w:pPr>
      <w:proofErr w:type="spellStart"/>
      <w:r w:rsidRPr="00076F3E">
        <w:rPr>
          <w:spacing w:val="-2"/>
          <w:sz w:val="22"/>
          <w:szCs w:val="22"/>
        </w:rPr>
        <w:t>Battersby</w:t>
      </w:r>
      <w:proofErr w:type="spellEnd"/>
      <w:r w:rsidRPr="00076F3E">
        <w:rPr>
          <w:spacing w:val="-2"/>
          <w:sz w:val="22"/>
          <w:szCs w:val="22"/>
        </w:rPr>
        <w:t xml:space="preserve">, B. 2006, ‘Does Distance Matter? The </w:t>
      </w:r>
      <w:r w:rsidR="00651076" w:rsidRPr="00076F3E">
        <w:rPr>
          <w:spacing w:val="-2"/>
          <w:sz w:val="22"/>
          <w:szCs w:val="22"/>
        </w:rPr>
        <w:t xml:space="preserve">Effect </w:t>
      </w:r>
      <w:r w:rsidRPr="00076F3E">
        <w:rPr>
          <w:spacing w:val="-2"/>
          <w:sz w:val="22"/>
          <w:szCs w:val="22"/>
        </w:rPr>
        <w:t xml:space="preserve">of Geographic Isolation on Productivity Levels’, </w:t>
      </w:r>
      <w:r w:rsidRPr="00076F3E">
        <w:rPr>
          <w:i/>
          <w:iCs/>
          <w:spacing w:val="-2"/>
          <w:sz w:val="22"/>
          <w:szCs w:val="22"/>
        </w:rPr>
        <w:t>Treasury Working Paper</w:t>
      </w:r>
      <w:r w:rsidR="00651076" w:rsidRPr="00076F3E">
        <w:rPr>
          <w:iCs/>
          <w:spacing w:val="-2"/>
          <w:sz w:val="22"/>
          <w:szCs w:val="22"/>
        </w:rPr>
        <w:t xml:space="preserve">, </w:t>
      </w:r>
      <w:r w:rsidR="00651076" w:rsidRPr="00076F3E">
        <w:rPr>
          <w:spacing w:val="-2"/>
          <w:sz w:val="22"/>
          <w:szCs w:val="22"/>
        </w:rPr>
        <w:t>Department of the Treasury, Canberra.</w:t>
      </w:r>
    </w:p>
    <w:p w14:paraId="485C8EE8" w14:textId="77777777" w:rsidR="00D76048" w:rsidRPr="00076F3E" w:rsidRDefault="00D76048" w:rsidP="00D4400D">
      <w:pPr>
        <w:pStyle w:val="Reference"/>
        <w:rPr>
          <w:spacing w:val="-2"/>
          <w:sz w:val="22"/>
          <w:szCs w:val="22"/>
        </w:rPr>
      </w:pPr>
      <w:r w:rsidRPr="00076F3E">
        <w:rPr>
          <w:spacing w:val="-2"/>
          <w:sz w:val="22"/>
          <w:szCs w:val="22"/>
        </w:rPr>
        <w:t xml:space="preserve">Bishop, J. and Chan, I. 2019, </w:t>
      </w:r>
      <w:r w:rsidRPr="00076F3E">
        <w:rPr>
          <w:i/>
          <w:iCs/>
          <w:spacing w:val="-2"/>
          <w:sz w:val="22"/>
          <w:szCs w:val="22"/>
        </w:rPr>
        <w:t>Is Declining Union Membership Contributing to Low Wages Growth?</w:t>
      </w:r>
      <w:r w:rsidRPr="00076F3E">
        <w:rPr>
          <w:spacing w:val="-2"/>
          <w:sz w:val="22"/>
          <w:szCs w:val="22"/>
        </w:rPr>
        <w:t>, Research Discussion Paper</w:t>
      </w:r>
      <w:r w:rsidR="00651076" w:rsidRPr="00076F3E">
        <w:rPr>
          <w:spacing w:val="-2"/>
          <w:sz w:val="22"/>
          <w:szCs w:val="22"/>
        </w:rPr>
        <w:t xml:space="preserve"> </w:t>
      </w:r>
      <w:r w:rsidRPr="00076F3E">
        <w:rPr>
          <w:spacing w:val="-2"/>
          <w:sz w:val="22"/>
          <w:szCs w:val="22"/>
        </w:rPr>
        <w:t>RDP</w:t>
      </w:r>
      <w:r w:rsidR="00651076" w:rsidRPr="00076F3E">
        <w:rPr>
          <w:spacing w:val="-2"/>
          <w:sz w:val="22"/>
          <w:szCs w:val="22"/>
        </w:rPr>
        <w:t> </w:t>
      </w:r>
      <w:r w:rsidRPr="00076F3E">
        <w:rPr>
          <w:spacing w:val="-2"/>
          <w:sz w:val="22"/>
          <w:szCs w:val="22"/>
        </w:rPr>
        <w:t>2019</w:t>
      </w:r>
      <w:r w:rsidR="006A0FED" w:rsidRPr="00076F3E">
        <w:rPr>
          <w:spacing w:val="-2"/>
          <w:sz w:val="22"/>
          <w:szCs w:val="22"/>
        </w:rPr>
        <w:noBreakHyphen/>
      </w:r>
      <w:r w:rsidRPr="00076F3E">
        <w:rPr>
          <w:spacing w:val="-2"/>
          <w:sz w:val="22"/>
          <w:szCs w:val="22"/>
        </w:rPr>
        <w:t>02, Reserve Bank of Australia</w:t>
      </w:r>
      <w:r w:rsidR="00651076" w:rsidRPr="00076F3E">
        <w:rPr>
          <w:spacing w:val="-2"/>
          <w:sz w:val="22"/>
          <w:szCs w:val="22"/>
        </w:rPr>
        <w:t>, Sydney</w:t>
      </w:r>
      <w:r w:rsidRPr="00076F3E">
        <w:rPr>
          <w:spacing w:val="-2"/>
          <w:sz w:val="22"/>
          <w:szCs w:val="22"/>
        </w:rPr>
        <w:t>.</w:t>
      </w:r>
    </w:p>
    <w:p w14:paraId="21E343A2" w14:textId="77777777" w:rsidR="00D76048" w:rsidRPr="00076F3E" w:rsidRDefault="00D76048" w:rsidP="00D4400D">
      <w:pPr>
        <w:pStyle w:val="Reference"/>
        <w:rPr>
          <w:spacing w:val="-2"/>
          <w:sz w:val="22"/>
          <w:szCs w:val="22"/>
        </w:rPr>
      </w:pPr>
      <w:r w:rsidRPr="00076F3E">
        <w:rPr>
          <w:spacing w:val="-2"/>
          <w:sz w:val="22"/>
          <w:szCs w:val="22"/>
        </w:rPr>
        <w:t xml:space="preserve">Bloom, N., </w:t>
      </w:r>
      <w:proofErr w:type="spellStart"/>
      <w:r w:rsidRPr="00076F3E">
        <w:rPr>
          <w:spacing w:val="-2"/>
          <w:sz w:val="22"/>
          <w:szCs w:val="22"/>
        </w:rPr>
        <w:t>Sadun</w:t>
      </w:r>
      <w:proofErr w:type="spellEnd"/>
      <w:r w:rsidRPr="00076F3E">
        <w:rPr>
          <w:spacing w:val="-2"/>
          <w:sz w:val="22"/>
          <w:szCs w:val="22"/>
        </w:rPr>
        <w:t xml:space="preserve">, R. and Van Reenen, J. 2016, </w:t>
      </w:r>
      <w:r w:rsidRPr="00076F3E">
        <w:rPr>
          <w:i/>
          <w:iCs/>
          <w:spacing w:val="-2"/>
          <w:sz w:val="22"/>
          <w:szCs w:val="22"/>
        </w:rPr>
        <w:t>Management as a Technology?</w:t>
      </w:r>
      <w:r w:rsidRPr="00076F3E">
        <w:rPr>
          <w:spacing w:val="-2"/>
          <w:sz w:val="22"/>
          <w:szCs w:val="22"/>
        </w:rPr>
        <w:t>, Working Paper</w:t>
      </w:r>
      <w:r w:rsidR="00651076" w:rsidRPr="00076F3E">
        <w:rPr>
          <w:spacing w:val="-2"/>
          <w:sz w:val="22"/>
          <w:szCs w:val="22"/>
        </w:rPr>
        <w:t> 22327</w:t>
      </w:r>
      <w:r w:rsidRPr="00076F3E">
        <w:rPr>
          <w:spacing w:val="-2"/>
          <w:sz w:val="22"/>
          <w:szCs w:val="22"/>
        </w:rPr>
        <w:t>, National Bureau of Economic Research</w:t>
      </w:r>
      <w:r w:rsidR="00651076" w:rsidRPr="00076F3E">
        <w:rPr>
          <w:spacing w:val="-2"/>
          <w:sz w:val="22"/>
          <w:szCs w:val="22"/>
        </w:rPr>
        <w:t>, Cambridge, MA</w:t>
      </w:r>
      <w:r w:rsidRPr="00076F3E">
        <w:rPr>
          <w:spacing w:val="-2"/>
          <w:sz w:val="22"/>
          <w:szCs w:val="22"/>
        </w:rPr>
        <w:t>.</w:t>
      </w:r>
    </w:p>
    <w:p w14:paraId="26A6602A" w14:textId="77777777" w:rsidR="00D76048" w:rsidRPr="00076F3E" w:rsidRDefault="00D76048" w:rsidP="00D4400D">
      <w:pPr>
        <w:pStyle w:val="Reference"/>
        <w:rPr>
          <w:spacing w:val="-2"/>
          <w:sz w:val="22"/>
          <w:szCs w:val="22"/>
        </w:rPr>
      </w:pPr>
      <w:r w:rsidRPr="00076F3E">
        <w:rPr>
          <w:spacing w:val="-2"/>
          <w:sz w:val="22"/>
          <w:szCs w:val="22"/>
        </w:rPr>
        <w:t xml:space="preserve">Borland, J. 2017, ‘Workers are Actually Feeling Less Insecure in Their Jobs’, </w:t>
      </w:r>
      <w:r w:rsidRPr="00076F3E">
        <w:rPr>
          <w:i/>
          <w:iCs/>
          <w:spacing w:val="-2"/>
          <w:sz w:val="22"/>
          <w:szCs w:val="22"/>
        </w:rPr>
        <w:t>The Conversation</w:t>
      </w:r>
      <w:r w:rsidRPr="00076F3E">
        <w:rPr>
          <w:spacing w:val="-2"/>
          <w:sz w:val="22"/>
          <w:szCs w:val="22"/>
        </w:rPr>
        <w:t>, 1</w:t>
      </w:r>
      <w:r w:rsidR="00076F3E">
        <w:rPr>
          <w:spacing w:val="-2"/>
          <w:sz w:val="22"/>
          <w:szCs w:val="22"/>
        </w:rPr>
        <w:t> </w:t>
      </w:r>
      <w:r w:rsidRPr="00076F3E">
        <w:rPr>
          <w:spacing w:val="-2"/>
          <w:sz w:val="22"/>
          <w:szCs w:val="22"/>
        </w:rPr>
        <w:t>August.</w:t>
      </w:r>
    </w:p>
    <w:p w14:paraId="57C3FB94" w14:textId="77777777" w:rsidR="00D76048" w:rsidRPr="00076F3E" w:rsidRDefault="00D76048" w:rsidP="00D4400D">
      <w:pPr>
        <w:pStyle w:val="Reference"/>
        <w:rPr>
          <w:spacing w:val="-2"/>
          <w:sz w:val="22"/>
          <w:szCs w:val="22"/>
        </w:rPr>
      </w:pPr>
      <w:proofErr w:type="spellStart"/>
      <w:r w:rsidRPr="00076F3E">
        <w:rPr>
          <w:spacing w:val="-2"/>
          <w:sz w:val="22"/>
          <w:szCs w:val="22"/>
        </w:rPr>
        <w:t>Boulhol</w:t>
      </w:r>
      <w:proofErr w:type="spellEnd"/>
      <w:r w:rsidRPr="00076F3E">
        <w:rPr>
          <w:spacing w:val="-2"/>
          <w:sz w:val="22"/>
          <w:szCs w:val="22"/>
        </w:rPr>
        <w:t xml:space="preserve">, H., </w:t>
      </w:r>
      <w:proofErr w:type="spellStart"/>
      <w:r w:rsidRPr="00076F3E">
        <w:rPr>
          <w:spacing w:val="-2"/>
          <w:sz w:val="22"/>
          <w:szCs w:val="22"/>
        </w:rPr>
        <w:t>Serres</w:t>
      </w:r>
      <w:proofErr w:type="spellEnd"/>
      <w:r w:rsidRPr="00076F3E">
        <w:rPr>
          <w:spacing w:val="-2"/>
          <w:sz w:val="22"/>
          <w:szCs w:val="22"/>
        </w:rPr>
        <w:t xml:space="preserve">, A. de and Molnar, M. 2008, </w:t>
      </w:r>
      <w:r w:rsidRPr="00076F3E">
        <w:rPr>
          <w:i/>
          <w:iCs/>
          <w:spacing w:val="-2"/>
          <w:sz w:val="22"/>
          <w:szCs w:val="22"/>
        </w:rPr>
        <w:t>The Contribution of Economic Geography to GDP Per Capita</w:t>
      </w:r>
      <w:r w:rsidRPr="00076F3E">
        <w:rPr>
          <w:spacing w:val="-2"/>
          <w:sz w:val="22"/>
          <w:szCs w:val="22"/>
        </w:rPr>
        <w:t>, OECD Economics Department Working Paper</w:t>
      </w:r>
      <w:r w:rsidR="00651076" w:rsidRPr="00076F3E">
        <w:rPr>
          <w:spacing w:val="-2"/>
          <w:sz w:val="22"/>
          <w:szCs w:val="22"/>
        </w:rPr>
        <w:t xml:space="preserve"> no. </w:t>
      </w:r>
      <w:r w:rsidRPr="00076F3E">
        <w:rPr>
          <w:spacing w:val="-2"/>
          <w:sz w:val="22"/>
          <w:szCs w:val="22"/>
        </w:rPr>
        <w:t>602, Organisation for Economic Co</w:t>
      </w:r>
      <w:r w:rsidR="006A0FED" w:rsidRPr="00076F3E">
        <w:rPr>
          <w:spacing w:val="-2"/>
          <w:sz w:val="22"/>
          <w:szCs w:val="22"/>
        </w:rPr>
        <w:noBreakHyphen/>
      </w:r>
      <w:r w:rsidRPr="00076F3E">
        <w:rPr>
          <w:spacing w:val="-2"/>
          <w:sz w:val="22"/>
          <w:szCs w:val="22"/>
        </w:rPr>
        <w:t>operation and Development, Paris.</w:t>
      </w:r>
    </w:p>
    <w:p w14:paraId="1497522E" w14:textId="77777777" w:rsidR="00D76048" w:rsidRPr="00076F3E" w:rsidRDefault="00D76048" w:rsidP="00D4400D">
      <w:pPr>
        <w:pStyle w:val="Reference"/>
        <w:rPr>
          <w:spacing w:val="-2"/>
          <w:sz w:val="22"/>
          <w:szCs w:val="22"/>
        </w:rPr>
      </w:pPr>
      <w:proofErr w:type="spellStart"/>
      <w:r w:rsidRPr="00076F3E">
        <w:rPr>
          <w:spacing w:val="-2"/>
          <w:sz w:val="22"/>
          <w:szCs w:val="22"/>
        </w:rPr>
        <w:t>Brell</w:t>
      </w:r>
      <w:proofErr w:type="spellEnd"/>
      <w:r w:rsidRPr="00076F3E">
        <w:rPr>
          <w:spacing w:val="-2"/>
          <w:sz w:val="22"/>
          <w:szCs w:val="22"/>
        </w:rPr>
        <w:t xml:space="preserve">, C. and </w:t>
      </w:r>
      <w:proofErr w:type="spellStart"/>
      <w:r w:rsidRPr="00076F3E">
        <w:rPr>
          <w:spacing w:val="-2"/>
          <w:sz w:val="22"/>
          <w:szCs w:val="22"/>
        </w:rPr>
        <w:t>Dustmann</w:t>
      </w:r>
      <w:proofErr w:type="spellEnd"/>
      <w:r w:rsidRPr="00076F3E">
        <w:rPr>
          <w:spacing w:val="-2"/>
          <w:sz w:val="22"/>
          <w:szCs w:val="22"/>
        </w:rPr>
        <w:t xml:space="preserve">, C. 2019, ‘Immigration and Wage Growth: The Case of Australia’, </w:t>
      </w:r>
      <w:r w:rsidR="00651076" w:rsidRPr="00076F3E">
        <w:rPr>
          <w:spacing w:val="-2"/>
          <w:sz w:val="22"/>
          <w:szCs w:val="22"/>
        </w:rPr>
        <w:t xml:space="preserve">Presented </w:t>
      </w:r>
      <w:r w:rsidRPr="00076F3E">
        <w:rPr>
          <w:spacing w:val="-2"/>
          <w:sz w:val="22"/>
          <w:szCs w:val="22"/>
        </w:rPr>
        <w:t>at Reserve Bank of Australia Low Wage Conference, 4</w:t>
      </w:r>
      <w:r w:rsidR="00651076" w:rsidRPr="00076F3E">
        <w:rPr>
          <w:spacing w:val="-2"/>
          <w:sz w:val="22"/>
          <w:szCs w:val="22"/>
        </w:rPr>
        <w:t>–</w:t>
      </w:r>
      <w:r w:rsidRPr="00076F3E">
        <w:rPr>
          <w:spacing w:val="-2"/>
          <w:sz w:val="22"/>
          <w:szCs w:val="22"/>
        </w:rPr>
        <w:t>5 April, Sydney.</w:t>
      </w:r>
    </w:p>
    <w:p w14:paraId="0C387A64" w14:textId="77777777" w:rsidR="00D76048" w:rsidRPr="00076F3E" w:rsidRDefault="00D76048" w:rsidP="00D4400D">
      <w:pPr>
        <w:pStyle w:val="Reference"/>
        <w:rPr>
          <w:spacing w:val="-2"/>
          <w:sz w:val="22"/>
          <w:szCs w:val="22"/>
        </w:rPr>
      </w:pPr>
      <w:proofErr w:type="spellStart"/>
      <w:r w:rsidRPr="00076F3E">
        <w:rPr>
          <w:spacing w:val="-2"/>
          <w:sz w:val="22"/>
          <w:szCs w:val="22"/>
        </w:rPr>
        <w:t>Breunig</w:t>
      </w:r>
      <w:proofErr w:type="spellEnd"/>
      <w:r w:rsidRPr="00076F3E">
        <w:rPr>
          <w:spacing w:val="-2"/>
          <w:sz w:val="22"/>
          <w:szCs w:val="22"/>
        </w:rPr>
        <w:t xml:space="preserve">, B., </w:t>
      </w:r>
      <w:proofErr w:type="spellStart"/>
      <w:r w:rsidRPr="00076F3E">
        <w:rPr>
          <w:spacing w:val="-2"/>
          <w:sz w:val="22"/>
          <w:szCs w:val="22"/>
        </w:rPr>
        <w:t>Deutscher</w:t>
      </w:r>
      <w:proofErr w:type="spellEnd"/>
      <w:r w:rsidRPr="00076F3E">
        <w:rPr>
          <w:spacing w:val="-2"/>
          <w:sz w:val="22"/>
          <w:szCs w:val="22"/>
        </w:rPr>
        <w:t xml:space="preserve">, N. and To, H. 2017, ‘The Relationship between Immigration to Australia and the Labour Market Outcomes of Australian‐Born Workers’, </w:t>
      </w:r>
      <w:r w:rsidRPr="00076F3E">
        <w:rPr>
          <w:i/>
          <w:iCs/>
          <w:spacing w:val="-2"/>
          <w:sz w:val="22"/>
          <w:szCs w:val="22"/>
        </w:rPr>
        <w:t>Economic Record</w:t>
      </w:r>
      <w:r w:rsidRPr="00076F3E">
        <w:rPr>
          <w:spacing w:val="-2"/>
          <w:sz w:val="22"/>
          <w:szCs w:val="22"/>
        </w:rPr>
        <w:t>, vol. 93, no. 301, pp. 255–76.</w:t>
      </w:r>
    </w:p>
    <w:p w14:paraId="6DBC1356" w14:textId="77777777" w:rsidR="00D76048" w:rsidRPr="00076F3E" w:rsidRDefault="00D76048" w:rsidP="00D4400D">
      <w:pPr>
        <w:pStyle w:val="Reference"/>
        <w:rPr>
          <w:spacing w:val="-2"/>
          <w:sz w:val="22"/>
          <w:szCs w:val="22"/>
        </w:rPr>
      </w:pPr>
      <w:r w:rsidRPr="00076F3E">
        <w:rPr>
          <w:spacing w:val="-2"/>
          <w:sz w:val="22"/>
          <w:szCs w:val="22"/>
        </w:rPr>
        <w:t xml:space="preserve">Cassidy, N. 2019, ‘Low Wages Growth </w:t>
      </w:r>
      <w:r w:rsidR="00651076" w:rsidRPr="00076F3E">
        <w:rPr>
          <w:spacing w:val="-2"/>
          <w:sz w:val="22"/>
          <w:szCs w:val="22"/>
        </w:rPr>
        <w:t>—</w:t>
      </w:r>
      <w:r w:rsidRPr="00076F3E">
        <w:rPr>
          <w:spacing w:val="-2"/>
          <w:sz w:val="22"/>
          <w:szCs w:val="22"/>
        </w:rPr>
        <w:t xml:space="preserve"> An Introduction’, </w:t>
      </w:r>
      <w:r w:rsidR="00651076" w:rsidRPr="00076F3E">
        <w:rPr>
          <w:spacing w:val="-2"/>
          <w:sz w:val="22"/>
          <w:szCs w:val="22"/>
        </w:rPr>
        <w:t>P</w:t>
      </w:r>
      <w:r w:rsidRPr="00076F3E">
        <w:rPr>
          <w:spacing w:val="-2"/>
          <w:sz w:val="22"/>
          <w:szCs w:val="22"/>
        </w:rPr>
        <w:t>resented at Reserve Bank of Australia Low Wages Conference, 4</w:t>
      </w:r>
      <w:r w:rsidR="00651076" w:rsidRPr="00076F3E">
        <w:rPr>
          <w:spacing w:val="-2"/>
          <w:sz w:val="22"/>
          <w:szCs w:val="22"/>
        </w:rPr>
        <w:t>–</w:t>
      </w:r>
      <w:r w:rsidRPr="00076F3E">
        <w:rPr>
          <w:spacing w:val="-2"/>
          <w:sz w:val="22"/>
          <w:szCs w:val="22"/>
        </w:rPr>
        <w:t>5 April, Sydney.</w:t>
      </w:r>
    </w:p>
    <w:p w14:paraId="633EAF3E" w14:textId="77777777" w:rsidR="00D76048" w:rsidRPr="00076F3E" w:rsidRDefault="00D76048" w:rsidP="00D4400D">
      <w:pPr>
        <w:pStyle w:val="Reference"/>
        <w:rPr>
          <w:spacing w:val="-2"/>
          <w:sz w:val="22"/>
          <w:szCs w:val="22"/>
        </w:rPr>
      </w:pPr>
      <w:r w:rsidRPr="00076F3E">
        <w:rPr>
          <w:spacing w:val="-2"/>
          <w:sz w:val="22"/>
          <w:szCs w:val="22"/>
        </w:rPr>
        <w:lastRenderedPageBreak/>
        <w:t xml:space="preserve">Coelli, M. and Borland, J. 2016, ‘Job Polarisation and Earnings Inequality in Australia’, </w:t>
      </w:r>
      <w:r w:rsidRPr="00076F3E">
        <w:rPr>
          <w:i/>
          <w:iCs/>
          <w:spacing w:val="-2"/>
          <w:sz w:val="22"/>
          <w:szCs w:val="22"/>
        </w:rPr>
        <w:t>Economic Record</w:t>
      </w:r>
      <w:r w:rsidRPr="00076F3E">
        <w:rPr>
          <w:spacing w:val="-2"/>
          <w:sz w:val="22"/>
          <w:szCs w:val="22"/>
        </w:rPr>
        <w:t>, vol. 92, no. 296, pp. 1–27.</w:t>
      </w:r>
    </w:p>
    <w:p w14:paraId="76D5D807" w14:textId="77777777" w:rsidR="00D76048" w:rsidRPr="00076F3E" w:rsidRDefault="00D76048" w:rsidP="00D4400D">
      <w:pPr>
        <w:pStyle w:val="Reference"/>
        <w:rPr>
          <w:spacing w:val="-2"/>
          <w:sz w:val="22"/>
          <w:szCs w:val="22"/>
        </w:rPr>
      </w:pPr>
      <w:proofErr w:type="spellStart"/>
      <w:r w:rsidRPr="00076F3E">
        <w:rPr>
          <w:spacing w:val="-2"/>
          <w:sz w:val="22"/>
          <w:szCs w:val="22"/>
        </w:rPr>
        <w:t>Danninger</w:t>
      </w:r>
      <w:proofErr w:type="spellEnd"/>
      <w:r w:rsidRPr="00076F3E">
        <w:rPr>
          <w:spacing w:val="-2"/>
          <w:sz w:val="22"/>
          <w:szCs w:val="22"/>
        </w:rPr>
        <w:t xml:space="preserve">, S. 2016, </w:t>
      </w:r>
      <w:r w:rsidRPr="00076F3E">
        <w:rPr>
          <w:i/>
          <w:iCs/>
          <w:spacing w:val="-2"/>
          <w:sz w:val="22"/>
          <w:szCs w:val="22"/>
        </w:rPr>
        <w:t>What’s Up with U.S. Wage Growth and Job Mobility?</w:t>
      </w:r>
      <w:r w:rsidRPr="00076F3E">
        <w:rPr>
          <w:spacing w:val="-2"/>
          <w:sz w:val="22"/>
          <w:szCs w:val="22"/>
        </w:rPr>
        <w:t>, IMF Working Paper</w:t>
      </w:r>
      <w:r w:rsidR="00651076" w:rsidRPr="00076F3E">
        <w:rPr>
          <w:spacing w:val="-2"/>
          <w:sz w:val="22"/>
          <w:szCs w:val="22"/>
        </w:rPr>
        <w:t xml:space="preserve"> no. </w:t>
      </w:r>
      <w:r w:rsidRPr="00076F3E">
        <w:rPr>
          <w:spacing w:val="-2"/>
          <w:sz w:val="22"/>
          <w:szCs w:val="22"/>
        </w:rPr>
        <w:t>16/122</w:t>
      </w:r>
      <w:r w:rsidR="00651076" w:rsidRPr="00076F3E">
        <w:rPr>
          <w:spacing w:val="-2"/>
          <w:sz w:val="22"/>
          <w:szCs w:val="22"/>
        </w:rPr>
        <w:t>, International Monetary Fund, Washington, DC</w:t>
      </w:r>
      <w:r w:rsidRPr="00076F3E">
        <w:rPr>
          <w:spacing w:val="-2"/>
          <w:sz w:val="22"/>
          <w:szCs w:val="22"/>
        </w:rPr>
        <w:t>.</w:t>
      </w:r>
    </w:p>
    <w:p w14:paraId="04CD8413" w14:textId="77777777" w:rsidR="00D76048" w:rsidRPr="00076F3E" w:rsidRDefault="00D76048" w:rsidP="00D4400D">
      <w:pPr>
        <w:pStyle w:val="Reference"/>
        <w:rPr>
          <w:spacing w:val="-2"/>
          <w:sz w:val="22"/>
          <w:szCs w:val="22"/>
        </w:rPr>
      </w:pPr>
      <w:r w:rsidRPr="00076F3E">
        <w:rPr>
          <w:spacing w:val="-2"/>
          <w:sz w:val="22"/>
          <w:szCs w:val="22"/>
        </w:rPr>
        <w:t xml:space="preserve">Department of the Treasury 2017, </w:t>
      </w:r>
      <w:r w:rsidRPr="00076F3E">
        <w:rPr>
          <w:i/>
          <w:iCs/>
          <w:spacing w:val="-2"/>
          <w:sz w:val="22"/>
          <w:szCs w:val="22"/>
        </w:rPr>
        <w:t>Analysis of Wage Growth</w:t>
      </w:r>
      <w:r w:rsidRPr="00076F3E">
        <w:rPr>
          <w:spacing w:val="-2"/>
          <w:sz w:val="22"/>
          <w:szCs w:val="22"/>
        </w:rPr>
        <w:t>, Working Paper, November, Department of the Treasury, Canberra.</w:t>
      </w:r>
    </w:p>
    <w:p w14:paraId="5B50865F" w14:textId="77777777" w:rsidR="00D76048" w:rsidRPr="00076F3E" w:rsidRDefault="00D76048" w:rsidP="00D4400D">
      <w:pPr>
        <w:pStyle w:val="Reference"/>
        <w:rPr>
          <w:spacing w:val="-2"/>
          <w:sz w:val="22"/>
          <w:szCs w:val="22"/>
        </w:rPr>
      </w:pPr>
      <w:r w:rsidRPr="00076F3E">
        <w:rPr>
          <w:spacing w:val="-2"/>
          <w:sz w:val="22"/>
          <w:szCs w:val="22"/>
        </w:rPr>
        <w:t xml:space="preserve">Dolman, B., Parham, D. and Zheng, S. 2007, </w:t>
      </w:r>
      <w:r w:rsidRPr="00076F3E">
        <w:rPr>
          <w:i/>
          <w:iCs/>
          <w:spacing w:val="-2"/>
          <w:sz w:val="22"/>
          <w:szCs w:val="22"/>
        </w:rPr>
        <w:t>Can Australia Match US Productivity Performance?</w:t>
      </w:r>
      <w:r w:rsidRPr="00076F3E">
        <w:rPr>
          <w:spacing w:val="-2"/>
          <w:sz w:val="22"/>
          <w:szCs w:val="22"/>
        </w:rPr>
        <w:t xml:space="preserve">, </w:t>
      </w:r>
      <w:proofErr w:type="spellStart"/>
      <w:r w:rsidRPr="00076F3E">
        <w:rPr>
          <w:spacing w:val="-2"/>
          <w:sz w:val="22"/>
          <w:szCs w:val="22"/>
        </w:rPr>
        <w:t>SSRN</w:t>
      </w:r>
      <w:proofErr w:type="spellEnd"/>
      <w:r w:rsidRPr="00076F3E">
        <w:rPr>
          <w:spacing w:val="-2"/>
          <w:sz w:val="22"/>
          <w:szCs w:val="22"/>
        </w:rPr>
        <w:t xml:space="preserve"> Scholarly Paper</w:t>
      </w:r>
      <w:r w:rsidR="00651076" w:rsidRPr="00076F3E">
        <w:rPr>
          <w:spacing w:val="-2"/>
          <w:sz w:val="22"/>
          <w:szCs w:val="22"/>
        </w:rPr>
        <w:t xml:space="preserve"> </w:t>
      </w:r>
      <w:r w:rsidRPr="00076F3E">
        <w:rPr>
          <w:spacing w:val="-2"/>
          <w:sz w:val="22"/>
          <w:szCs w:val="22"/>
        </w:rPr>
        <w:t>ID 1018881, Social Science Research Network, Rochester, NY.</w:t>
      </w:r>
    </w:p>
    <w:p w14:paraId="3B3FD091" w14:textId="77777777" w:rsidR="00D76048" w:rsidRPr="00076F3E" w:rsidRDefault="00D76048" w:rsidP="00D4400D">
      <w:pPr>
        <w:pStyle w:val="Reference"/>
        <w:rPr>
          <w:spacing w:val="-2"/>
          <w:sz w:val="22"/>
          <w:szCs w:val="22"/>
        </w:rPr>
      </w:pPr>
      <w:r w:rsidRPr="00076F3E">
        <w:rPr>
          <w:spacing w:val="-2"/>
          <w:sz w:val="22"/>
          <w:szCs w:val="22"/>
        </w:rPr>
        <w:t xml:space="preserve">ECB (European Central Bank) 2017, ‘The </w:t>
      </w:r>
      <w:r w:rsidR="00D20EC0" w:rsidRPr="00076F3E">
        <w:rPr>
          <w:spacing w:val="-2"/>
          <w:sz w:val="22"/>
          <w:szCs w:val="22"/>
        </w:rPr>
        <w:t>S</w:t>
      </w:r>
      <w:r w:rsidRPr="00076F3E">
        <w:rPr>
          <w:spacing w:val="-2"/>
          <w:sz w:val="22"/>
          <w:szCs w:val="22"/>
        </w:rPr>
        <w:t xml:space="preserve">lowdown in </w:t>
      </w:r>
      <w:r w:rsidR="00D20EC0" w:rsidRPr="00076F3E">
        <w:rPr>
          <w:spacing w:val="-2"/>
          <w:sz w:val="22"/>
          <w:szCs w:val="22"/>
        </w:rPr>
        <w:t xml:space="preserve">Euro Area Productivity </w:t>
      </w:r>
      <w:r w:rsidRPr="00076F3E">
        <w:rPr>
          <w:spacing w:val="-2"/>
          <w:sz w:val="22"/>
          <w:szCs w:val="22"/>
        </w:rPr>
        <w:t xml:space="preserve">in a </w:t>
      </w:r>
      <w:r w:rsidR="00D20EC0" w:rsidRPr="00076F3E">
        <w:rPr>
          <w:spacing w:val="-2"/>
          <w:sz w:val="22"/>
          <w:szCs w:val="22"/>
        </w:rPr>
        <w:t>Global Context’</w:t>
      </w:r>
      <w:r w:rsidRPr="00076F3E">
        <w:rPr>
          <w:spacing w:val="-2"/>
          <w:sz w:val="22"/>
          <w:szCs w:val="22"/>
        </w:rPr>
        <w:t xml:space="preserve">, </w:t>
      </w:r>
      <w:r w:rsidRPr="00076F3E">
        <w:rPr>
          <w:i/>
          <w:iCs/>
          <w:spacing w:val="-2"/>
          <w:sz w:val="22"/>
          <w:szCs w:val="22"/>
        </w:rPr>
        <w:t>ECB Economic Bulletin</w:t>
      </w:r>
      <w:r w:rsidRPr="00076F3E">
        <w:rPr>
          <w:spacing w:val="-2"/>
          <w:sz w:val="22"/>
          <w:szCs w:val="22"/>
        </w:rPr>
        <w:t>, vol. 2017, no. 3, pp. 47–67.</w:t>
      </w:r>
    </w:p>
    <w:p w14:paraId="1A310D4A" w14:textId="77777777" w:rsidR="00D76048" w:rsidRPr="00076F3E" w:rsidRDefault="00D76048" w:rsidP="00D4400D">
      <w:pPr>
        <w:pStyle w:val="Reference"/>
        <w:rPr>
          <w:spacing w:val="-2"/>
          <w:sz w:val="22"/>
          <w:szCs w:val="22"/>
        </w:rPr>
      </w:pPr>
      <w:proofErr w:type="spellStart"/>
      <w:r w:rsidRPr="00076F3E">
        <w:rPr>
          <w:spacing w:val="-2"/>
          <w:sz w:val="22"/>
          <w:szCs w:val="22"/>
        </w:rPr>
        <w:t>Engbom</w:t>
      </w:r>
      <w:proofErr w:type="spellEnd"/>
      <w:r w:rsidRPr="00076F3E">
        <w:rPr>
          <w:spacing w:val="-2"/>
          <w:sz w:val="22"/>
          <w:szCs w:val="22"/>
        </w:rPr>
        <w:t xml:space="preserve">, N. 2017, </w:t>
      </w:r>
      <w:r w:rsidRPr="00076F3E">
        <w:rPr>
          <w:i/>
          <w:iCs/>
          <w:spacing w:val="-2"/>
          <w:sz w:val="22"/>
          <w:szCs w:val="22"/>
        </w:rPr>
        <w:t>Worker Flows and Wage Growth over the Life</w:t>
      </w:r>
      <w:r w:rsidR="006A0FED" w:rsidRPr="00076F3E">
        <w:rPr>
          <w:i/>
          <w:iCs/>
          <w:spacing w:val="-2"/>
          <w:sz w:val="22"/>
          <w:szCs w:val="22"/>
        </w:rPr>
        <w:noBreakHyphen/>
      </w:r>
      <w:r w:rsidRPr="00076F3E">
        <w:rPr>
          <w:i/>
          <w:iCs/>
          <w:spacing w:val="-2"/>
          <w:sz w:val="22"/>
          <w:szCs w:val="22"/>
        </w:rPr>
        <w:t>Cycle: A Cross</w:t>
      </w:r>
      <w:r w:rsidR="006A0FED" w:rsidRPr="00076F3E">
        <w:rPr>
          <w:i/>
          <w:iCs/>
          <w:spacing w:val="-2"/>
          <w:sz w:val="22"/>
          <w:szCs w:val="22"/>
        </w:rPr>
        <w:noBreakHyphen/>
      </w:r>
      <w:r w:rsidRPr="00076F3E">
        <w:rPr>
          <w:i/>
          <w:iCs/>
          <w:spacing w:val="-2"/>
          <w:sz w:val="22"/>
          <w:szCs w:val="22"/>
        </w:rPr>
        <w:t>Country Analysis</w:t>
      </w:r>
      <w:r w:rsidRPr="00076F3E">
        <w:rPr>
          <w:spacing w:val="-2"/>
          <w:sz w:val="22"/>
          <w:szCs w:val="22"/>
        </w:rPr>
        <w:t>, Working Paper, Princeton University.</w:t>
      </w:r>
    </w:p>
    <w:p w14:paraId="66D795B7" w14:textId="77777777" w:rsidR="00D76048" w:rsidRPr="00076F3E" w:rsidRDefault="00D76048" w:rsidP="00D4400D">
      <w:pPr>
        <w:pStyle w:val="Reference"/>
        <w:rPr>
          <w:spacing w:val="-2"/>
          <w:sz w:val="22"/>
          <w:szCs w:val="22"/>
        </w:rPr>
      </w:pPr>
      <w:r w:rsidRPr="00076F3E">
        <w:rPr>
          <w:spacing w:val="-2"/>
          <w:sz w:val="22"/>
          <w:szCs w:val="22"/>
        </w:rPr>
        <w:t xml:space="preserve">Fernald, </w:t>
      </w:r>
      <w:proofErr w:type="spellStart"/>
      <w:r w:rsidRPr="00076F3E">
        <w:rPr>
          <w:spacing w:val="-2"/>
          <w:sz w:val="22"/>
          <w:szCs w:val="22"/>
        </w:rPr>
        <w:t>J.G</w:t>
      </w:r>
      <w:proofErr w:type="spellEnd"/>
      <w:r w:rsidRPr="00076F3E">
        <w:rPr>
          <w:spacing w:val="-2"/>
          <w:sz w:val="22"/>
          <w:szCs w:val="22"/>
        </w:rPr>
        <w:t xml:space="preserve">. 2015, ‘Productivity and Potential Output Before, During, and After the Great Recession’, </w:t>
      </w:r>
      <w:proofErr w:type="spellStart"/>
      <w:r w:rsidRPr="00076F3E">
        <w:rPr>
          <w:i/>
          <w:iCs/>
          <w:spacing w:val="-2"/>
          <w:sz w:val="22"/>
          <w:szCs w:val="22"/>
        </w:rPr>
        <w:t>NBER</w:t>
      </w:r>
      <w:proofErr w:type="spellEnd"/>
      <w:r w:rsidRPr="00076F3E">
        <w:rPr>
          <w:i/>
          <w:iCs/>
          <w:spacing w:val="-2"/>
          <w:sz w:val="22"/>
          <w:szCs w:val="22"/>
        </w:rPr>
        <w:t xml:space="preserve"> Macroeconomics Annual</w:t>
      </w:r>
      <w:r w:rsidRPr="00076F3E">
        <w:rPr>
          <w:spacing w:val="-2"/>
          <w:sz w:val="22"/>
          <w:szCs w:val="22"/>
        </w:rPr>
        <w:t>, vol. 29, no. 1, pp. 1–51.</w:t>
      </w:r>
    </w:p>
    <w:p w14:paraId="77977268" w14:textId="77777777" w:rsidR="00D76048" w:rsidRPr="00076F3E" w:rsidRDefault="00D76048" w:rsidP="00D4400D">
      <w:pPr>
        <w:pStyle w:val="Reference"/>
        <w:rPr>
          <w:spacing w:val="-2"/>
          <w:sz w:val="22"/>
          <w:szCs w:val="22"/>
        </w:rPr>
      </w:pPr>
      <w:proofErr w:type="spellStart"/>
      <w:r w:rsidRPr="00076F3E">
        <w:rPr>
          <w:spacing w:val="-2"/>
          <w:sz w:val="22"/>
          <w:szCs w:val="22"/>
        </w:rPr>
        <w:t>Feyrer</w:t>
      </w:r>
      <w:proofErr w:type="spellEnd"/>
      <w:r w:rsidRPr="00076F3E">
        <w:rPr>
          <w:spacing w:val="-2"/>
          <w:sz w:val="22"/>
          <w:szCs w:val="22"/>
        </w:rPr>
        <w:t xml:space="preserve">, J. 2007, ‘Demographics and Productivity’, </w:t>
      </w:r>
      <w:r w:rsidRPr="00076F3E">
        <w:rPr>
          <w:i/>
          <w:iCs/>
          <w:spacing w:val="-2"/>
          <w:sz w:val="22"/>
          <w:szCs w:val="22"/>
        </w:rPr>
        <w:t>Review of Economics and Statistics</w:t>
      </w:r>
      <w:r w:rsidRPr="00076F3E">
        <w:rPr>
          <w:spacing w:val="-2"/>
          <w:sz w:val="22"/>
          <w:szCs w:val="22"/>
        </w:rPr>
        <w:t>, vol. 89, no. 1, p</w:t>
      </w:r>
      <w:r w:rsidR="00D20EC0" w:rsidRPr="00076F3E">
        <w:rPr>
          <w:spacing w:val="-2"/>
          <w:sz w:val="22"/>
          <w:szCs w:val="22"/>
        </w:rPr>
        <w:t>p. 100–</w:t>
      </w:r>
      <w:r w:rsidRPr="00076F3E">
        <w:rPr>
          <w:spacing w:val="-2"/>
          <w:sz w:val="22"/>
          <w:szCs w:val="22"/>
        </w:rPr>
        <w:t>09.</w:t>
      </w:r>
    </w:p>
    <w:p w14:paraId="080CF353" w14:textId="77777777" w:rsidR="00D76048" w:rsidRPr="00076F3E" w:rsidRDefault="00D76048" w:rsidP="00D4400D">
      <w:pPr>
        <w:pStyle w:val="Reference"/>
        <w:rPr>
          <w:spacing w:val="-2"/>
          <w:sz w:val="22"/>
          <w:szCs w:val="22"/>
        </w:rPr>
      </w:pPr>
      <w:r w:rsidRPr="00076F3E">
        <w:rPr>
          <w:spacing w:val="-2"/>
          <w:sz w:val="22"/>
          <w:szCs w:val="22"/>
        </w:rPr>
        <w:t xml:space="preserve">—— 2008, ‘Aggregate Evidence on the Link between Age Structure and Productivity’, </w:t>
      </w:r>
      <w:r w:rsidRPr="00076F3E">
        <w:rPr>
          <w:i/>
          <w:iCs/>
          <w:spacing w:val="-2"/>
          <w:sz w:val="22"/>
          <w:szCs w:val="22"/>
        </w:rPr>
        <w:t>Population and Development Review</w:t>
      </w:r>
      <w:r w:rsidRPr="00076F3E">
        <w:rPr>
          <w:spacing w:val="-2"/>
          <w:sz w:val="22"/>
          <w:szCs w:val="22"/>
        </w:rPr>
        <w:t>, vol. 34, pp. 78–99.</w:t>
      </w:r>
    </w:p>
    <w:p w14:paraId="73DF6E39" w14:textId="77777777" w:rsidR="00D76048" w:rsidRPr="00076F3E" w:rsidRDefault="00D76048" w:rsidP="00D4400D">
      <w:pPr>
        <w:pStyle w:val="Reference"/>
        <w:rPr>
          <w:spacing w:val="-2"/>
          <w:sz w:val="22"/>
          <w:szCs w:val="22"/>
        </w:rPr>
      </w:pPr>
      <w:r w:rsidRPr="00076F3E">
        <w:rPr>
          <w:spacing w:val="-2"/>
          <w:sz w:val="22"/>
          <w:szCs w:val="22"/>
        </w:rPr>
        <w:t xml:space="preserve">Gabbitas, O. and Salma, U. 2016, </w:t>
      </w:r>
      <w:proofErr w:type="spellStart"/>
      <w:r w:rsidRPr="00076F3E">
        <w:rPr>
          <w:i/>
          <w:iCs/>
          <w:spacing w:val="-2"/>
          <w:sz w:val="22"/>
          <w:szCs w:val="22"/>
        </w:rPr>
        <w:t>VUMR</w:t>
      </w:r>
      <w:proofErr w:type="spellEnd"/>
      <w:r w:rsidRPr="00076F3E">
        <w:rPr>
          <w:i/>
          <w:iCs/>
          <w:spacing w:val="-2"/>
          <w:sz w:val="22"/>
          <w:szCs w:val="22"/>
        </w:rPr>
        <w:t xml:space="preserve"> Modelling Reference Case, 2009</w:t>
      </w:r>
      <w:r w:rsidR="006A0FED" w:rsidRPr="00076F3E">
        <w:rPr>
          <w:i/>
          <w:iCs/>
          <w:spacing w:val="-2"/>
          <w:sz w:val="22"/>
          <w:szCs w:val="22"/>
        </w:rPr>
        <w:noBreakHyphen/>
      </w:r>
      <w:r w:rsidRPr="00076F3E">
        <w:rPr>
          <w:i/>
          <w:iCs/>
          <w:spacing w:val="-2"/>
          <w:sz w:val="22"/>
          <w:szCs w:val="22"/>
        </w:rPr>
        <w:t>10 to 2059</w:t>
      </w:r>
      <w:r w:rsidR="006A0FED" w:rsidRPr="00076F3E">
        <w:rPr>
          <w:i/>
          <w:iCs/>
          <w:spacing w:val="-2"/>
          <w:sz w:val="22"/>
          <w:szCs w:val="22"/>
        </w:rPr>
        <w:noBreakHyphen/>
      </w:r>
      <w:r w:rsidRPr="00076F3E">
        <w:rPr>
          <w:i/>
          <w:iCs/>
          <w:spacing w:val="-2"/>
          <w:sz w:val="22"/>
          <w:szCs w:val="22"/>
        </w:rPr>
        <w:t>60</w:t>
      </w:r>
      <w:r w:rsidRPr="00076F3E">
        <w:rPr>
          <w:spacing w:val="-2"/>
          <w:sz w:val="22"/>
          <w:szCs w:val="22"/>
        </w:rPr>
        <w:t>, Staff Working Paper, Productivity Commission, Canberra.</w:t>
      </w:r>
    </w:p>
    <w:p w14:paraId="5D946DF3" w14:textId="77777777" w:rsidR="00D76048" w:rsidRPr="00076F3E" w:rsidRDefault="00D76048" w:rsidP="00D4400D">
      <w:pPr>
        <w:pStyle w:val="Reference"/>
        <w:rPr>
          <w:spacing w:val="-2"/>
          <w:sz w:val="22"/>
          <w:szCs w:val="22"/>
        </w:rPr>
      </w:pPr>
      <w:r w:rsidRPr="00076F3E">
        <w:rPr>
          <w:spacing w:val="-2"/>
          <w:sz w:val="22"/>
          <w:szCs w:val="22"/>
        </w:rPr>
        <w:t xml:space="preserve">Gordon, R.J. 2012, </w:t>
      </w:r>
      <w:r w:rsidRPr="00076F3E">
        <w:rPr>
          <w:i/>
          <w:iCs/>
          <w:spacing w:val="-2"/>
          <w:sz w:val="22"/>
          <w:szCs w:val="22"/>
        </w:rPr>
        <w:t>Is U.S. Economic Growth Over? Faltering Innovation Confronts the Six Headwinds</w:t>
      </w:r>
      <w:r w:rsidRPr="00076F3E">
        <w:rPr>
          <w:spacing w:val="-2"/>
          <w:sz w:val="22"/>
          <w:szCs w:val="22"/>
        </w:rPr>
        <w:t>, Working Paper</w:t>
      </w:r>
      <w:r w:rsidR="00D20EC0" w:rsidRPr="00076F3E">
        <w:rPr>
          <w:spacing w:val="-2"/>
          <w:sz w:val="22"/>
          <w:szCs w:val="22"/>
        </w:rPr>
        <w:t xml:space="preserve"> no. </w:t>
      </w:r>
      <w:r w:rsidRPr="00076F3E">
        <w:rPr>
          <w:spacing w:val="-2"/>
          <w:sz w:val="22"/>
          <w:szCs w:val="22"/>
        </w:rPr>
        <w:t>18315</w:t>
      </w:r>
      <w:r w:rsidR="00D20EC0" w:rsidRPr="00076F3E">
        <w:rPr>
          <w:spacing w:val="-2"/>
          <w:sz w:val="22"/>
          <w:szCs w:val="22"/>
        </w:rPr>
        <w:t>, National Bureau of Economic Research, Cambridge, MA.</w:t>
      </w:r>
    </w:p>
    <w:p w14:paraId="224AFD30" w14:textId="77777777" w:rsidR="00D76048" w:rsidRPr="00076F3E" w:rsidRDefault="00D76048" w:rsidP="00D4400D">
      <w:pPr>
        <w:pStyle w:val="Reference"/>
        <w:rPr>
          <w:spacing w:val="-2"/>
          <w:sz w:val="22"/>
          <w:szCs w:val="22"/>
        </w:rPr>
      </w:pPr>
      <w:r w:rsidRPr="00076F3E">
        <w:rPr>
          <w:spacing w:val="-2"/>
          <w:sz w:val="22"/>
          <w:szCs w:val="22"/>
        </w:rPr>
        <w:t xml:space="preserve">—— 2016, </w:t>
      </w:r>
      <w:r w:rsidRPr="00076F3E">
        <w:rPr>
          <w:i/>
          <w:iCs/>
          <w:spacing w:val="-2"/>
          <w:sz w:val="22"/>
          <w:szCs w:val="22"/>
        </w:rPr>
        <w:t>The Rise and Fall of American Growth</w:t>
      </w:r>
      <w:r w:rsidRPr="00076F3E">
        <w:rPr>
          <w:spacing w:val="-2"/>
          <w:sz w:val="22"/>
          <w:szCs w:val="22"/>
        </w:rPr>
        <w:t>, Princeton University Press, Princeton.</w:t>
      </w:r>
    </w:p>
    <w:p w14:paraId="31DFE238" w14:textId="77777777" w:rsidR="00D76048" w:rsidRPr="00076F3E" w:rsidRDefault="00D76048" w:rsidP="00D4400D">
      <w:pPr>
        <w:pStyle w:val="Reference"/>
        <w:rPr>
          <w:spacing w:val="-2"/>
          <w:sz w:val="22"/>
          <w:szCs w:val="22"/>
        </w:rPr>
      </w:pPr>
      <w:r w:rsidRPr="00076F3E">
        <w:rPr>
          <w:spacing w:val="-2"/>
          <w:sz w:val="22"/>
          <w:szCs w:val="22"/>
        </w:rPr>
        <w:t>Hatfield</w:t>
      </w:r>
      <w:r w:rsidR="006A0FED" w:rsidRPr="00076F3E">
        <w:rPr>
          <w:spacing w:val="-2"/>
          <w:sz w:val="22"/>
          <w:szCs w:val="22"/>
        </w:rPr>
        <w:noBreakHyphen/>
      </w:r>
      <w:proofErr w:type="spellStart"/>
      <w:r w:rsidRPr="00076F3E">
        <w:rPr>
          <w:spacing w:val="-2"/>
          <w:sz w:val="22"/>
          <w:szCs w:val="22"/>
        </w:rPr>
        <w:t>Dodds</w:t>
      </w:r>
      <w:proofErr w:type="spellEnd"/>
      <w:r w:rsidRPr="00076F3E">
        <w:rPr>
          <w:spacing w:val="-2"/>
          <w:sz w:val="22"/>
          <w:szCs w:val="22"/>
        </w:rPr>
        <w:t xml:space="preserve">, S., Hughes, N., Cameron, A., Miller, M. and Jackson, T. 2018, ‘Analysis of 2018 Drought’, </w:t>
      </w:r>
      <w:proofErr w:type="spellStart"/>
      <w:r w:rsidRPr="00076F3E">
        <w:rPr>
          <w:i/>
          <w:iCs/>
          <w:spacing w:val="-2"/>
          <w:sz w:val="22"/>
          <w:szCs w:val="22"/>
        </w:rPr>
        <w:t>ABARES</w:t>
      </w:r>
      <w:proofErr w:type="spellEnd"/>
      <w:r w:rsidRPr="00076F3E">
        <w:rPr>
          <w:i/>
          <w:iCs/>
          <w:spacing w:val="-2"/>
          <w:sz w:val="22"/>
          <w:szCs w:val="22"/>
        </w:rPr>
        <w:t xml:space="preserve"> Insights, Department of Agriculture and Water Resources</w:t>
      </w:r>
      <w:r w:rsidRPr="00076F3E">
        <w:rPr>
          <w:spacing w:val="-2"/>
          <w:sz w:val="22"/>
          <w:szCs w:val="22"/>
        </w:rPr>
        <w:t>, no. 2, pp. 1–7.</w:t>
      </w:r>
    </w:p>
    <w:p w14:paraId="74F658A1" w14:textId="77777777" w:rsidR="00D76048" w:rsidRPr="00076F3E" w:rsidRDefault="00D76048" w:rsidP="00D4400D">
      <w:pPr>
        <w:pStyle w:val="Reference"/>
        <w:rPr>
          <w:spacing w:val="-2"/>
          <w:sz w:val="22"/>
          <w:szCs w:val="22"/>
        </w:rPr>
      </w:pPr>
      <w:r w:rsidRPr="00076F3E">
        <w:rPr>
          <w:spacing w:val="-2"/>
          <w:sz w:val="22"/>
          <w:szCs w:val="22"/>
        </w:rPr>
        <w:t>Heath, A. 2018, ‘The Evolving Australian Labour Market’</w:t>
      </w:r>
      <w:r w:rsidR="00D20EC0" w:rsidRPr="00076F3E">
        <w:rPr>
          <w:spacing w:val="-2"/>
          <w:sz w:val="22"/>
          <w:szCs w:val="22"/>
        </w:rPr>
        <w:t>, Presented to Business Educators Australasia 2018 Biennial Conference, 5 October, Canberra</w:t>
      </w:r>
      <w:r w:rsidRPr="00076F3E">
        <w:rPr>
          <w:spacing w:val="-2"/>
          <w:sz w:val="22"/>
          <w:szCs w:val="22"/>
        </w:rPr>
        <w:t>.</w:t>
      </w:r>
    </w:p>
    <w:p w14:paraId="29B313F9" w14:textId="77777777" w:rsidR="00D76048" w:rsidRPr="00076F3E" w:rsidRDefault="00D76048" w:rsidP="00D4400D">
      <w:pPr>
        <w:pStyle w:val="Reference"/>
        <w:rPr>
          <w:spacing w:val="-2"/>
          <w:sz w:val="22"/>
          <w:szCs w:val="22"/>
        </w:rPr>
      </w:pPr>
      <w:r w:rsidRPr="00076F3E">
        <w:rPr>
          <w:spacing w:val="-2"/>
          <w:sz w:val="22"/>
          <w:szCs w:val="22"/>
        </w:rPr>
        <w:t xml:space="preserve">Jacobs, D. and Rush, A. 2015, ‘Why is Wage Growth So Low?’, </w:t>
      </w:r>
      <w:r w:rsidRPr="00076F3E">
        <w:rPr>
          <w:i/>
          <w:iCs/>
          <w:spacing w:val="-2"/>
          <w:sz w:val="22"/>
          <w:szCs w:val="22"/>
        </w:rPr>
        <w:t>Reserve Bank Bulletin</w:t>
      </w:r>
      <w:r w:rsidRPr="00076F3E">
        <w:rPr>
          <w:spacing w:val="-2"/>
          <w:sz w:val="22"/>
          <w:szCs w:val="22"/>
        </w:rPr>
        <w:t>, June Quarter, pp. 9–18.</w:t>
      </w:r>
    </w:p>
    <w:p w14:paraId="5611F81E" w14:textId="77777777" w:rsidR="00D76048" w:rsidRPr="00076F3E" w:rsidRDefault="00D76048" w:rsidP="00D4400D">
      <w:pPr>
        <w:pStyle w:val="Reference"/>
        <w:rPr>
          <w:spacing w:val="-2"/>
          <w:sz w:val="22"/>
          <w:szCs w:val="22"/>
        </w:rPr>
      </w:pPr>
      <w:r w:rsidRPr="00076F3E">
        <w:rPr>
          <w:spacing w:val="-2"/>
          <w:sz w:val="22"/>
          <w:szCs w:val="22"/>
        </w:rPr>
        <w:t xml:space="preserve">Kirchner, S. 2019, </w:t>
      </w:r>
      <w:r w:rsidRPr="00076F3E">
        <w:rPr>
          <w:i/>
          <w:iCs/>
          <w:spacing w:val="-2"/>
          <w:sz w:val="22"/>
          <w:szCs w:val="22"/>
        </w:rPr>
        <w:t xml:space="preserve">Unbroken: Productivity and </w:t>
      </w:r>
      <w:r w:rsidR="00D20EC0" w:rsidRPr="00076F3E">
        <w:rPr>
          <w:i/>
          <w:iCs/>
          <w:spacing w:val="-2"/>
          <w:sz w:val="22"/>
          <w:szCs w:val="22"/>
        </w:rPr>
        <w:t xml:space="preserve">Worker Compensation </w:t>
      </w:r>
      <w:r w:rsidRPr="00076F3E">
        <w:rPr>
          <w:i/>
          <w:iCs/>
          <w:spacing w:val="-2"/>
          <w:sz w:val="22"/>
          <w:szCs w:val="22"/>
        </w:rPr>
        <w:t>in Australia and the United States</w:t>
      </w:r>
      <w:r w:rsidRPr="00076F3E">
        <w:rPr>
          <w:spacing w:val="-2"/>
          <w:sz w:val="22"/>
          <w:szCs w:val="22"/>
        </w:rPr>
        <w:t>, United States Studies Centre</w:t>
      </w:r>
      <w:r w:rsidR="00D20EC0" w:rsidRPr="00076F3E">
        <w:rPr>
          <w:spacing w:val="-2"/>
          <w:sz w:val="22"/>
          <w:szCs w:val="22"/>
        </w:rPr>
        <w:t>,</w:t>
      </w:r>
      <w:r w:rsidRPr="00076F3E">
        <w:rPr>
          <w:spacing w:val="-2"/>
          <w:sz w:val="22"/>
          <w:szCs w:val="22"/>
        </w:rPr>
        <w:t xml:space="preserve"> University of Sydney, Sydney.</w:t>
      </w:r>
    </w:p>
    <w:p w14:paraId="0A688DBD" w14:textId="77777777" w:rsidR="00D76048" w:rsidRPr="00076F3E" w:rsidRDefault="00D76048" w:rsidP="00D4400D">
      <w:pPr>
        <w:pStyle w:val="Reference"/>
        <w:rPr>
          <w:spacing w:val="-2"/>
          <w:sz w:val="22"/>
          <w:szCs w:val="22"/>
        </w:rPr>
      </w:pPr>
      <w:r w:rsidRPr="00076F3E">
        <w:rPr>
          <w:spacing w:val="-2"/>
          <w:sz w:val="22"/>
          <w:szCs w:val="22"/>
        </w:rPr>
        <w:t xml:space="preserve">La Cava, G. 2019, ‘The Labour and Capital Shares of Income in Australia’, </w:t>
      </w:r>
      <w:r w:rsidRPr="00076F3E">
        <w:rPr>
          <w:i/>
          <w:iCs/>
          <w:spacing w:val="-2"/>
          <w:sz w:val="22"/>
          <w:szCs w:val="22"/>
        </w:rPr>
        <w:t>Reserve Bank Bulletin</w:t>
      </w:r>
      <w:r w:rsidRPr="00076F3E">
        <w:rPr>
          <w:spacing w:val="-2"/>
          <w:sz w:val="22"/>
          <w:szCs w:val="22"/>
        </w:rPr>
        <w:t>, March Quarter, pp. 1–22.</w:t>
      </w:r>
    </w:p>
    <w:p w14:paraId="68124248" w14:textId="77777777" w:rsidR="00D76048" w:rsidRPr="00076F3E" w:rsidRDefault="00D76048" w:rsidP="00D4400D">
      <w:pPr>
        <w:pStyle w:val="Reference"/>
        <w:rPr>
          <w:spacing w:val="-2"/>
          <w:sz w:val="22"/>
          <w:szCs w:val="22"/>
        </w:rPr>
      </w:pPr>
      <w:r w:rsidRPr="00076F3E">
        <w:rPr>
          <w:spacing w:val="-2"/>
          <w:sz w:val="22"/>
          <w:szCs w:val="22"/>
        </w:rPr>
        <w:t>Lass, I. and Wooden, M. 2019, ‘Non</w:t>
      </w:r>
      <w:r w:rsidR="006A0FED" w:rsidRPr="00076F3E">
        <w:rPr>
          <w:spacing w:val="-2"/>
          <w:sz w:val="22"/>
          <w:szCs w:val="22"/>
        </w:rPr>
        <w:noBreakHyphen/>
      </w:r>
      <w:r w:rsidRPr="00076F3E">
        <w:rPr>
          <w:spacing w:val="-2"/>
          <w:sz w:val="22"/>
          <w:szCs w:val="22"/>
        </w:rPr>
        <w:t xml:space="preserve">standard Employment and Wages in Australia’, </w:t>
      </w:r>
      <w:r w:rsidR="00D20EC0" w:rsidRPr="00076F3E">
        <w:rPr>
          <w:spacing w:val="-2"/>
          <w:sz w:val="22"/>
          <w:szCs w:val="22"/>
        </w:rPr>
        <w:t xml:space="preserve">Presented </w:t>
      </w:r>
      <w:r w:rsidRPr="00076F3E">
        <w:rPr>
          <w:spacing w:val="-2"/>
          <w:sz w:val="22"/>
          <w:szCs w:val="22"/>
        </w:rPr>
        <w:t xml:space="preserve">at Reserve Bank of Australia Low </w:t>
      </w:r>
      <w:r w:rsidR="00D20EC0" w:rsidRPr="00076F3E">
        <w:rPr>
          <w:spacing w:val="-2"/>
          <w:sz w:val="22"/>
          <w:szCs w:val="22"/>
        </w:rPr>
        <w:t xml:space="preserve">Wage Growth </w:t>
      </w:r>
      <w:r w:rsidRPr="00076F3E">
        <w:rPr>
          <w:spacing w:val="-2"/>
          <w:sz w:val="22"/>
          <w:szCs w:val="22"/>
        </w:rPr>
        <w:t>Conference, 4</w:t>
      </w:r>
      <w:r w:rsidR="00D20EC0" w:rsidRPr="00076F3E">
        <w:rPr>
          <w:spacing w:val="-2"/>
          <w:sz w:val="22"/>
          <w:szCs w:val="22"/>
        </w:rPr>
        <w:t>–</w:t>
      </w:r>
      <w:r w:rsidRPr="00076F3E">
        <w:rPr>
          <w:spacing w:val="-2"/>
          <w:sz w:val="22"/>
          <w:szCs w:val="22"/>
        </w:rPr>
        <w:t>5</w:t>
      </w:r>
      <w:r w:rsidR="00D20EC0" w:rsidRPr="00076F3E">
        <w:rPr>
          <w:spacing w:val="-2"/>
          <w:sz w:val="22"/>
          <w:szCs w:val="22"/>
        </w:rPr>
        <w:t> </w:t>
      </w:r>
      <w:r w:rsidRPr="00076F3E">
        <w:rPr>
          <w:spacing w:val="-2"/>
          <w:sz w:val="22"/>
          <w:szCs w:val="22"/>
        </w:rPr>
        <w:t>April</w:t>
      </w:r>
      <w:r w:rsidR="00D20EC0" w:rsidRPr="00076F3E">
        <w:rPr>
          <w:spacing w:val="-2"/>
          <w:sz w:val="22"/>
          <w:szCs w:val="22"/>
        </w:rPr>
        <w:t>, Sydney</w:t>
      </w:r>
      <w:r w:rsidRPr="00076F3E">
        <w:rPr>
          <w:spacing w:val="-2"/>
          <w:sz w:val="22"/>
          <w:szCs w:val="22"/>
        </w:rPr>
        <w:t>.</w:t>
      </w:r>
    </w:p>
    <w:p w14:paraId="1F85ADF5" w14:textId="77777777" w:rsidR="00D76048" w:rsidRPr="00076F3E" w:rsidRDefault="00D76048" w:rsidP="00D4400D">
      <w:pPr>
        <w:pStyle w:val="Reference"/>
        <w:rPr>
          <w:spacing w:val="-2"/>
          <w:sz w:val="22"/>
          <w:szCs w:val="22"/>
        </w:rPr>
      </w:pPr>
      <w:r w:rsidRPr="00076F3E">
        <w:rPr>
          <w:spacing w:val="-2"/>
          <w:sz w:val="22"/>
          <w:szCs w:val="22"/>
        </w:rPr>
        <w:t xml:space="preserve">Lowe, P. 2018, ‘Productivity, Wages and Prosperity’, </w:t>
      </w:r>
      <w:r w:rsidR="00D20EC0" w:rsidRPr="00076F3E">
        <w:rPr>
          <w:spacing w:val="-2"/>
          <w:sz w:val="22"/>
          <w:szCs w:val="22"/>
        </w:rPr>
        <w:t xml:space="preserve">Presented to the </w:t>
      </w:r>
      <w:r w:rsidRPr="00076F3E">
        <w:rPr>
          <w:spacing w:val="-2"/>
          <w:sz w:val="22"/>
          <w:szCs w:val="22"/>
        </w:rPr>
        <w:t>Australian Industry Group</w:t>
      </w:r>
      <w:r w:rsidR="00D20EC0" w:rsidRPr="00076F3E">
        <w:rPr>
          <w:spacing w:val="-2"/>
          <w:sz w:val="22"/>
          <w:szCs w:val="22"/>
        </w:rPr>
        <w:t>, 13 June, Melbourne</w:t>
      </w:r>
      <w:r w:rsidRPr="00076F3E">
        <w:rPr>
          <w:spacing w:val="-2"/>
          <w:sz w:val="22"/>
          <w:szCs w:val="22"/>
        </w:rPr>
        <w:t>.</w:t>
      </w:r>
    </w:p>
    <w:p w14:paraId="666F55C3" w14:textId="77777777" w:rsidR="00D76048" w:rsidRPr="00076F3E" w:rsidRDefault="00D76048" w:rsidP="00D4400D">
      <w:pPr>
        <w:pStyle w:val="Reference"/>
        <w:rPr>
          <w:spacing w:val="-2"/>
          <w:sz w:val="22"/>
          <w:szCs w:val="22"/>
        </w:rPr>
      </w:pPr>
      <w:r w:rsidRPr="00076F3E">
        <w:rPr>
          <w:spacing w:val="-2"/>
          <w:sz w:val="22"/>
          <w:szCs w:val="22"/>
        </w:rPr>
        <w:lastRenderedPageBreak/>
        <w:t xml:space="preserve">Luo, Q. 2018, </w:t>
      </w:r>
      <w:r w:rsidRPr="00076F3E">
        <w:rPr>
          <w:i/>
          <w:iCs/>
          <w:spacing w:val="-2"/>
          <w:sz w:val="22"/>
          <w:szCs w:val="22"/>
        </w:rPr>
        <w:t>Disease Based Output Measures for Hospitals</w:t>
      </w:r>
      <w:r w:rsidRPr="00076F3E">
        <w:rPr>
          <w:spacing w:val="-2"/>
          <w:sz w:val="22"/>
          <w:szCs w:val="22"/>
        </w:rPr>
        <w:t>, Australian Bureau of Statistics, Canberra.</w:t>
      </w:r>
    </w:p>
    <w:p w14:paraId="5839F7CC" w14:textId="77777777" w:rsidR="00D76048" w:rsidRPr="00076F3E" w:rsidRDefault="00D76048" w:rsidP="00D4400D">
      <w:pPr>
        <w:pStyle w:val="Reference"/>
        <w:rPr>
          <w:spacing w:val="-2"/>
          <w:sz w:val="22"/>
          <w:szCs w:val="22"/>
        </w:rPr>
      </w:pPr>
      <w:r w:rsidRPr="00076F3E">
        <w:rPr>
          <w:spacing w:val="-2"/>
          <w:sz w:val="22"/>
          <w:szCs w:val="22"/>
        </w:rPr>
        <w:t xml:space="preserve">McGowan, M.A. and Andrews, D. </w:t>
      </w:r>
      <w:proofErr w:type="spellStart"/>
      <w:r w:rsidRPr="00076F3E">
        <w:rPr>
          <w:spacing w:val="-2"/>
          <w:sz w:val="22"/>
          <w:szCs w:val="22"/>
        </w:rPr>
        <w:t>2015a</w:t>
      </w:r>
      <w:proofErr w:type="spellEnd"/>
      <w:r w:rsidRPr="00076F3E">
        <w:rPr>
          <w:spacing w:val="-2"/>
          <w:sz w:val="22"/>
          <w:szCs w:val="22"/>
        </w:rPr>
        <w:t xml:space="preserve">, </w:t>
      </w:r>
      <w:r w:rsidRPr="00076F3E">
        <w:rPr>
          <w:i/>
          <w:iCs/>
          <w:spacing w:val="-2"/>
          <w:sz w:val="22"/>
          <w:szCs w:val="22"/>
        </w:rPr>
        <w:t>Labour Market Mismatch and Labour Productivity</w:t>
      </w:r>
      <w:r w:rsidRPr="00076F3E">
        <w:rPr>
          <w:spacing w:val="-2"/>
          <w:sz w:val="22"/>
          <w:szCs w:val="22"/>
        </w:rPr>
        <w:t>, OECD Economics Department Working Paper</w:t>
      </w:r>
      <w:r w:rsidR="00D20EC0" w:rsidRPr="00076F3E">
        <w:rPr>
          <w:spacing w:val="-2"/>
          <w:sz w:val="22"/>
          <w:szCs w:val="22"/>
        </w:rPr>
        <w:t xml:space="preserve"> no. </w:t>
      </w:r>
      <w:r w:rsidRPr="00076F3E">
        <w:rPr>
          <w:spacing w:val="-2"/>
          <w:sz w:val="22"/>
          <w:szCs w:val="22"/>
        </w:rPr>
        <w:t>1209, Organisation for Economic Co</w:t>
      </w:r>
      <w:r w:rsidR="006A0FED" w:rsidRPr="00076F3E">
        <w:rPr>
          <w:spacing w:val="-2"/>
          <w:sz w:val="22"/>
          <w:szCs w:val="22"/>
        </w:rPr>
        <w:noBreakHyphen/>
      </w:r>
      <w:r w:rsidRPr="00076F3E">
        <w:rPr>
          <w:spacing w:val="-2"/>
          <w:sz w:val="22"/>
          <w:szCs w:val="22"/>
        </w:rPr>
        <w:t>operation and Development</w:t>
      </w:r>
      <w:r w:rsidR="004D2A27" w:rsidRPr="00076F3E">
        <w:rPr>
          <w:spacing w:val="-2"/>
          <w:sz w:val="22"/>
          <w:szCs w:val="22"/>
        </w:rPr>
        <w:t>, Paris</w:t>
      </w:r>
      <w:r w:rsidRPr="00076F3E">
        <w:rPr>
          <w:spacing w:val="-2"/>
          <w:sz w:val="22"/>
          <w:szCs w:val="22"/>
        </w:rPr>
        <w:t>.</w:t>
      </w:r>
    </w:p>
    <w:p w14:paraId="42E444C5" w14:textId="77777777"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2015b</w:t>
      </w:r>
      <w:proofErr w:type="spellEnd"/>
      <w:r w:rsidRPr="00076F3E">
        <w:rPr>
          <w:spacing w:val="-2"/>
          <w:sz w:val="22"/>
          <w:szCs w:val="22"/>
        </w:rPr>
        <w:t xml:space="preserve">, </w:t>
      </w:r>
      <w:r w:rsidRPr="00076F3E">
        <w:rPr>
          <w:i/>
          <w:iCs/>
          <w:spacing w:val="-2"/>
          <w:sz w:val="22"/>
          <w:szCs w:val="22"/>
        </w:rPr>
        <w:t>Skill Mismatch and Public Policy in OECD Countries</w:t>
      </w:r>
      <w:r w:rsidRPr="00076F3E">
        <w:rPr>
          <w:spacing w:val="-2"/>
          <w:sz w:val="22"/>
          <w:szCs w:val="22"/>
        </w:rPr>
        <w:t>, OECD Economics Department Working Paper</w:t>
      </w:r>
      <w:r w:rsidR="00D20EC0" w:rsidRPr="00076F3E">
        <w:rPr>
          <w:spacing w:val="-2"/>
          <w:sz w:val="22"/>
          <w:szCs w:val="22"/>
        </w:rPr>
        <w:t xml:space="preserve"> no. </w:t>
      </w:r>
      <w:r w:rsidRPr="00076F3E">
        <w:rPr>
          <w:spacing w:val="-2"/>
          <w:sz w:val="22"/>
          <w:szCs w:val="22"/>
        </w:rPr>
        <w:t>1210, Organisation for Economic Co</w:t>
      </w:r>
      <w:r w:rsidR="006A0FED" w:rsidRPr="00076F3E">
        <w:rPr>
          <w:spacing w:val="-2"/>
          <w:sz w:val="22"/>
          <w:szCs w:val="22"/>
        </w:rPr>
        <w:noBreakHyphen/>
      </w:r>
      <w:r w:rsidRPr="00076F3E">
        <w:rPr>
          <w:spacing w:val="-2"/>
          <w:sz w:val="22"/>
          <w:szCs w:val="22"/>
        </w:rPr>
        <w:t>operation and Development</w:t>
      </w:r>
      <w:r w:rsidR="00D20EC0" w:rsidRPr="00076F3E">
        <w:rPr>
          <w:spacing w:val="-2"/>
          <w:sz w:val="22"/>
          <w:szCs w:val="22"/>
        </w:rPr>
        <w:t>, Paris</w:t>
      </w:r>
      <w:r w:rsidRPr="00076F3E">
        <w:rPr>
          <w:spacing w:val="-2"/>
          <w:sz w:val="22"/>
          <w:szCs w:val="22"/>
        </w:rPr>
        <w:t>.</w:t>
      </w:r>
    </w:p>
    <w:p w14:paraId="4A2F167A" w14:textId="77777777" w:rsidR="00D76048" w:rsidRPr="00076F3E" w:rsidRDefault="00D76048" w:rsidP="00D4400D">
      <w:pPr>
        <w:pStyle w:val="Reference"/>
        <w:rPr>
          <w:spacing w:val="-2"/>
          <w:sz w:val="22"/>
          <w:szCs w:val="22"/>
        </w:rPr>
      </w:pPr>
      <w:r w:rsidRPr="00076F3E">
        <w:rPr>
          <w:spacing w:val="-2"/>
          <w:sz w:val="22"/>
          <w:szCs w:val="22"/>
        </w:rPr>
        <w:t xml:space="preserve">van der Merwe, M., </w:t>
      </w:r>
      <w:proofErr w:type="spellStart"/>
      <w:r w:rsidRPr="00076F3E">
        <w:rPr>
          <w:spacing w:val="-2"/>
          <w:sz w:val="22"/>
          <w:szCs w:val="22"/>
        </w:rPr>
        <w:t>Cockerell</w:t>
      </w:r>
      <w:proofErr w:type="spellEnd"/>
      <w:r w:rsidRPr="00076F3E">
        <w:rPr>
          <w:spacing w:val="-2"/>
          <w:sz w:val="22"/>
          <w:szCs w:val="22"/>
        </w:rPr>
        <w:t xml:space="preserve">, L., Chambers, M. and </w:t>
      </w:r>
      <w:proofErr w:type="spellStart"/>
      <w:r w:rsidRPr="00076F3E">
        <w:rPr>
          <w:spacing w:val="-2"/>
          <w:sz w:val="22"/>
          <w:szCs w:val="22"/>
        </w:rPr>
        <w:t>Jääskelä</w:t>
      </w:r>
      <w:proofErr w:type="spellEnd"/>
      <w:r w:rsidRPr="00076F3E">
        <w:rPr>
          <w:spacing w:val="-2"/>
          <w:sz w:val="22"/>
          <w:szCs w:val="22"/>
        </w:rPr>
        <w:t>, J. 2018, ‘Private Non</w:t>
      </w:r>
      <w:r w:rsidR="006A0FED" w:rsidRPr="00076F3E">
        <w:rPr>
          <w:spacing w:val="-2"/>
          <w:sz w:val="22"/>
          <w:szCs w:val="22"/>
        </w:rPr>
        <w:noBreakHyphen/>
      </w:r>
      <w:r w:rsidRPr="00076F3E">
        <w:rPr>
          <w:spacing w:val="-2"/>
          <w:sz w:val="22"/>
          <w:szCs w:val="22"/>
        </w:rPr>
        <w:t>mining Investment in Australia</w:t>
      </w:r>
      <w:r w:rsidR="00D20EC0" w:rsidRPr="00076F3E">
        <w:rPr>
          <w:spacing w:val="-2"/>
          <w:sz w:val="22"/>
          <w:szCs w:val="22"/>
        </w:rPr>
        <w:t>’,</w:t>
      </w:r>
      <w:r w:rsidRPr="00076F3E">
        <w:rPr>
          <w:spacing w:val="-2"/>
          <w:sz w:val="22"/>
          <w:szCs w:val="22"/>
        </w:rPr>
        <w:t xml:space="preserve"> </w:t>
      </w:r>
      <w:r w:rsidR="00D20EC0" w:rsidRPr="00076F3E">
        <w:rPr>
          <w:i/>
          <w:iCs/>
          <w:spacing w:val="-2"/>
          <w:sz w:val="22"/>
          <w:szCs w:val="22"/>
        </w:rPr>
        <w:t>Reserve Bank Bulletin</w:t>
      </w:r>
      <w:r w:rsidR="00651076" w:rsidRPr="00076F3E">
        <w:rPr>
          <w:spacing w:val="-2"/>
          <w:sz w:val="22"/>
          <w:szCs w:val="22"/>
        </w:rPr>
        <w:t>, June</w:t>
      </w:r>
      <w:r w:rsidR="00D20EC0" w:rsidRPr="00076F3E">
        <w:rPr>
          <w:spacing w:val="-2"/>
          <w:sz w:val="22"/>
          <w:szCs w:val="22"/>
        </w:rPr>
        <w:t xml:space="preserve"> Quarter</w:t>
      </w:r>
      <w:r w:rsidR="004D2A27" w:rsidRPr="00076F3E">
        <w:rPr>
          <w:spacing w:val="-2"/>
          <w:sz w:val="22"/>
          <w:szCs w:val="22"/>
        </w:rPr>
        <w:t>, pp. 1–20</w:t>
      </w:r>
      <w:r w:rsidRPr="00076F3E">
        <w:rPr>
          <w:spacing w:val="-2"/>
          <w:sz w:val="22"/>
          <w:szCs w:val="22"/>
        </w:rPr>
        <w:t>.</w:t>
      </w:r>
    </w:p>
    <w:p w14:paraId="0B7E2927" w14:textId="77777777" w:rsidR="00D76048" w:rsidRPr="00076F3E" w:rsidRDefault="00D76048" w:rsidP="00D4400D">
      <w:pPr>
        <w:pStyle w:val="Reference"/>
        <w:rPr>
          <w:spacing w:val="-2"/>
          <w:sz w:val="22"/>
          <w:szCs w:val="22"/>
        </w:rPr>
      </w:pPr>
      <w:r w:rsidRPr="00076F3E">
        <w:rPr>
          <w:spacing w:val="-2"/>
          <w:sz w:val="22"/>
          <w:szCs w:val="22"/>
        </w:rPr>
        <w:t xml:space="preserve">Mokyr, J. 2014, ‘The Next Age of Invention: Technology’s Future is Brighter than Pessimists Allow’, </w:t>
      </w:r>
      <w:r w:rsidRPr="00076F3E">
        <w:rPr>
          <w:i/>
          <w:iCs/>
          <w:spacing w:val="-2"/>
          <w:sz w:val="22"/>
          <w:szCs w:val="22"/>
        </w:rPr>
        <w:t>City Journal</w:t>
      </w:r>
      <w:r w:rsidRPr="00076F3E">
        <w:rPr>
          <w:spacing w:val="-2"/>
          <w:sz w:val="22"/>
          <w:szCs w:val="22"/>
        </w:rPr>
        <w:t>, vol. 24, no. 1, pp. 12–21.</w:t>
      </w:r>
    </w:p>
    <w:p w14:paraId="01FD870D" w14:textId="77777777" w:rsidR="00D76048" w:rsidRPr="00076F3E" w:rsidRDefault="00D76048" w:rsidP="00D4400D">
      <w:pPr>
        <w:pStyle w:val="Reference"/>
        <w:rPr>
          <w:spacing w:val="-2"/>
          <w:sz w:val="22"/>
          <w:szCs w:val="22"/>
        </w:rPr>
      </w:pPr>
      <w:proofErr w:type="spellStart"/>
      <w:r w:rsidRPr="00076F3E">
        <w:rPr>
          <w:spacing w:val="-2"/>
          <w:sz w:val="22"/>
          <w:szCs w:val="22"/>
        </w:rPr>
        <w:t>Moscarini</w:t>
      </w:r>
      <w:proofErr w:type="spellEnd"/>
      <w:r w:rsidRPr="00076F3E">
        <w:rPr>
          <w:spacing w:val="-2"/>
          <w:sz w:val="22"/>
          <w:szCs w:val="22"/>
        </w:rPr>
        <w:t xml:space="preserve">, G. and </w:t>
      </w:r>
      <w:proofErr w:type="spellStart"/>
      <w:r w:rsidRPr="00076F3E">
        <w:rPr>
          <w:spacing w:val="-2"/>
          <w:sz w:val="22"/>
          <w:szCs w:val="22"/>
        </w:rPr>
        <w:t>Postel</w:t>
      </w:r>
      <w:proofErr w:type="spellEnd"/>
      <w:r w:rsidR="006A0FED" w:rsidRPr="00076F3E">
        <w:rPr>
          <w:spacing w:val="-2"/>
          <w:sz w:val="22"/>
          <w:szCs w:val="22"/>
        </w:rPr>
        <w:noBreakHyphen/>
      </w:r>
      <w:r w:rsidRPr="00076F3E">
        <w:rPr>
          <w:spacing w:val="-2"/>
          <w:sz w:val="22"/>
          <w:szCs w:val="22"/>
        </w:rPr>
        <w:t>Vinay, F. 2017, ‘The Relative Power of Employment to</w:t>
      </w:r>
      <w:r w:rsidR="006A0FED" w:rsidRPr="00076F3E">
        <w:rPr>
          <w:spacing w:val="-2"/>
          <w:sz w:val="22"/>
          <w:szCs w:val="22"/>
        </w:rPr>
        <w:noBreakHyphen/>
      </w:r>
      <w:r w:rsidRPr="00076F3E">
        <w:rPr>
          <w:spacing w:val="-2"/>
          <w:sz w:val="22"/>
          <w:szCs w:val="22"/>
        </w:rPr>
        <w:t xml:space="preserve">Employment Reallocation and Unemployment Exits in Predicting Wage Growth’, </w:t>
      </w:r>
      <w:r w:rsidRPr="00076F3E">
        <w:rPr>
          <w:i/>
          <w:iCs/>
          <w:spacing w:val="-2"/>
          <w:sz w:val="22"/>
          <w:szCs w:val="22"/>
        </w:rPr>
        <w:t>American Economic Review</w:t>
      </w:r>
      <w:r w:rsidRPr="00076F3E">
        <w:rPr>
          <w:spacing w:val="-2"/>
          <w:sz w:val="22"/>
          <w:szCs w:val="22"/>
        </w:rPr>
        <w:t>, vol. 107, no. 5, pp. 364–68.</w:t>
      </w:r>
    </w:p>
    <w:p w14:paraId="7632B4F1" w14:textId="77777777" w:rsidR="00D76048" w:rsidRPr="00076F3E" w:rsidRDefault="00D76048" w:rsidP="00D4400D">
      <w:pPr>
        <w:pStyle w:val="Reference"/>
        <w:rPr>
          <w:spacing w:val="-2"/>
          <w:sz w:val="22"/>
          <w:szCs w:val="22"/>
        </w:rPr>
      </w:pPr>
      <w:r w:rsidRPr="00076F3E">
        <w:rPr>
          <w:spacing w:val="-2"/>
          <w:sz w:val="22"/>
          <w:szCs w:val="22"/>
        </w:rPr>
        <w:t>OECD (Organisation for Economic Co</w:t>
      </w:r>
      <w:r w:rsidR="006A0FED" w:rsidRPr="00076F3E">
        <w:rPr>
          <w:spacing w:val="-2"/>
          <w:sz w:val="22"/>
          <w:szCs w:val="22"/>
        </w:rPr>
        <w:noBreakHyphen/>
      </w:r>
      <w:r w:rsidRPr="00076F3E">
        <w:rPr>
          <w:spacing w:val="-2"/>
          <w:sz w:val="22"/>
          <w:szCs w:val="22"/>
        </w:rPr>
        <w:t xml:space="preserve">operation and Development) </w:t>
      </w:r>
      <w:proofErr w:type="spellStart"/>
      <w:r w:rsidRPr="00076F3E">
        <w:rPr>
          <w:spacing w:val="-2"/>
          <w:sz w:val="22"/>
          <w:szCs w:val="22"/>
        </w:rPr>
        <w:t>2018a</w:t>
      </w:r>
      <w:proofErr w:type="spellEnd"/>
      <w:r w:rsidRPr="00076F3E">
        <w:rPr>
          <w:spacing w:val="-2"/>
          <w:sz w:val="22"/>
          <w:szCs w:val="22"/>
        </w:rPr>
        <w:t xml:space="preserve">, </w:t>
      </w:r>
      <w:r w:rsidRPr="00076F3E">
        <w:rPr>
          <w:i/>
          <w:iCs/>
          <w:spacing w:val="-2"/>
          <w:sz w:val="22"/>
          <w:szCs w:val="22"/>
        </w:rPr>
        <w:t>OECD Compendium of Productivity Indicators 2018</w:t>
      </w:r>
      <w:r w:rsidRPr="00076F3E">
        <w:rPr>
          <w:spacing w:val="-2"/>
          <w:sz w:val="22"/>
          <w:szCs w:val="22"/>
        </w:rPr>
        <w:t>, Paris.</w:t>
      </w:r>
    </w:p>
    <w:p w14:paraId="12547CBD" w14:textId="77777777" w:rsidR="00D76048" w:rsidRPr="00076F3E" w:rsidRDefault="00D76048" w:rsidP="00D4400D">
      <w:pPr>
        <w:pStyle w:val="Reference"/>
        <w:rPr>
          <w:spacing w:val="-2"/>
          <w:sz w:val="22"/>
          <w:szCs w:val="22"/>
        </w:rPr>
      </w:pPr>
      <w:r w:rsidRPr="00076F3E">
        <w:rPr>
          <w:spacing w:val="-2"/>
          <w:sz w:val="22"/>
          <w:szCs w:val="22"/>
        </w:rPr>
        <w:t xml:space="preserve">—— </w:t>
      </w:r>
      <w:proofErr w:type="spellStart"/>
      <w:r w:rsidRPr="00076F3E">
        <w:rPr>
          <w:spacing w:val="-2"/>
          <w:sz w:val="22"/>
          <w:szCs w:val="22"/>
        </w:rPr>
        <w:t>2018b</w:t>
      </w:r>
      <w:proofErr w:type="spellEnd"/>
      <w:r w:rsidRPr="00076F3E">
        <w:rPr>
          <w:spacing w:val="-2"/>
          <w:sz w:val="22"/>
          <w:szCs w:val="22"/>
        </w:rPr>
        <w:t xml:space="preserve">, </w:t>
      </w:r>
      <w:r w:rsidRPr="00076F3E">
        <w:rPr>
          <w:i/>
          <w:iCs/>
          <w:spacing w:val="-2"/>
          <w:sz w:val="22"/>
          <w:szCs w:val="22"/>
        </w:rPr>
        <w:t>OECD Economic Outlook 2018</w:t>
      </w:r>
      <w:r w:rsidRPr="00076F3E">
        <w:rPr>
          <w:spacing w:val="-2"/>
          <w:sz w:val="22"/>
          <w:szCs w:val="22"/>
        </w:rPr>
        <w:t>, Issue</w:t>
      </w:r>
      <w:r w:rsidR="00D20EC0" w:rsidRPr="00076F3E">
        <w:rPr>
          <w:spacing w:val="-2"/>
          <w:sz w:val="22"/>
          <w:szCs w:val="22"/>
        </w:rPr>
        <w:t> </w:t>
      </w:r>
      <w:r w:rsidRPr="00076F3E">
        <w:rPr>
          <w:spacing w:val="-2"/>
          <w:sz w:val="22"/>
          <w:szCs w:val="22"/>
        </w:rPr>
        <w:t>1</w:t>
      </w:r>
      <w:r w:rsidR="00D20EC0" w:rsidRPr="00076F3E">
        <w:rPr>
          <w:spacing w:val="-2"/>
          <w:sz w:val="22"/>
          <w:szCs w:val="22"/>
        </w:rPr>
        <w:t>, Paris</w:t>
      </w:r>
      <w:r w:rsidRPr="00076F3E">
        <w:rPr>
          <w:spacing w:val="-2"/>
          <w:sz w:val="22"/>
          <w:szCs w:val="22"/>
        </w:rPr>
        <w:t>.</w:t>
      </w:r>
    </w:p>
    <w:p w14:paraId="4E421A87" w14:textId="77777777" w:rsidR="00D76048" w:rsidRPr="00076F3E" w:rsidRDefault="00D76048" w:rsidP="00D4400D">
      <w:pPr>
        <w:pStyle w:val="Reference"/>
        <w:rPr>
          <w:spacing w:val="-2"/>
          <w:sz w:val="22"/>
          <w:szCs w:val="22"/>
        </w:rPr>
      </w:pPr>
      <w:r w:rsidRPr="00076F3E">
        <w:rPr>
          <w:spacing w:val="-2"/>
          <w:sz w:val="22"/>
          <w:szCs w:val="22"/>
        </w:rPr>
        <w:t xml:space="preserve">PC (Productivity Commission) 2017, </w:t>
      </w:r>
      <w:r w:rsidRPr="00076F3E">
        <w:rPr>
          <w:i/>
          <w:iCs/>
          <w:spacing w:val="-2"/>
          <w:sz w:val="22"/>
          <w:szCs w:val="22"/>
        </w:rPr>
        <w:t>Shifting the Dial: 5 Year Productivity Review</w:t>
      </w:r>
      <w:r w:rsidRPr="00076F3E">
        <w:rPr>
          <w:spacing w:val="-2"/>
          <w:sz w:val="22"/>
          <w:szCs w:val="22"/>
        </w:rPr>
        <w:t>, Report no.</w:t>
      </w:r>
      <w:r w:rsidR="00D20EC0" w:rsidRPr="00076F3E">
        <w:rPr>
          <w:spacing w:val="-2"/>
          <w:sz w:val="22"/>
          <w:szCs w:val="22"/>
        </w:rPr>
        <w:t> </w:t>
      </w:r>
      <w:r w:rsidRPr="00076F3E">
        <w:rPr>
          <w:spacing w:val="-2"/>
          <w:sz w:val="22"/>
          <w:szCs w:val="22"/>
        </w:rPr>
        <w:t>84, Canberra.</w:t>
      </w:r>
    </w:p>
    <w:p w14:paraId="59008BE7" w14:textId="77777777" w:rsidR="00D76048" w:rsidRPr="00076F3E" w:rsidRDefault="00D76048" w:rsidP="00D4400D">
      <w:pPr>
        <w:pStyle w:val="Reference"/>
        <w:rPr>
          <w:spacing w:val="-2"/>
          <w:sz w:val="22"/>
          <w:szCs w:val="22"/>
        </w:rPr>
      </w:pPr>
      <w:r w:rsidRPr="00076F3E">
        <w:rPr>
          <w:spacing w:val="-2"/>
          <w:sz w:val="22"/>
          <w:szCs w:val="22"/>
        </w:rPr>
        <w:t xml:space="preserve">—— 2018, </w:t>
      </w:r>
      <w:r w:rsidRPr="00076F3E">
        <w:rPr>
          <w:i/>
          <w:iCs/>
          <w:spacing w:val="-2"/>
          <w:sz w:val="22"/>
          <w:szCs w:val="22"/>
        </w:rPr>
        <w:t>Rising Inequality? A Stocktake of the Evidence</w:t>
      </w:r>
      <w:r w:rsidRPr="00076F3E">
        <w:rPr>
          <w:spacing w:val="-2"/>
          <w:sz w:val="22"/>
          <w:szCs w:val="22"/>
        </w:rPr>
        <w:t>, Commi</w:t>
      </w:r>
      <w:r w:rsidR="00651076" w:rsidRPr="00076F3E">
        <w:rPr>
          <w:spacing w:val="-2"/>
          <w:sz w:val="22"/>
          <w:szCs w:val="22"/>
        </w:rPr>
        <w:t>ssion Research Paper</w:t>
      </w:r>
      <w:r w:rsidR="00D20EC0" w:rsidRPr="00076F3E">
        <w:rPr>
          <w:spacing w:val="-2"/>
          <w:sz w:val="22"/>
          <w:szCs w:val="22"/>
        </w:rPr>
        <w:t>, Canberra</w:t>
      </w:r>
      <w:r w:rsidRPr="00076F3E">
        <w:rPr>
          <w:spacing w:val="-2"/>
          <w:sz w:val="22"/>
          <w:szCs w:val="22"/>
        </w:rPr>
        <w:t>.</w:t>
      </w:r>
    </w:p>
    <w:p w14:paraId="0503F51D" w14:textId="77777777" w:rsidR="00D76048" w:rsidRPr="00076F3E" w:rsidRDefault="00D76048" w:rsidP="00D4400D">
      <w:pPr>
        <w:pStyle w:val="Reference"/>
        <w:rPr>
          <w:spacing w:val="-2"/>
          <w:sz w:val="22"/>
          <w:szCs w:val="22"/>
        </w:rPr>
      </w:pPr>
      <w:r w:rsidRPr="00076F3E">
        <w:rPr>
          <w:spacing w:val="-2"/>
          <w:sz w:val="22"/>
          <w:szCs w:val="22"/>
        </w:rPr>
        <w:t xml:space="preserve">—— 2019, </w:t>
      </w:r>
      <w:r w:rsidRPr="00076F3E">
        <w:rPr>
          <w:i/>
          <w:iCs/>
          <w:spacing w:val="-2"/>
          <w:sz w:val="22"/>
          <w:szCs w:val="22"/>
        </w:rPr>
        <w:t>Superannuation: Assessing Efficiency and Competitiveness</w:t>
      </w:r>
      <w:r w:rsidRPr="00076F3E">
        <w:rPr>
          <w:spacing w:val="-2"/>
          <w:sz w:val="22"/>
          <w:szCs w:val="22"/>
        </w:rPr>
        <w:t>, Inquiry Report</w:t>
      </w:r>
      <w:r w:rsidR="00D20EC0" w:rsidRPr="00076F3E">
        <w:rPr>
          <w:spacing w:val="-2"/>
          <w:sz w:val="22"/>
          <w:szCs w:val="22"/>
        </w:rPr>
        <w:t> </w:t>
      </w:r>
      <w:r w:rsidRPr="00076F3E">
        <w:rPr>
          <w:spacing w:val="-2"/>
          <w:sz w:val="22"/>
          <w:szCs w:val="22"/>
        </w:rPr>
        <w:t>91, Canberra.</w:t>
      </w:r>
    </w:p>
    <w:p w14:paraId="03DF04FF" w14:textId="77777777" w:rsidR="00D76048" w:rsidRPr="00076F3E" w:rsidRDefault="00D76048" w:rsidP="00D4400D">
      <w:pPr>
        <w:pStyle w:val="Reference"/>
        <w:rPr>
          <w:spacing w:val="-2"/>
          <w:sz w:val="22"/>
          <w:szCs w:val="22"/>
        </w:rPr>
      </w:pPr>
      <w:r w:rsidRPr="00076F3E">
        <w:rPr>
          <w:spacing w:val="-2"/>
          <w:sz w:val="22"/>
          <w:szCs w:val="22"/>
        </w:rPr>
        <w:t xml:space="preserve">Russell, B. and Tease, W. 1991, ‘Employment, Output and Real Wages’, </w:t>
      </w:r>
      <w:r w:rsidRPr="00076F3E">
        <w:rPr>
          <w:i/>
          <w:iCs/>
          <w:spacing w:val="-2"/>
          <w:sz w:val="22"/>
          <w:szCs w:val="22"/>
        </w:rPr>
        <w:t>Economic Record</w:t>
      </w:r>
      <w:r w:rsidRPr="00076F3E">
        <w:rPr>
          <w:spacing w:val="-2"/>
          <w:sz w:val="22"/>
          <w:szCs w:val="22"/>
        </w:rPr>
        <w:t>, vol. 67, no. 1, pp. 34–45.</w:t>
      </w:r>
    </w:p>
    <w:p w14:paraId="1DCF6B9A" w14:textId="77777777" w:rsidR="00D76048" w:rsidRPr="00076F3E" w:rsidRDefault="00D76048" w:rsidP="00D4400D">
      <w:pPr>
        <w:pStyle w:val="Reference"/>
        <w:rPr>
          <w:spacing w:val="-2"/>
          <w:sz w:val="22"/>
          <w:szCs w:val="22"/>
        </w:rPr>
      </w:pPr>
      <w:r w:rsidRPr="00076F3E">
        <w:rPr>
          <w:spacing w:val="-2"/>
          <w:sz w:val="22"/>
          <w:szCs w:val="22"/>
        </w:rPr>
        <w:t xml:space="preserve">Stanford, J. 2018, ‘Charting wage stagnation in Australia’, </w:t>
      </w:r>
      <w:r w:rsidRPr="00076F3E">
        <w:rPr>
          <w:iCs/>
          <w:spacing w:val="-2"/>
          <w:sz w:val="22"/>
          <w:szCs w:val="22"/>
        </w:rPr>
        <w:t>in Stewart. J</w:t>
      </w:r>
      <w:r w:rsidR="00D20EC0" w:rsidRPr="00076F3E">
        <w:rPr>
          <w:iCs/>
          <w:spacing w:val="-2"/>
          <w:sz w:val="22"/>
          <w:szCs w:val="22"/>
        </w:rPr>
        <w:t>.</w:t>
      </w:r>
      <w:r w:rsidRPr="00076F3E">
        <w:rPr>
          <w:iCs/>
          <w:spacing w:val="-2"/>
          <w:sz w:val="22"/>
          <w:szCs w:val="22"/>
        </w:rPr>
        <w:t>, Stanford, J. and Hardy, T. (</w:t>
      </w:r>
      <w:proofErr w:type="spellStart"/>
      <w:r w:rsidRPr="00076F3E">
        <w:rPr>
          <w:iCs/>
          <w:spacing w:val="-2"/>
          <w:sz w:val="22"/>
          <w:szCs w:val="22"/>
        </w:rPr>
        <w:t>eds</w:t>
      </w:r>
      <w:proofErr w:type="spellEnd"/>
      <w:r w:rsidRPr="00076F3E">
        <w:rPr>
          <w:iCs/>
          <w:spacing w:val="-2"/>
          <w:sz w:val="22"/>
          <w:szCs w:val="22"/>
        </w:rPr>
        <w:t>),</w:t>
      </w:r>
      <w:r w:rsidRPr="00076F3E">
        <w:rPr>
          <w:i/>
          <w:iCs/>
          <w:spacing w:val="-2"/>
          <w:sz w:val="22"/>
          <w:szCs w:val="22"/>
        </w:rPr>
        <w:t xml:space="preserve"> The Wages Crisis in Australia: </w:t>
      </w:r>
      <w:r w:rsidR="00D20EC0" w:rsidRPr="00076F3E">
        <w:rPr>
          <w:i/>
          <w:iCs/>
          <w:spacing w:val="-2"/>
          <w:sz w:val="22"/>
          <w:szCs w:val="22"/>
        </w:rPr>
        <w:t>What It Is And What To Do About It</w:t>
      </w:r>
      <w:r w:rsidRPr="00076F3E">
        <w:rPr>
          <w:spacing w:val="-2"/>
          <w:sz w:val="22"/>
          <w:szCs w:val="22"/>
        </w:rPr>
        <w:t>, University of Adelaide Press, Adelaide.</w:t>
      </w:r>
    </w:p>
    <w:p w14:paraId="395FB8EE" w14:textId="77777777" w:rsidR="00D76048" w:rsidRPr="00076F3E" w:rsidRDefault="00D76048" w:rsidP="00D4400D">
      <w:pPr>
        <w:pStyle w:val="Reference"/>
        <w:rPr>
          <w:spacing w:val="-2"/>
          <w:sz w:val="22"/>
          <w:szCs w:val="22"/>
        </w:rPr>
      </w:pPr>
      <w:proofErr w:type="spellStart"/>
      <w:r w:rsidRPr="00076F3E">
        <w:rPr>
          <w:spacing w:val="-2"/>
          <w:sz w:val="22"/>
          <w:szCs w:val="22"/>
        </w:rPr>
        <w:t>Stapledon</w:t>
      </w:r>
      <w:proofErr w:type="spellEnd"/>
      <w:r w:rsidRPr="00076F3E">
        <w:rPr>
          <w:spacing w:val="-2"/>
          <w:sz w:val="22"/>
          <w:szCs w:val="22"/>
        </w:rPr>
        <w:t>, N. 2012, ‘Australia’s Major Terms of Trade and Resource Shocks, 1800</w:t>
      </w:r>
      <w:r w:rsidR="00D20EC0" w:rsidRPr="00076F3E">
        <w:rPr>
          <w:spacing w:val="-2"/>
          <w:sz w:val="22"/>
          <w:szCs w:val="22"/>
        </w:rPr>
        <w:t>–</w:t>
      </w:r>
      <w:r w:rsidRPr="00076F3E">
        <w:rPr>
          <w:spacing w:val="-2"/>
          <w:sz w:val="22"/>
          <w:szCs w:val="22"/>
        </w:rPr>
        <w:t xml:space="preserve">2012: Sources and Impacts’, </w:t>
      </w:r>
      <w:r w:rsidR="00D20EC0" w:rsidRPr="00076F3E">
        <w:rPr>
          <w:spacing w:val="-2"/>
          <w:sz w:val="22"/>
          <w:szCs w:val="22"/>
        </w:rPr>
        <w:t xml:space="preserve">Presented </w:t>
      </w:r>
      <w:r w:rsidRPr="00076F3E">
        <w:rPr>
          <w:spacing w:val="-2"/>
          <w:sz w:val="22"/>
          <w:szCs w:val="22"/>
        </w:rPr>
        <w:t>at Conference on Commodity Price Volatility, Past and Present, Centre for Economic History and Centre for Applied Macroeconomic Analysis Research School of Economics and the Crawford School of Public Policy</w:t>
      </w:r>
      <w:r w:rsidR="00D20EC0" w:rsidRPr="00076F3E">
        <w:rPr>
          <w:spacing w:val="-2"/>
          <w:sz w:val="22"/>
          <w:szCs w:val="22"/>
        </w:rPr>
        <w:t>,</w:t>
      </w:r>
      <w:r w:rsidRPr="00076F3E">
        <w:rPr>
          <w:spacing w:val="-2"/>
          <w:sz w:val="22"/>
          <w:szCs w:val="22"/>
        </w:rPr>
        <w:t xml:space="preserve"> A</w:t>
      </w:r>
      <w:r w:rsidR="00D20EC0" w:rsidRPr="00076F3E">
        <w:rPr>
          <w:spacing w:val="-2"/>
          <w:sz w:val="22"/>
          <w:szCs w:val="22"/>
        </w:rPr>
        <w:t xml:space="preserve">ustralian </w:t>
      </w:r>
      <w:r w:rsidRPr="00076F3E">
        <w:rPr>
          <w:spacing w:val="-2"/>
          <w:sz w:val="22"/>
          <w:szCs w:val="22"/>
        </w:rPr>
        <w:t>N</w:t>
      </w:r>
      <w:r w:rsidR="00D20EC0" w:rsidRPr="00076F3E">
        <w:rPr>
          <w:spacing w:val="-2"/>
          <w:sz w:val="22"/>
          <w:szCs w:val="22"/>
        </w:rPr>
        <w:t xml:space="preserve">ational </w:t>
      </w:r>
      <w:r w:rsidRPr="00076F3E">
        <w:rPr>
          <w:spacing w:val="-2"/>
          <w:sz w:val="22"/>
          <w:szCs w:val="22"/>
        </w:rPr>
        <w:t>U</w:t>
      </w:r>
      <w:r w:rsidR="00D20EC0" w:rsidRPr="00076F3E">
        <w:rPr>
          <w:spacing w:val="-2"/>
          <w:sz w:val="22"/>
          <w:szCs w:val="22"/>
        </w:rPr>
        <w:t>niversity</w:t>
      </w:r>
      <w:r w:rsidRPr="00076F3E">
        <w:rPr>
          <w:spacing w:val="-2"/>
          <w:sz w:val="22"/>
          <w:szCs w:val="22"/>
        </w:rPr>
        <w:t xml:space="preserve">, </w:t>
      </w:r>
      <w:r w:rsidR="00076F3E">
        <w:rPr>
          <w:spacing w:val="-2"/>
          <w:sz w:val="22"/>
          <w:szCs w:val="22"/>
        </w:rPr>
        <w:br/>
      </w:r>
      <w:r w:rsidRPr="00076F3E">
        <w:rPr>
          <w:spacing w:val="-2"/>
          <w:sz w:val="22"/>
          <w:szCs w:val="22"/>
        </w:rPr>
        <w:t>29</w:t>
      </w:r>
      <w:r w:rsidR="00D20EC0" w:rsidRPr="00076F3E">
        <w:rPr>
          <w:spacing w:val="-2"/>
          <w:sz w:val="22"/>
          <w:szCs w:val="22"/>
        </w:rPr>
        <w:t>–30</w:t>
      </w:r>
      <w:r w:rsidR="004D2A27" w:rsidRPr="00076F3E">
        <w:rPr>
          <w:spacing w:val="-2"/>
          <w:sz w:val="22"/>
          <w:szCs w:val="22"/>
        </w:rPr>
        <w:t> </w:t>
      </w:r>
      <w:r w:rsidR="00D20EC0" w:rsidRPr="00076F3E">
        <w:rPr>
          <w:spacing w:val="-2"/>
          <w:sz w:val="22"/>
          <w:szCs w:val="22"/>
        </w:rPr>
        <w:t>November</w:t>
      </w:r>
      <w:r w:rsidR="004D2A27" w:rsidRPr="00076F3E">
        <w:rPr>
          <w:spacing w:val="-2"/>
          <w:sz w:val="22"/>
          <w:szCs w:val="22"/>
        </w:rPr>
        <w:t>, Canberra</w:t>
      </w:r>
      <w:r w:rsidRPr="00076F3E">
        <w:rPr>
          <w:spacing w:val="-2"/>
          <w:sz w:val="22"/>
          <w:szCs w:val="22"/>
        </w:rPr>
        <w:t>.</w:t>
      </w:r>
    </w:p>
    <w:p w14:paraId="28464EF7" w14:textId="77777777" w:rsidR="00D76048" w:rsidRPr="00076F3E" w:rsidRDefault="00D76048" w:rsidP="00D4400D">
      <w:pPr>
        <w:pStyle w:val="Reference"/>
        <w:rPr>
          <w:spacing w:val="-2"/>
          <w:sz w:val="22"/>
          <w:szCs w:val="22"/>
        </w:rPr>
      </w:pPr>
      <w:proofErr w:type="spellStart"/>
      <w:r w:rsidRPr="00076F3E">
        <w:rPr>
          <w:spacing w:val="-2"/>
          <w:sz w:val="22"/>
          <w:szCs w:val="22"/>
        </w:rPr>
        <w:t>Topp</w:t>
      </w:r>
      <w:proofErr w:type="spellEnd"/>
      <w:r w:rsidRPr="00076F3E">
        <w:rPr>
          <w:spacing w:val="-2"/>
          <w:sz w:val="22"/>
          <w:szCs w:val="22"/>
        </w:rPr>
        <w:t xml:space="preserve">, V., Soames, L., Parham, D. and Bloch, H. 2008, </w:t>
      </w:r>
      <w:r w:rsidRPr="00076F3E">
        <w:rPr>
          <w:i/>
          <w:iCs/>
          <w:spacing w:val="-2"/>
          <w:sz w:val="22"/>
          <w:szCs w:val="22"/>
        </w:rPr>
        <w:t>Productivity in the Mining Industry: Measurement and Interpretation</w:t>
      </w:r>
      <w:r w:rsidRPr="00076F3E">
        <w:rPr>
          <w:spacing w:val="-2"/>
          <w:sz w:val="22"/>
          <w:szCs w:val="22"/>
        </w:rPr>
        <w:t>, Staff Working Paper, Productivity Commission, Canberra.</w:t>
      </w:r>
    </w:p>
    <w:p w14:paraId="2C501EAB" w14:textId="77777777" w:rsidR="00D161FD" w:rsidRPr="00076F3E" w:rsidRDefault="00D76048" w:rsidP="00D4400D">
      <w:pPr>
        <w:pStyle w:val="Reference"/>
        <w:rPr>
          <w:spacing w:val="-2"/>
          <w:sz w:val="22"/>
          <w:szCs w:val="22"/>
        </w:rPr>
      </w:pPr>
      <w:r w:rsidRPr="00076F3E">
        <w:rPr>
          <w:spacing w:val="-2"/>
          <w:sz w:val="22"/>
          <w:szCs w:val="22"/>
        </w:rPr>
        <w:t xml:space="preserve">Weir, G. 2018, </w:t>
      </w:r>
      <w:r w:rsidRPr="00076F3E">
        <w:rPr>
          <w:i/>
          <w:iCs/>
          <w:spacing w:val="-2"/>
          <w:sz w:val="22"/>
          <w:szCs w:val="22"/>
        </w:rPr>
        <w:t>Wage Growth Puzzles and Technology</w:t>
      </w:r>
      <w:r w:rsidRPr="00076F3E">
        <w:rPr>
          <w:spacing w:val="-2"/>
          <w:sz w:val="22"/>
          <w:szCs w:val="22"/>
        </w:rPr>
        <w:t>, Research Discussion Paper</w:t>
      </w:r>
      <w:r w:rsidR="001D523C" w:rsidRPr="00076F3E">
        <w:rPr>
          <w:spacing w:val="-2"/>
          <w:sz w:val="22"/>
          <w:szCs w:val="22"/>
        </w:rPr>
        <w:t xml:space="preserve"> </w:t>
      </w:r>
      <w:r w:rsidRPr="00076F3E">
        <w:rPr>
          <w:spacing w:val="-2"/>
          <w:sz w:val="22"/>
          <w:szCs w:val="22"/>
        </w:rPr>
        <w:t>RDP</w:t>
      </w:r>
      <w:r w:rsidR="001D523C" w:rsidRPr="00076F3E">
        <w:rPr>
          <w:spacing w:val="-2"/>
          <w:sz w:val="22"/>
          <w:szCs w:val="22"/>
        </w:rPr>
        <w:t> </w:t>
      </w:r>
      <w:r w:rsidRPr="00076F3E">
        <w:rPr>
          <w:spacing w:val="-2"/>
          <w:sz w:val="22"/>
          <w:szCs w:val="22"/>
        </w:rPr>
        <w:t>2018</w:t>
      </w:r>
      <w:r w:rsidR="006A0FED" w:rsidRPr="00076F3E">
        <w:rPr>
          <w:spacing w:val="-2"/>
          <w:sz w:val="22"/>
          <w:szCs w:val="22"/>
        </w:rPr>
        <w:noBreakHyphen/>
      </w:r>
      <w:r w:rsidRPr="00076F3E">
        <w:rPr>
          <w:spacing w:val="-2"/>
          <w:sz w:val="22"/>
          <w:szCs w:val="22"/>
        </w:rPr>
        <w:t>10, Reserve Bank of Australia</w:t>
      </w:r>
      <w:r w:rsidR="004D2A27" w:rsidRPr="00076F3E">
        <w:rPr>
          <w:spacing w:val="-2"/>
          <w:sz w:val="22"/>
          <w:szCs w:val="22"/>
        </w:rPr>
        <w:t>, Sydney</w:t>
      </w:r>
      <w:r w:rsidRPr="00076F3E">
        <w:rPr>
          <w:spacing w:val="-2"/>
          <w:sz w:val="22"/>
          <w:szCs w:val="22"/>
        </w:rPr>
        <w:t>.</w:t>
      </w:r>
    </w:p>
    <w:sectPr w:rsidR="00D161FD" w:rsidRPr="00076F3E" w:rsidSect="00474A19">
      <w:type w:val="oddPage"/>
      <w:pgSz w:w="11907" w:h="16840" w:code="9"/>
      <w:pgMar w:top="1985" w:right="1304" w:bottom="1247" w:left="1814" w:header="1701" w:footer="397" w:gutter="0"/>
      <w:pgNumType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6A46" w14:textId="77777777" w:rsidR="00AC6BBE" w:rsidRDefault="00AC6BBE">
      <w:r>
        <w:separator/>
      </w:r>
    </w:p>
  </w:endnote>
  <w:endnote w:type="continuationSeparator" w:id="0">
    <w:p w14:paraId="47AC85B0" w14:textId="77777777" w:rsidR="00AC6BBE" w:rsidRDefault="00AC6BBE">
      <w:r>
        <w:continuationSeparator/>
      </w:r>
    </w:p>
  </w:endnote>
  <w:endnote w:type="continuationNotice" w:id="1">
    <w:p w14:paraId="27EDC3D7" w14:textId="77777777" w:rsidR="00AC6BBE" w:rsidRDefault="00AC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1A4038AB" w14:textId="77777777" w:rsidTr="005F48ED">
      <w:trPr>
        <w:trHeight w:hRule="exact" w:val="567"/>
      </w:trPr>
      <w:tc>
        <w:tcPr>
          <w:tcW w:w="510" w:type="dxa"/>
        </w:tcPr>
        <w:p w14:paraId="345C5981" w14:textId="77777777" w:rsidR="00AC6BBE" w:rsidRPr="00752FFF" w:rsidRDefault="00AC6BBE"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ii</w:t>
          </w:r>
          <w:r w:rsidRPr="00752FFF">
            <w:rPr>
              <w:rStyle w:val="PageNumber"/>
              <w:caps w:val="0"/>
            </w:rPr>
            <w:fldChar w:fldCharType="end"/>
          </w:r>
        </w:p>
      </w:tc>
      <w:tc>
        <w:tcPr>
          <w:tcW w:w="7767" w:type="dxa"/>
        </w:tcPr>
        <w:p w14:paraId="55E2765D" w14:textId="77777777" w:rsidR="00AC6BBE" w:rsidRPr="0013739A" w:rsidRDefault="00AC6BBE" w:rsidP="00C337C1">
          <w:pPr>
            <w:pStyle w:val="Footer"/>
            <w:rPr>
              <w:rFonts w:cs="Arial"/>
            </w:rPr>
          </w:pPr>
          <w:r w:rsidRPr="00BA5B14">
            <w:rPr>
              <w:rFonts w:cs="Arial"/>
            </w:rPr>
            <w:fldChar w:fldCharType="begin"/>
          </w:r>
          <w:r>
            <w:rPr>
              <w:rFonts w:cs="Arial"/>
            </w:rPr>
            <w:instrText xml:space="preserve"> TITLE</w:instrText>
          </w:r>
          <w:r w:rsidRPr="00BA5B14">
            <w:rPr>
              <w:rFonts w:cs="Arial"/>
            </w:rPr>
            <w:instrText xml:space="preserve"> </w:instrText>
          </w:r>
          <w:r>
            <w:rPr>
              <w:rFonts w:cs="Arial"/>
            </w:rPr>
            <w:fldChar w:fldCharType="separate"/>
          </w:r>
          <w:r>
            <w:rPr>
              <w:rFonts w:cs="Arial"/>
            </w:rPr>
            <w:t>PC Productivity Bulletin 2019</w:t>
          </w:r>
          <w:r w:rsidRPr="00BA5B14">
            <w:rPr>
              <w:rFonts w:cs="Arial"/>
            </w:rPr>
            <w:fldChar w:fldCharType="end"/>
          </w:r>
        </w:p>
      </w:tc>
      <w:tc>
        <w:tcPr>
          <w:tcW w:w="510" w:type="dxa"/>
        </w:tcPr>
        <w:p w14:paraId="6BE3B915" w14:textId="77777777" w:rsidR="00AC6BBE" w:rsidRDefault="00AC6BBE" w:rsidP="0019293B">
          <w:pPr>
            <w:pStyle w:val="Footer"/>
          </w:pPr>
        </w:p>
      </w:tc>
    </w:tr>
  </w:tbl>
  <w:p w14:paraId="2CCAAA1A" w14:textId="77777777" w:rsidR="00AC6BBE" w:rsidRDefault="00AC6BBE" w:rsidP="0019293B">
    <w:pPr>
      <w:pStyle w:val="FooterEnd"/>
    </w:pPr>
  </w:p>
  <w:p w14:paraId="75EC60D6" w14:textId="77777777" w:rsidR="00AC6BBE" w:rsidRDefault="00AC6BB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2F34674D" w14:textId="77777777" w:rsidTr="005F48ED">
      <w:trPr>
        <w:trHeight w:hRule="exact" w:val="567"/>
      </w:trPr>
      <w:tc>
        <w:tcPr>
          <w:tcW w:w="510" w:type="dxa"/>
        </w:tcPr>
        <w:p w14:paraId="6556D99B" w14:textId="77777777" w:rsidR="00AC6BBE" w:rsidRDefault="00AC6BBE">
          <w:pPr>
            <w:pStyle w:val="Footer"/>
            <w:ind w:right="360" w:firstLine="360"/>
          </w:pPr>
        </w:p>
      </w:tc>
      <w:tc>
        <w:tcPr>
          <w:tcW w:w="7767" w:type="dxa"/>
        </w:tcPr>
        <w:p w14:paraId="4FE70219" w14:textId="77777777" w:rsidR="00AC6BBE" w:rsidRPr="00752FFF" w:rsidRDefault="00AC6BBE" w:rsidP="00C337C1">
          <w:pPr>
            <w:pStyle w:val="Footer"/>
            <w:jc w:val="right"/>
            <w:rPr>
              <w:rFonts w:cs="Arial"/>
            </w:rPr>
          </w:pPr>
          <w:r w:rsidRPr="00F45385">
            <w:rPr>
              <w:bCs/>
              <w:noProof/>
              <w:lang w:val="en-US"/>
            </w:rPr>
            <w:t>Foreword</w:t>
          </w:r>
        </w:p>
      </w:tc>
      <w:tc>
        <w:tcPr>
          <w:tcW w:w="510" w:type="dxa"/>
        </w:tcPr>
        <w:p w14:paraId="6C485D69" w14:textId="77777777" w:rsidR="00AC6BBE" w:rsidRPr="00A24443" w:rsidRDefault="00AC6BB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3BC2">
            <w:rPr>
              <w:rStyle w:val="PageNumber"/>
              <w:caps w:val="0"/>
              <w:noProof/>
            </w:rPr>
            <w:t>iii</w:t>
          </w:r>
          <w:r w:rsidRPr="00A24443">
            <w:rPr>
              <w:rStyle w:val="PageNumber"/>
              <w:caps w:val="0"/>
            </w:rPr>
            <w:fldChar w:fldCharType="end"/>
          </w:r>
        </w:p>
      </w:tc>
    </w:tr>
  </w:tbl>
  <w:p w14:paraId="086BCD04" w14:textId="77777777" w:rsidR="00AC6BBE" w:rsidRDefault="00AC6BBE">
    <w:pPr>
      <w:pStyle w:val="FooterEnd"/>
    </w:pPr>
  </w:p>
  <w:p w14:paraId="2AA4D657" w14:textId="77777777" w:rsidR="00AC6BBE" w:rsidRPr="00D01645" w:rsidRDefault="00AC6BBE" w:rsidP="00C337C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2F2101B1" w14:textId="77777777" w:rsidTr="005F48ED">
      <w:trPr>
        <w:trHeight w:hRule="exact" w:val="567"/>
      </w:trPr>
      <w:tc>
        <w:tcPr>
          <w:tcW w:w="510" w:type="dxa"/>
        </w:tcPr>
        <w:p w14:paraId="4D984A91" w14:textId="77777777" w:rsidR="00AC6BBE" w:rsidRPr="00A24443" w:rsidRDefault="00AC6BB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3BC2">
            <w:rPr>
              <w:rStyle w:val="PageNumber"/>
              <w:caps w:val="0"/>
              <w:noProof/>
            </w:rPr>
            <w:t>iv</w:t>
          </w:r>
          <w:r w:rsidRPr="00A24443">
            <w:rPr>
              <w:rStyle w:val="PageNumber"/>
              <w:caps w:val="0"/>
            </w:rPr>
            <w:fldChar w:fldCharType="end"/>
          </w:r>
        </w:p>
      </w:tc>
      <w:tc>
        <w:tcPr>
          <w:tcW w:w="7767" w:type="dxa"/>
        </w:tcPr>
        <w:p w14:paraId="66717DEE" w14:textId="77777777" w:rsidR="00AC6BBE" w:rsidRPr="0013739A" w:rsidRDefault="00AC6BBE" w:rsidP="0013739A">
          <w:pPr>
            <w:pStyle w:val="Footer"/>
            <w:rPr>
              <w:rFonts w:cs="Arial"/>
            </w:rPr>
          </w:pPr>
          <w:r w:rsidRPr="00BA5B14">
            <w:rPr>
              <w:rFonts w:cs="Arial"/>
            </w:rPr>
            <w:fldChar w:fldCharType="begin"/>
          </w:r>
          <w:r>
            <w:rPr>
              <w:rFonts w:cs="Arial"/>
            </w:rPr>
            <w:instrText xml:space="preserve"> TITLE </w:instrText>
          </w:r>
          <w:r>
            <w:rPr>
              <w:rFonts w:cs="Arial"/>
            </w:rPr>
            <w:fldChar w:fldCharType="separate"/>
          </w:r>
          <w:r>
            <w:rPr>
              <w:rFonts w:cs="Arial"/>
            </w:rPr>
            <w:t>PC Productivity Bulletin 2019</w:t>
          </w:r>
          <w:r w:rsidRPr="00BA5B14">
            <w:rPr>
              <w:rFonts w:cs="Arial"/>
            </w:rPr>
            <w:fldChar w:fldCharType="end"/>
          </w:r>
        </w:p>
      </w:tc>
      <w:tc>
        <w:tcPr>
          <w:tcW w:w="510" w:type="dxa"/>
        </w:tcPr>
        <w:p w14:paraId="2AF90AD3" w14:textId="77777777" w:rsidR="00AC6BBE" w:rsidRDefault="00AC6BBE" w:rsidP="0019293B">
          <w:pPr>
            <w:pStyle w:val="Footer"/>
          </w:pPr>
        </w:p>
      </w:tc>
    </w:tr>
  </w:tbl>
  <w:p w14:paraId="204AB041" w14:textId="77777777" w:rsidR="00AC6BBE" w:rsidRDefault="00AC6BBE" w:rsidP="0019293B">
    <w:pPr>
      <w:pStyle w:val="FooterEnd"/>
    </w:pPr>
  </w:p>
  <w:p w14:paraId="6C5875FE" w14:textId="77777777" w:rsidR="00AC6BBE" w:rsidRDefault="00AC6BBE">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51DBF666" w14:textId="77777777" w:rsidTr="005F48ED">
      <w:trPr>
        <w:trHeight w:hRule="exact" w:val="567"/>
      </w:trPr>
      <w:tc>
        <w:tcPr>
          <w:tcW w:w="510" w:type="dxa"/>
        </w:tcPr>
        <w:p w14:paraId="38CD2A81" w14:textId="77777777" w:rsidR="00AC6BBE" w:rsidRDefault="00AC6BBE">
          <w:pPr>
            <w:pStyle w:val="Footer"/>
            <w:ind w:right="360" w:firstLine="360"/>
          </w:pPr>
        </w:p>
      </w:tc>
      <w:tc>
        <w:tcPr>
          <w:tcW w:w="7767" w:type="dxa"/>
        </w:tcPr>
        <w:p w14:paraId="31E4617E" w14:textId="77777777" w:rsidR="00AC6BBE" w:rsidRPr="00BA5B14" w:rsidRDefault="00AC6BBE" w:rsidP="00C337C1">
          <w:pPr>
            <w:pStyle w:val="Footer"/>
            <w:jc w:val="right"/>
            <w:rPr>
              <w:rFonts w:cs="Arial"/>
            </w:rPr>
          </w:pPr>
          <w:r w:rsidRPr="00F45385">
            <w:rPr>
              <w:bCs/>
              <w:noProof/>
            </w:rPr>
            <w:t>Contents</w:t>
          </w:r>
          <w:r>
            <w:rPr>
              <w:rFonts w:cs="Arial"/>
            </w:rPr>
            <w:t xml:space="preserve"> </w:t>
          </w:r>
        </w:p>
      </w:tc>
      <w:tc>
        <w:tcPr>
          <w:tcW w:w="510" w:type="dxa"/>
        </w:tcPr>
        <w:p w14:paraId="217CF551" w14:textId="77777777" w:rsidR="00AC6BBE" w:rsidRPr="007448F7" w:rsidRDefault="00AC6BBE">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C63BC2">
            <w:rPr>
              <w:rStyle w:val="PageNumber"/>
              <w:caps w:val="0"/>
              <w:noProof/>
            </w:rPr>
            <w:t>v</w:t>
          </w:r>
          <w:r w:rsidRPr="007448F7">
            <w:rPr>
              <w:rStyle w:val="PageNumber"/>
              <w:caps w:val="0"/>
            </w:rPr>
            <w:fldChar w:fldCharType="end"/>
          </w:r>
        </w:p>
      </w:tc>
    </w:tr>
  </w:tbl>
  <w:p w14:paraId="7E8875F3" w14:textId="77777777" w:rsidR="00AC6BBE" w:rsidRDefault="00AC6BBE">
    <w:pPr>
      <w:pStyle w:val="FooterEnd"/>
    </w:pPr>
  </w:p>
  <w:p w14:paraId="5421F5BE" w14:textId="77777777" w:rsidR="00AC6BBE" w:rsidRDefault="00AC6BBE">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793F8AE7" w14:textId="77777777" w:rsidTr="005F48ED">
      <w:trPr>
        <w:trHeight w:hRule="exact" w:val="567"/>
      </w:trPr>
      <w:tc>
        <w:tcPr>
          <w:tcW w:w="510" w:type="dxa"/>
        </w:tcPr>
        <w:p w14:paraId="07D8CE70" w14:textId="77777777" w:rsidR="00AC6BBE" w:rsidRPr="00A24443" w:rsidRDefault="00AC6BB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3BC2">
            <w:rPr>
              <w:rStyle w:val="PageNumber"/>
              <w:caps w:val="0"/>
              <w:noProof/>
            </w:rPr>
            <w:t>36</w:t>
          </w:r>
          <w:r w:rsidRPr="00A24443">
            <w:rPr>
              <w:rStyle w:val="PageNumber"/>
              <w:caps w:val="0"/>
            </w:rPr>
            <w:fldChar w:fldCharType="end"/>
          </w:r>
        </w:p>
      </w:tc>
      <w:tc>
        <w:tcPr>
          <w:tcW w:w="7767" w:type="dxa"/>
        </w:tcPr>
        <w:p w14:paraId="2374467A" w14:textId="77777777" w:rsidR="00AC6BBE" w:rsidRPr="0013739A" w:rsidRDefault="00AC6BBE" w:rsidP="0013739A">
          <w:pPr>
            <w:pStyle w:val="Footer"/>
            <w:rPr>
              <w:rFonts w:cs="Arial"/>
            </w:rPr>
          </w:pPr>
          <w:r>
            <w:rPr>
              <w:rFonts w:cs="Arial"/>
            </w:rPr>
            <w:t>Productivity Bulletin 2019</w:t>
          </w:r>
          <w:bookmarkStart w:id="14" w:name="DraftReportEven"/>
          <w:bookmarkEnd w:id="14"/>
        </w:p>
      </w:tc>
      <w:tc>
        <w:tcPr>
          <w:tcW w:w="510" w:type="dxa"/>
        </w:tcPr>
        <w:p w14:paraId="3EC07B1B" w14:textId="77777777" w:rsidR="00AC6BBE" w:rsidRDefault="00AC6BBE" w:rsidP="0019293B">
          <w:pPr>
            <w:pStyle w:val="Footer"/>
          </w:pPr>
        </w:p>
      </w:tc>
    </w:tr>
  </w:tbl>
  <w:p w14:paraId="15C0C6CB" w14:textId="77777777" w:rsidR="00AC6BBE" w:rsidRDefault="00AC6BBE"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2D83E3D8" w14:textId="77777777" w:rsidTr="005F48ED">
      <w:trPr>
        <w:trHeight w:hRule="exact" w:val="567"/>
      </w:trPr>
      <w:tc>
        <w:tcPr>
          <w:tcW w:w="510" w:type="dxa"/>
        </w:tcPr>
        <w:p w14:paraId="009E187D" w14:textId="77777777" w:rsidR="00AC6BBE" w:rsidRDefault="00AC6BBE">
          <w:pPr>
            <w:pStyle w:val="Footer"/>
            <w:ind w:right="360" w:firstLine="360"/>
          </w:pPr>
        </w:p>
      </w:tc>
      <w:tc>
        <w:tcPr>
          <w:tcW w:w="7767" w:type="dxa"/>
        </w:tcPr>
        <w:p w14:paraId="4C1E1640" w14:textId="77777777" w:rsidR="00AC6BBE" w:rsidRPr="00BA5B14" w:rsidRDefault="00AC6BBE" w:rsidP="0013739A">
          <w:pPr>
            <w:pStyle w:val="Footer"/>
            <w:jc w:val="right"/>
            <w:rPr>
              <w:rFonts w:cs="Arial"/>
            </w:rPr>
          </w:pPr>
          <w:r>
            <w:rPr>
              <w:rFonts w:cs="Arial"/>
            </w:rPr>
            <w:t>Productivity Bulletin 2019</w:t>
          </w:r>
          <w:bookmarkStart w:id="15" w:name="DraftReportOdd"/>
          <w:bookmarkEnd w:id="15"/>
        </w:p>
      </w:tc>
      <w:tc>
        <w:tcPr>
          <w:tcW w:w="510" w:type="dxa"/>
        </w:tcPr>
        <w:p w14:paraId="394880D9" w14:textId="77777777" w:rsidR="00AC6BBE" w:rsidRPr="00A24443" w:rsidRDefault="00AC6BB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3BC2">
            <w:rPr>
              <w:rStyle w:val="PageNumber"/>
              <w:caps w:val="0"/>
              <w:noProof/>
            </w:rPr>
            <w:t>3</w:t>
          </w:r>
          <w:r w:rsidRPr="00A24443">
            <w:rPr>
              <w:rStyle w:val="PageNumber"/>
              <w:caps w:val="0"/>
            </w:rPr>
            <w:fldChar w:fldCharType="end"/>
          </w:r>
        </w:p>
      </w:tc>
    </w:tr>
  </w:tbl>
  <w:p w14:paraId="37C8953C" w14:textId="77777777" w:rsidR="00AC6BBE" w:rsidRDefault="00AC6BBE">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2E9351C7" w14:textId="77777777" w:rsidTr="005F48ED">
      <w:trPr>
        <w:trHeight w:hRule="exact" w:val="567"/>
      </w:trPr>
      <w:tc>
        <w:tcPr>
          <w:tcW w:w="510" w:type="dxa"/>
        </w:tcPr>
        <w:p w14:paraId="3B0C92F3" w14:textId="77777777" w:rsidR="00AC6BBE" w:rsidRDefault="00AC6BBE">
          <w:pPr>
            <w:pStyle w:val="Footer"/>
            <w:ind w:right="360" w:firstLine="360"/>
          </w:pPr>
        </w:p>
      </w:tc>
      <w:tc>
        <w:tcPr>
          <w:tcW w:w="7767" w:type="dxa"/>
        </w:tcPr>
        <w:p w14:paraId="6C6E5994" w14:textId="77777777" w:rsidR="00AC6BBE" w:rsidRPr="00BA5B14" w:rsidRDefault="00AC6BBE" w:rsidP="0013739A">
          <w:pPr>
            <w:pStyle w:val="Footer"/>
            <w:jc w:val="right"/>
            <w:rPr>
              <w:rFonts w:cs="Arial"/>
            </w:rPr>
          </w:pPr>
          <w:r>
            <w:rPr>
              <w:rFonts w:cs="Arial"/>
            </w:rPr>
            <w:t>Productivity Bulletin 2019</w:t>
          </w:r>
        </w:p>
      </w:tc>
      <w:tc>
        <w:tcPr>
          <w:tcW w:w="510" w:type="dxa"/>
        </w:tcPr>
        <w:p w14:paraId="606F72C8" w14:textId="77777777" w:rsidR="00AC6BBE" w:rsidRPr="00A24443" w:rsidRDefault="00AC6BB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63BC2">
            <w:rPr>
              <w:rStyle w:val="PageNumber"/>
              <w:caps w:val="0"/>
              <w:noProof/>
            </w:rPr>
            <w:t>37</w:t>
          </w:r>
          <w:r w:rsidRPr="00A24443">
            <w:rPr>
              <w:rStyle w:val="PageNumber"/>
              <w:caps w:val="0"/>
            </w:rPr>
            <w:fldChar w:fldCharType="end"/>
          </w:r>
        </w:p>
      </w:tc>
    </w:tr>
  </w:tbl>
  <w:p w14:paraId="64B50114" w14:textId="77777777" w:rsidR="00AC6BBE" w:rsidRDefault="00AC6BBE">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2842C3C6" w14:textId="77777777" w:rsidTr="005F48ED">
      <w:trPr>
        <w:trHeight w:hRule="exact" w:val="567"/>
      </w:trPr>
      <w:tc>
        <w:tcPr>
          <w:tcW w:w="510" w:type="dxa"/>
        </w:tcPr>
        <w:p w14:paraId="494AAB63" w14:textId="77777777" w:rsidR="00AC6BBE" w:rsidRPr="00A24443" w:rsidRDefault="00AC6BB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56</w:t>
          </w:r>
          <w:r w:rsidRPr="00A24443">
            <w:rPr>
              <w:rStyle w:val="PageNumber"/>
              <w:caps w:val="0"/>
            </w:rPr>
            <w:fldChar w:fldCharType="end"/>
          </w:r>
        </w:p>
      </w:tc>
      <w:tc>
        <w:tcPr>
          <w:tcW w:w="7767" w:type="dxa"/>
        </w:tcPr>
        <w:p w14:paraId="509DD0C0" w14:textId="77777777" w:rsidR="00AC6BBE" w:rsidRPr="0013739A" w:rsidRDefault="00AC6BBE" w:rsidP="0013739A">
          <w:pPr>
            <w:pStyle w:val="Footer"/>
            <w:rPr>
              <w:rFonts w:cs="Arial"/>
            </w:rPr>
          </w:pPr>
          <w:r>
            <w:rPr>
              <w:rFonts w:cs="Arial"/>
            </w:rPr>
            <w:t>Productivity Bulletin 2019</w:t>
          </w:r>
        </w:p>
      </w:tc>
      <w:tc>
        <w:tcPr>
          <w:tcW w:w="510" w:type="dxa"/>
        </w:tcPr>
        <w:p w14:paraId="515E4325" w14:textId="77777777" w:rsidR="00AC6BBE" w:rsidRDefault="00AC6BBE" w:rsidP="0019293B">
          <w:pPr>
            <w:pStyle w:val="Footer"/>
          </w:pPr>
        </w:p>
      </w:tc>
    </w:tr>
  </w:tbl>
  <w:p w14:paraId="245D5AE6" w14:textId="77777777" w:rsidR="00AC6BBE" w:rsidRDefault="00AC6BBE" w:rsidP="0019293B">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6BBE" w14:paraId="18D4FABA" w14:textId="77777777" w:rsidTr="005F48ED">
      <w:trPr>
        <w:trHeight w:hRule="exact" w:val="567"/>
      </w:trPr>
      <w:tc>
        <w:tcPr>
          <w:tcW w:w="510" w:type="dxa"/>
        </w:tcPr>
        <w:p w14:paraId="1BBA7D49" w14:textId="77777777" w:rsidR="00AC6BBE" w:rsidRDefault="00AC6BBE">
          <w:pPr>
            <w:pStyle w:val="Footer"/>
            <w:ind w:right="360" w:firstLine="360"/>
          </w:pPr>
        </w:p>
      </w:tc>
      <w:tc>
        <w:tcPr>
          <w:tcW w:w="7767" w:type="dxa"/>
        </w:tcPr>
        <w:p w14:paraId="5C651E61" w14:textId="77777777" w:rsidR="00AC6BBE" w:rsidRPr="00BA5B14" w:rsidRDefault="00AC6BBE" w:rsidP="0013739A">
          <w:pPr>
            <w:pStyle w:val="Footer"/>
            <w:jc w:val="right"/>
            <w:rPr>
              <w:rFonts w:cs="Arial"/>
            </w:rPr>
          </w:pPr>
          <w:r>
            <w:rPr>
              <w:rFonts w:cs="Arial"/>
            </w:rPr>
            <w:t>Productivity Bulletin 2019</w:t>
          </w:r>
        </w:p>
      </w:tc>
      <w:tc>
        <w:tcPr>
          <w:tcW w:w="510" w:type="dxa"/>
        </w:tcPr>
        <w:p w14:paraId="2E4B464E" w14:textId="77777777" w:rsidR="00AC6BBE" w:rsidRPr="00A24443" w:rsidRDefault="00AC6BBE">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57</w:t>
          </w:r>
          <w:r w:rsidRPr="00A24443">
            <w:rPr>
              <w:rStyle w:val="PageNumber"/>
              <w:caps w:val="0"/>
            </w:rPr>
            <w:fldChar w:fldCharType="end"/>
          </w:r>
        </w:p>
      </w:tc>
    </w:tr>
  </w:tbl>
  <w:p w14:paraId="3DA3639F" w14:textId="77777777" w:rsidR="00AC6BBE" w:rsidRDefault="00AC6BB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A5E7" w14:textId="77777777" w:rsidR="00AC6BBE" w:rsidRDefault="00AC6BBE">
      <w:r>
        <w:separator/>
      </w:r>
    </w:p>
  </w:footnote>
  <w:footnote w:type="continuationSeparator" w:id="0">
    <w:p w14:paraId="07394CCD" w14:textId="77777777" w:rsidR="00AC6BBE" w:rsidRDefault="00AC6BBE">
      <w:r>
        <w:continuationSeparator/>
      </w:r>
    </w:p>
  </w:footnote>
  <w:footnote w:type="continuationNotice" w:id="1">
    <w:p w14:paraId="163A2640" w14:textId="77777777" w:rsidR="00AC6BBE" w:rsidRDefault="00AC6BBE"/>
  </w:footnote>
  <w:footnote w:id="2">
    <w:p w14:paraId="4B89A0FB" w14:textId="04BD3C50" w:rsidR="00AC6BBE" w:rsidRDefault="00AC6BBE" w:rsidP="00A33223">
      <w:pPr>
        <w:pStyle w:val="FootnoteText"/>
      </w:pPr>
      <w:r w:rsidRPr="007A5DC9">
        <w:rPr>
          <w:rStyle w:val="FootnoteReference"/>
        </w:rPr>
        <w:footnoteRef/>
      </w:r>
      <w:r>
        <w:tab/>
        <w:t xml:space="preserve">In addition to the three typical non-market industries described above, GDP also includes </w:t>
      </w:r>
      <w:r w:rsidRPr="00A91A3B">
        <w:t>‘ownership of dwellings’</w:t>
      </w:r>
      <w:r>
        <w:t xml:space="preserve"> (and taxes less subsidies on products and the statistical discrepancy)</w:t>
      </w:r>
      <w:r w:rsidRPr="00A91A3B">
        <w:t xml:space="preserve">. </w:t>
      </w:r>
      <w:r>
        <w:t xml:space="preserve">While not typically considered an industry as it has no associated employment, dwellings produce accommodation services (valued as imputed rent) and is included in the ABS measure of real GDP per hour worked. </w:t>
      </w:r>
      <w:r w:rsidRPr="00100819">
        <w:rPr>
          <w:i/>
        </w:rPr>
        <w:t>Ownership of dwellings</w:t>
      </w:r>
      <w:r w:rsidDel="001D2E43">
        <w:t xml:space="preserve"> </w:t>
      </w:r>
      <w:r>
        <w:t>accounted for 9 </w:t>
      </w:r>
      <w:r w:rsidRPr="00DC296B">
        <w:t>per</w:t>
      </w:r>
      <w:r>
        <w:t> </w:t>
      </w:r>
      <w:r w:rsidRPr="00DC296B">
        <w:t>cent</w:t>
      </w:r>
      <w:r>
        <w:t xml:space="preserve"> of aggregate industry production (ABS Cat. no. 5204.0, table 5) and 36 per cent of the net capital stock in 2017</w:t>
      </w:r>
      <w:r>
        <w:noBreakHyphen/>
        <w:t>18 (ABS Cat. no. 5204.0, table 58)</w:t>
      </w:r>
      <w:r w:rsidRPr="00DC296B">
        <w:t>.</w:t>
      </w:r>
    </w:p>
  </w:footnote>
  <w:footnote w:id="3">
    <w:p w14:paraId="79F1A57B" w14:textId="77777777" w:rsidR="00AC6BBE" w:rsidRDefault="00AC6BBE" w:rsidP="00DD280A">
      <w:pPr>
        <w:pStyle w:val="FootnoteText"/>
      </w:pPr>
      <w:r w:rsidRPr="007A5DC9">
        <w:rPr>
          <w:rStyle w:val="FootnoteReference"/>
        </w:rPr>
        <w:footnoteRef/>
      </w:r>
      <w:r>
        <w:tab/>
        <w:t>Based on information from ABS (</w:t>
      </w:r>
      <w:r w:rsidRPr="00057968">
        <w:rPr>
          <w:i/>
        </w:rPr>
        <w:t>Selected Characteristics of Australian Business</w:t>
      </w:r>
      <w:r w:rsidRPr="00057968">
        <w:t xml:space="preserve">, </w:t>
      </w:r>
      <w:r>
        <w:t>various issues, Cat. no. </w:t>
      </w:r>
      <w:r w:rsidRPr="00057968">
        <w:t>8167.0, table 1)</w:t>
      </w:r>
      <w:r>
        <w:t>.</w:t>
      </w:r>
    </w:p>
  </w:footnote>
  <w:footnote w:id="4">
    <w:p w14:paraId="466659E4" w14:textId="3D983367" w:rsidR="00AC6BBE" w:rsidRDefault="00AC6BBE" w:rsidP="00A86F06">
      <w:pPr>
        <w:pStyle w:val="FootnoteText"/>
      </w:pPr>
      <w:r w:rsidRPr="007A5DC9">
        <w:rPr>
          <w:rStyle w:val="FootnoteReference"/>
        </w:rPr>
        <w:footnoteRef/>
      </w:r>
      <w:r>
        <w:tab/>
        <w:t xml:space="preserve">Based on ABS (2019, </w:t>
      </w:r>
      <w:r w:rsidRPr="007C7010">
        <w:rPr>
          <w:i/>
        </w:rPr>
        <w:t>Australian National Accounts: National Income, Expenditure and Product, Dec</w:t>
      </w:r>
      <w:r>
        <w:rPr>
          <w:i/>
        </w:rPr>
        <w:t> </w:t>
      </w:r>
      <w:r w:rsidRPr="007C7010">
        <w:rPr>
          <w:i/>
        </w:rPr>
        <w:t>2018</w:t>
      </w:r>
      <w:r>
        <w:t>, Cat. no. 5206.0, table 2).</w:t>
      </w:r>
    </w:p>
  </w:footnote>
  <w:footnote w:id="5">
    <w:p w14:paraId="5F93638E" w14:textId="77777777" w:rsidR="00AC6BBE" w:rsidRDefault="00AC6BBE">
      <w:pPr>
        <w:pStyle w:val="FootnoteText"/>
      </w:pPr>
      <w:r>
        <w:rPr>
          <w:rStyle w:val="FootnoteReference"/>
        </w:rPr>
        <w:footnoteRef/>
      </w:r>
      <w:r>
        <w:tab/>
        <w:t>The revision for this industry reflected new output data from the Australian Prudential Regulation Authority after the ABS published its initial estimates.</w:t>
      </w:r>
    </w:p>
  </w:footnote>
  <w:footnote w:id="6">
    <w:p w14:paraId="345F35B9" w14:textId="77777777" w:rsidR="00AC6BBE" w:rsidRDefault="00AC6BBE">
      <w:pPr>
        <w:pStyle w:val="FootnoteText"/>
      </w:pPr>
      <w:r>
        <w:rPr>
          <w:rStyle w:val="FootnoteReference"/>
        </w:rPr>
        <w:footnoteRef/>
      </w:r>
      <w:r>
        <w:tab/>
        <w:t>This measure excludes depreciation of assets and includes net transfers overseas.</w:t>
      </w:r>
    </w:p>
  </w:footnote>
  <w:footnote w:id="7">
    <w:p w14:paraId="439CCCB4" w14:textId="77777777" w:rsidR="00AC6BBE" w:rsidRDefault="00AC6BBE" w:rsidP="00A51166">
      <w:pPr>
        <w:pStyle w:val="FootnoteText"/>
      </w:pPr>
      <w:r w:rsidRPr="007A5DC9">
        <w:rPr>
          <w:rStyle w:val="FootnoteReference"/>
        </w:rPr>
        <w:footnoteRef/>
      </w:r>
      <w:r>
        <w:tab/>
        <w:t>The terms of trade measures the price of Australian exports relative to the price of Australian imports (both expressed in Australian dollars).</w:t>
      </w:r>
    </w:p>
  </w:footnote>
  <w:footnote w:id="8">
    <w:p w14:paraId="7165EEB4" w14:textId="77777777" w:rsidR="00AC6BBE" w:rsidRDefault="00AC6BBE" w:rsidP="00801A0C">
      <w:pPr>
        <w:pStyle w:val="FootnoteText"/>
      </w:pPr>
      <w:r w:rsidRPr="007A5DC9">
        <w:rPr>
          <w:rStyle w:val="FootnoteReference"/>
        </w:rPr>
        <w:footnoteRef/>
      </w:r>
      <w:r>
        <w:tab/>
        <w:t xml:space="preserve">Sourced from ABS (2018, </w:t>
      </w:r>
      <w:r w:rsidRPr="007C7010">
        <w:rPr>
          <w:i/>
        </w:rPr>
        <w:t>Australian System of National Accounts, 2017</w:t>
      </w:r>
      <w:r w:rsidRPr="007C7010">
        <w:rPr>
          <w:i/>
        </w:rPr>
        <w:noBreakHyphen/>
        <w:t>18</w:t>
      </w:r>
      <w:r>
        <w:t>, Cat. no. 5204.0, tables 52 and 58). Investment excludes ownership transfer costs.</w:t>
      </w:r>
    </w:p>
  </w:footnote>
  <w:footnote w:id="9">
    <w:p w14:paraId="6E835D02" w14:textId="77777777" w:rsidR="00AC6BBE" w:rsidRDefault="00AC6BBE" w:rsidP="00D678BD">
      <w:pPr>
        <w:pStyle w:val="FootnoteText"/>
      </w:pPr>
      <w:r w:rsidRPr="007A5DC9">
        <w:rPr>
          <w:rStyle w:val="FootnoteReference"/>
        </w:rPr>
        <w:footnoteRef/>
      </w:r>
      <w:r>
        <w:tab/>
        <w:t xml:space="preserve">Sourced from ABS (2019, </w:t>
      </w:r>
      <w:r w:rsidRPr="00EB03E8">
        <w:rPr>
          <w:i/>
        </w:rPr>
        <w:t>Private New Capital Expenditure and Expected Expenditure, Australia, Dec</w:t>
      </w:r>
      <w:r>
        <w:rPr>
          <w:i/>
        </w:rPr>
        <w:t> </w:t>
      </w:r>
      <w:r w:rsidRPr="00EB03E8">
        <w:rPr>
          <w:i/>
        </w:rPr>
        <w:t>2018</w:t>
      </w:r>
      <w:r>
        <w:t>, Cat. no. 5625).</w:t>
      </w:r>
    </w:p>
  </w:footnote>
  <w:footnote w:id="10">
    <w:p w14:paraId="40940C0A" w14:textId="77777777" w:rsidR="00AC6BBE" w:rsidRDefault="00AC6BBE">
      <w:pPr>
        <w:pStyle w:val="FootnoteText"/>
      </w:pPr>
      <w:r w:rsidRPr="007A5DC9">
        <w:rPr>
          <w:rStyle w:val="FootnoteReference"/>
        </w:rPr>
        <w:footnoteRef/>
      </w:r>
      <w:r>
        <w:tab/>
        <w:t>Employers also take into account the additional costs associated with employing labour, such as superannuation and payroll tax.</w:t>
      </w:r>
    </w:p>
  </w:footnote>
  <w:footnote w:id="11">
    <w:p w14:paraId="0A9EAE48" w14:textId="77777777" w:rsidR="00AC6BBE" w:rsidRDefault="00AC6BBE" w:rsidP="008D687A">
      <w:pPr>
        <w:pStyle w:val="Sym"/>
      </w:pPr>
      <w:r w:rsidRPr="007A5DC9">
        <w:rPr>
          <w:rStyle w:val="FootnoteReference"/>
        </w:rPr>
        <w:footnoteRef/>
      </w:r>
      <w:r>
        <w:tab/>
      </w:r>
      <w:r w:rsidRPr="008D687A">
        <w:rPr>
          <w:rStyle w:val="FootnoteTextChar"/>
        </w:rPr>
        <w:t>For the period from 1959</w:t>
      </w:r>
      <w:r w:rsidRPr="008D687A">
        <w:rPr>
          <w:rStyle w:val="FootnoteTextChar"/>
        </w:rPr>
        <w:noBreakHyphen/>
        <w:t>60 to 200</w:t>
      </w:r>
      <w:r>
        <w:rPr>
          <w:rStyle w:val="FootnoteTextChar"/>
        </w:rPr>
        <w:t>4</w:t>
      </w:r>
      <w:r>
        <w:rPr>
          <w:rStyle w:val="FootnoteTextChar"/>
        </w:rPr>
        <w:noBreakHyphen/>
        <w:t>05</w:t>
      </w:r>
      <w:r w:rsidRPr="008D687A">
        <w:rPr>
          <w:rStyle w:val="FootnoteTextChar"/>
        </w:rPr>
        <w:t xml:space="preserve">, the movement of consumer prices </w:t>
      </w:r>
      <w:r>
        <w:rPr>
          <w:rStyle w:val="FootnoteTextChar"/>
        </w:rPr>
        <w:t>can be characterised by an error</w:t>
      </w:r>
      <w:r>
        <w:rPr>
          <w:rStyle w:val="FootnoteTextChar"/>
        </w:rPr>
        <w:noBreakHyphen/>
        <w:t xml:space="preserve">correction model of the form </w:t>
      </w:r>
      <w:r w:rsidRPr="008D687A">
        <w:rPr>
          <w:rStyle w:val="FootnoteTextChar"/>
          <w:rFonts w:ascii="Symbol" w:hAnsi="Symbol"/>
        </w:rPr>
        <w:t></w:t>
      </w:r>
      <w:proofErr w:type="spellStart"/>
      <w:r w:rsidRPr="008D687A">
        <w:rPr>
          <w:rStyle w:val="FootnoteTextChar"/>
        </w:rPr>
        <w:t>logPC</w:t>
      </w:r>
      <w:r w:rsidRPr="008D687A">
        <w:rPr>
          <w:rStyle w:val="FootnoteTextChar"/>
          <w:vertAlign w:val="subscript"/>
        </w:rPr>
        <w:t>t</w:t>
      </w:r>
      <w:proofErr w:type="spellEnd"/>
      <w:r w:rsidRPr="008D687A">
        <w:rPr>
          <w:rStyle w:val="FootnoteTextChar"/>
        </w:rPr>
        <w:t xml:space="preserve"> = 0.0</w:t>
      </w:r>
      <w:r>
        <w:rPr>
          <w:rStyle w:val="FootnoteTextChar"/>
        </w:rPr>
        <w:t>15</w:t>
      </w:r>
      <w:r w:rsidRPr="008D687A">
        <w:rPr>
          <w:rStyle w:val="FootnoteTextChar"/>
        </w:rPr>
        <w:t xml:space="preserve">+ </w:t>
      </w:r>
      <w:r>
        <w:rPr>
          <w:rStyle w:val="FootnoteTextChar"/>
        </w:rPr>
        <w:t>0.668</w:t>
      </w:r>
      <w:r w:rsidRPr="008D687A">
        <w:rPr>
          <w:rStyle w:val="FootnoteTextChar"/>
        </w:rPr>
        <w:t xml:space="preserve"> </w:t>
      </w:r>
      <w:r w:rsidRPr="008D687A">
        <w:rPr>
          <w:rStyle w:val="FootnoteTextChar"/>
          <w:rFonts w:ascii="Symbol" w:hAnsi="Symbol"/>
        </w:rPr>
        <w:t></w:t>
      </w:r>
      <w:proofErr w:type="spellStart"/>
      <w:r w:rsidRPr="008D687A">
        <w:rPr>
          <w:rStyle w:val="FootnoteTextChar"/>
        </w:rPr>
        <w:t>logPP</w:t>
      </w:r>
      <w:r w:rsidRPr="008D687A">
        <w:rPr>
          <w:rStyle w:val="FootnoteTextChar"/>
          <w:vertAlign w:val="subscript"/>
        </w:rPr>
        <w:t>t</w:t>
      </w:r>
      <w:proofErr w:type="spellEnd"/>
      <w:r w:rsidRPr="008D687A">
        <w:rPr>
          <w:rStyle w:val="FootnoteTextChar"/>
        </w:rPr>
        <w:t xml:space="preserve"> </w:t>
      </w:r>
      <w:r>
        <w:rPr>
          <w:rStyle w:val="FootnoteTextChar"/>
        </w:rPr>
        <w:t>– 0.32 (</w:t>
      </w:r>
      <w:proofErr w:type="spellStart"/>
      <w:r w:rsidRPr="008D687A">
        <w:rPr>
          <w:rStyle w:val="FootnoteTextChar"/>
        </w:rPr>
        <w:t>logPC</w:t>
      </w:r>
      <w:proofErr w:type="spellEnd"/>
      <w:r w:rsidRPr="00F75621">
        <w:rPr>
          <w:rStyle w:val="FootnoteTextChar"/>
          <w:vertAlign w:val="subscript"/>
        </w:rPr>
        <w:t xml:space="preserve"> </w:t>
      </w:r>
      <w:r w:rsidRPr="008D687A">
        <w:rPr>
          <w:rStyle w:val="FootnoteTextChar"/>
          <w:vertAlign w:val="subscript"/>
        </w:rPr>
        <w:t>t-1</w:t>
      </w:r>
      <w:r w:rsidRPr="008D687A">
        <w:rPr>
          <w:rStyle w:val="FootnoteTextChar"/>
        </w:rPr>
        <w:t xml:space="preserve"> </w:t>
      </w:r>
      <w:r>
        <w:rPr>
          <w:rStyle w:val="FootnoteTextChar"/>
        </w:rPr>
        <w:t xml:space="preserve">– log </w:t>
      </w:r>
      <w:proofErr w:type="spellStart"/>
      <w:r w:rsidRPr="008D687A">
        <w:rPr>
          <w:rStyle w:val="FootnoteTextChar"/>
        </w:rPr>
        <w:t>PP</w:t>
      </w:r>
      <w:r w:rsidRPr="008D687A">
        <w:rPr>
          <w:rStyle w:val="FootnoteTextChar"/>
          <w:vertAlign w:val="subscript"/>
        </w:rPr>
        <w:t>t</w:t>
      </w:r>
      <w:proofErr w:type="spellEnd"/>
      <w:r w:rsidRPr="008D687A">
        <w:rPr>
          <w:rStyle w:val="FootnoteTextChar"/>
          <w:vertAlign w:val="subscript"/>
        </w:rPr>
        <w:t>-1</w:t>
      </w:r>
      <w:r>
        <w:rPr>
          <w:rStyle w:val="FootnoteTextChar"/>
        </w:rPr>
        <w:t>) (</w:t>
      </w:r>
      <w:r w:rsidRPr="008D687A">
        <w:rPr>
          <w:rStyle w:val="FootnoteTextChar"/>
        </w:rPr>
        <w:t xml:space="preserve">with </w:t>
      </w:r>
      <w:proofErr w:type="spellStart"/>
      <w:r w:rsidRPr="008D687A">
        <w:rPr>
          <w:rStyle w:val="FootnoteTextChar"/>
        </w:rPr>
        <w:t>R</w:t>
      </w:r>
      <w:r w:rsidRPr="008D687A">
        <w:rPr>
          <w:rStyle w:val="FootnoteTextChar"/>
          <w:vertAlign w:val="superscript"/>
        </w:rPr>
        <w:t>2</w:t>
      </w:r>
      <w:proofErr w:type="spellEnd"/>
      <w:r>
        <w:rPr>
          <w:rStyle w:val="FootnoteTextChar"/>
        </w:rPr>
        <w:t>=</w:t>
      </w:r>
      <w:r w:rsidRPr="008D687A">
        <w:rPr>
          <w:rStyle w:val="FootnoteTextChar"/>
        </w:rPr>
        <w:t>0.9</w:t>
      </w:r>
      <w:r>
        <w:rPr>
          <w:rStyle w:val="FootnoteTextChar"/>
        </w:rPr>
        <w:t>2</w:t>
      </w:r>
      <w:r w:rsidRPr="008D687A">
        <w:rPr>
          <w:rStyle w:val="FootnoteTextChar"/>
        </w:rPr>
        <w:t>)</w:t>
      </w:r>
      <w:r>
        <w:rPr>
          <w:rStyle w:val="FootnoteTextChar"/>
        </w:rPr>
        <w:t>, where PC are consumer prices and PP are producer prices</w:t>
      </w:r>
      <w:r w:rsidRPr="008D687A">
        <w:rPr>
          <w:rStyle w:val="FootnoteTextChar"/>
        </w:rPr>
        <w:t>. The coefficients on this simple model were stable for sub</w:t>
      </w:r>
      <w:r w:rsidRPr="008D687A">
        <w:rPr>
          <w:rStyle w:val="FootnoteTextChar"/>
        </w:rPr>
        <w:noBreakHyphen/>
        <w:t xml:space="preserve">periods within that period. However, for the period from </w:t>
      </w:r>
      <w:r>
        <w:rPr>
          <w:rStyle w:val="FootnoteTextChar"/>
        </w:rPr>
        <w:t>2005</w:t>
      </w:r>
      <w:r>
        <w:rPr>
          <w:rStyle w:val="FootnoteTextChar"/>
        </w:rPr>
        <w:noBreakHyphen/>
        <w:t>06</w:t>
      </w:r>
      <w:r w:rsidRPr="008D687A">
        <w:rPr>
          <w:rStyle w:val="FootnoteTextChar"/>
        </w:rPr>
        <w:t xml:space="preserve"> to 2017</w:t>
      </w:r>
      <w:r w:rsidRPr="008D687A">
        <w:rPr>
          <w:rStyle w:val="FootnoteTextChar"/>
        </w:rPr>
        <w:noBreakHyphen/>
        <w:t xml:space="preserve">18, the estimated model changed abruptly to </w:t>
      </w:r>
      <w:r w:rsidRPr="008D687A">
        <w:rPr>
          <w:rStyle w:val="FootnoteTextChar"/>
          <w:rFonts w:ascii="Symbol" w:hAnsi="Symbol"/>
        </w:rPr>
        <w:t></w:t>
      </w:r>
      <w:proofErr w:type="spellStart"/>
      <w:r w:rsidRPr="008D687A">
        <w:rPr>
          <w:rStyle w:val="FootnoteTextChar"/>
        </w:rPr>
        <w:t>logPC</w:t>
      </w:r>
      <w:r w:rsidRPr="008D687A">
        <w:rPr>
          <w:rStyle w:val="FootnoteTextChar"/>
          <w:vertAlign w:val="subscript"/>
        </w:rPr>
        <w:t>t</w:t>
      </w:r>
      <w:proofErr w:type="spellEnd"/>
      <w:r w:rsidRPr="008D687A">
        <w:rPr>
          <w:rStyle w:val="FootnoteTextChar"/>
        </w:rPr>
        <w:t xml:space="preserve"> = 0.01</w:t>
      </w:r>
      <w:r>
        <w:rPr>
          <w:rStyle w:val="FootnoteTextChar"/>
        </w:rPr>
        <w:t>5</w:t>
      </w:r>
      <w:r w:rsidRPr="008D687A">
        <w:rPr>
          <w:rStyle w:val="FootnoteTextChar"/>
        </w:rPr>
        <w:t>+0.</w:t>
      </w:r>
      <w:r>
        <w:rPr>
          <w:rStyle w:val="FootnoteTextChar"/>
        </w:rPr>
        <w:t>259</w:t>
      </w:r>
      <w:r w:rsidRPr="008D687A">
        <w:rPr>
          <w:rStyle w:val="FootnoteTextChar"/>
        </w:rPr>
        <w:t xml:space="preserve"> </w:t>
      </w:r>
      <w:r w:rsidRPr="008D687A">
        <w:rPr>
          <w:rStyle w:val="FootnoteTextChar"/>
          <w:rFonts w:ascii="Symbol" w:hAnsi="Symbol"/>
        </w:rPr>
        <w:t></w:t>
      </w:r>
      <w:proofErr w:type="spellStart"/>
      <w:r w:rsidRPr="008D687A">
        <w:rPr>
          <w:rStyle w:val="FootnoteTextChar"/>
        </w:rPr>
        <w:t>logPP</w:t>
      </w:r>
      <w:r w:rsidRPr="008D687A">
        <w:rPr>
          <w:rStyle w:val="FootnoteTextChar"/>
          <w:vertAlign w:val="subscript"/>
        </w:rPr>
        <w:t>t</w:t>
      </w:r>
      <w:proofErr w:type="spellEnd"/>
      <w:r>
        <w:rPr>
          <w:rStyle w:val="FootnoteTextChar"/>
        </w:rPr>
        <w:t xml:space="preserve"> </w:t>
      </w:r>
      <w:r w:rsidRPr="008D687A">
        <w:rPr>
          <w:rStyle w:val="FootnoteTextChar"/>
        </w:rPr>
        <w:t xml:space="preserve"> </w:t>
      </w:r>
      <w:r>
        <w:rPr>
          <w:rStyle w:val="FootnoteTextChar"/>
        </w:rPr>
        <w:t>– 0.098 (</w:t>
      </w:r>
      <w:proofErr w:type="spellStart"/>
      <w:r w:rsidRPr="008D687A">
        <w:rPr>
          <w:rStyle w:val="FootnoteTextChar"/>
        </w:rPr>
        <w:t>logPC</w:t>
      </w:r>
      <w:proofErr w:type="spellEnd"/>
      <w:r w:rsidRPr="00F75621">
        <w:rPr>
          <w:rStyle w:val="FootnoteTextChar"/>
          <w:vertAlign w:val="subscript"/>
        </w:rPr>
        <w:t xml:space="preserve"> </w:t>
      </w:r>
      <w:r w:rsidRPr="008D687A">
        <w:rPr>
          <w:rStyle w:val="FootnoteTextChar"/>
          <w:vertAlign w:val="subscript"/>
        </w:rPr>
        <w:t>t-1</w:t>
      </w:r>
      <w:r w:rsidRPr="008D687A">
        <w:rPr>
          <w:rStyle w:val="FootnoteTextChar"/>
        </w:rPr>
        <w:t xml:space="preserve"> </w:t>
      </w:r>
      <w:r>
        <w:rPr>
          <w:rStyle w:val="FootnoteTextChar"/>
        </w:rPr>
        <w:t xml:space="preserve">– log </w:t>
      </w:r>
      <w:proofErr w:type="spellStart"/>
      <w:r w:rsidRPr="008D687A">
        <w:rPr>
          <w:rStyle w:val="FootnoteTextChar"/>
        </w:rPr>
        <w:t>PP</w:t>
      </w:r>
      <w:r w:rsidRPr="008D687A">
        <w:rPr>
          <w:rStyle w:val="FootnoteTextChar"/>
          <w:vertAlign w:val="subscript"/>
        </w:rPr>
        <w:t>t</w:t>
      </w:r>
      <w:proofErr w:type="spellEnd"/>
      <w:r w:rsidRPr="008D687A">
        <w:rPr>
          <w:rStyle w:val="FootnoteTextChar"/>
          <w:vertAlign w:val="subscript"/>
        </w:rPr>
        <w:t>-1</w:t>
      </w:r>
      <w:r>
        <w:rPr>
          <w:rStyle w:val="FootnoteTextChar"/>
        </w:rPr>
        <w:t>)</w:t>
      </w:r>
      <w:r>
        <w:t>, which has a different type and degree of dependence between the two prices, and slower adjustment</w:t>
      </w:r>
      <w:r>
        <w:rPr>
          <w:rStyle w:val="FootnoteTextChar"/>
        </w:rPr>
        <w:t>.</w:t>
      </w:r>
    </w:p>
  </w:footnote>
  <w:footnote w:id="12">
    <w:p w14:paraId="0490C10C" w14:textId="77777777" w:rsidR="00AC6BBE" w:rsidRDefault="00AC6BBE">
      <w:pPr>
        <w:pStyle w:val="FootnoteText"/>
      </w:pPr>
      <w:r w:rsidRPr="007A5DC9">
        <w:rPr>
          <w:rStyle w:val="FootnoteReference"/>
        </w:rPr>
        <w:footnoteRef/>
      </w:r>
      <w:r>
        <w:tab/>
        <w:t xml:space="preserve">Based on </w:t>
      </w:r>
      <w:proofErr w:type="spellStart"/>
      <w:r>
        <w:t>equivalised</w:t>
      </w:r>
      <w:proofErr w:type="spellEnd"/>
      <w:r>
        <w:t xml:space="preserve"> household income from ABS (2017,</w:t>
      </w:r>
      <w:r w:rsidRPr="001C017D">
        <w:t xml:space="preserve"> </w:t>
      </w:r>
      <w:r w:rsidRPr="001C017D">
        <w:rPr>
          <w:i/>
        </w:rPr>
        <w:t>Household Income and Wealth, Australia, 2015</w:t>
      </w:r>
      <w:r>
        <w:rPr>
          <w:i/>
        </w:rPr>
        <w:noBreakHyphen/>
      </w:r>
      <w:r w:rsidRPr="001C017D">
        <w:rPr>
          <w:i/>
        </w:rPr>
        <w:t>16</w:t>
      </w:r>
      <w:r>
        <w:t>, Cat. no. 6523.0, table 1).</w:t>
      </w:r>
    </w:p>
  </w:footnote>
  <w:footnote w:id="13">
    <w:p w14:paraId="404AA860" w14:textId="77777777" w:rsidR="00AC6BBE" w:rsidRDefault="00AC6BBE">
      <w:pPr>
        <w:pStyle w:val="FootnoteText"/>
      </w:pPr>
      <w:r w:rsidRPr="007A5DC9">
        <w:rPr>
          <w:rStyle w:val="FootnoteReference"/>
        </w:rPr>
        <w:footnoteRef/>
      </w:r>
      <w:r>
        <w:tab/>
        <w:t xml:space="preserve">The average weekly earnings are from ABS (2019, </w:t>
      </w:r>
      <w:r w:rsidRPr="00EA35FE">
        <w:rPr>
          <w:i/>
        </w:rPr>
        <w:t>Average Weekly Earnings, Australia, Nov 2018</w:t>
      </w:r>
      <w:r>
        <w:t>, Cat. no. 6302.0) using the relativities for May 2013, while the data on changes in wage rates by industry are from figure 3.2. The industry wage relativities explained about 50 per cent of the differences in industry wage growth rates between the periods 2003</w:t>
      </w:r>
      <w:r>
        <w:noBreakHyphen/>
        <w:t>04 to 2012</w:t>
      </w:r>
      <w:r>
        <w:noBreakHyphen/>
        <w:t>13 and 2013</w:t>
      </w:r>
      <w:r>
        <w:noBreakHyphen/>
        <w:t>14 and 2017</w:t>
      </w:r>
      <w:r>
        <w:noBreakHyphen/>
        <w:t>18.</w:t>
      </w:r>
    </w:p>
  </w:footnote>
  <w:footnote w:id="14">
    <w:p w14:paraId="0B2A3B80" w14:textId="3B487B64" w:rsidR="00AC6BBE" w:rsidRDefault="00AC6BBE">
      <w:pPr>
        <w:pStyle w:val="FootnoteText"/>
      </w:pPr>
      <w:r>
        <w:rPr>
          <w:rStyle w:val="FootnoteReference"/>
        </w:rPr>
        <w:footnoteRef/>
      </w:r>
      <w:r>
        <w:t xml:space="preserve"> </w:t>
      </w:r>
      <w:r>
        <w:tab/>
        <w:t>The RBA found that wage growth varies by wage</w:t>
      </w:r>
      <w:r>
        <w:noBreakHyphen/>
        <w:t>setting method, with the least stagnation for award</w:t>
      </w:r>
      <w:r>
        <w:noBreakHyphen/>
        <w:t>determined wages and the greatest for those determined in enterprise agreements and individual agreements (Cassidy 2019).</w:t>
      </w:r>
    </w:p>
  </w:footnote>
  <w:footnote w:id="15">
    <w:p w14:paraId="6E39620F" w14:textId="77777777" w:rsidR="00AC6BBE" w:rsidRDefault="00AC6BBE">
      <w:pPr>
        <w:pStyle w:val="FootnoteText"/>
      </w:pPr>
      <w:r>
        <w:rPr>
          <w:rStyle w:val="FootnoteReference"/>
        </w:rPr>
        <w:footnoteRef/>
      </w:r>
      <w:r>
        <w:tab/>
        <w:t>The OECD data are detailed on a ‘calendar</w:t>
      </w:r>
      <w:r>
        <w:noBreakHyphen/>
        <w:t>year’ basis. The Australian data are for the financial year that begins in that calendar year, such that the data for 2017 relate to the Australian financial year 2017-18.</w:t>
      </w:r>
    </w:p>
  </w:footnote>
  <w:footnote w:id="16">
    <w:p w14:paraId="2A73BB02" w14:textId="77777777" w:rsidR="00AC6BBE" w:rsidRDefault="00AC6BBE">
      <w:pPr>
        <w:pStyle w:val="FootnoteText"/>
      </w:pPr>
      <w:r>
        <w:rPr>
          <w:rStyle w:val="FootnoteReference"/>
        </w:rPr>
        <w:footnoteRef/>
      </w:r>
      <w:r>
        <w:tab/>
        <w:t xml:space="preserve">The </w:t>
      </w:r>
      <w:proofErr w:type="spellStart"/>
      <w:r w:rsidRPr="00BD3A92">
        <w:t>G7</w:t>
      </w:r>
      <w:proofErr w:type="spellEnd"/>
      <w:r>
        <w:t xml:space="preserve"> consist of </w:t>
      </w:r>
      <w:r w:rsidRPr="00BD3A92">
        <w:t>Canada, France, Germany, Italy, Japan, the United Kingdom and the United States.</w:t>
      </w:r>
    </w:p>
  </w:footnote>
  <w:footnote w:id="17">
    <w:p w14:paraId="34DA0263" w14:textId="77777777" w:rsidR="00AC6BBE" w:rsidRPr="009D124E" w:rsidRDefault="00AC6BBE" w:rsidP="00D161FD">
      <w:pPr>
        <w:pStyle w:val="FootnoteText"/>
      </w:pPr>
      <w:r w:rsidRPr="007A5DC9">
        <w:rPr>
          <w:rStyle w:val="FootnoteReference"/>
        </w:rPr>
        <w:footnoteRef/>
      </w:r>
      <w:r>
        <w:tab/>
        <w:t>The productivity data for market</w:t>
      </w:r>
      <w:r>
        <w:noBreakHyphen/>
        <w:t xml:space="preserve">sector industries published in </w:t>
      </w:r>
      <w:r w:rsidRPr="00A1352C">
        <w:rPr>
          <w:color w:val="000000" w:themeColor="text1"/>
        </w:rPr>
        <w:t xml:space="preserve">the </w:t>
      </w:r>
      <w:r>
        <w:rPr>
          <w:color w:val="000000" w:themeColor="text1"/>
        </w:rPr>
        <w:t xml:space="preserve">ABS </w:t>
      </w:r>
      <w:hyperlink r:id="rId1" w:history="1">
        <w:r w:rsidRPr="00753934">
          <w:rPr>
            <w:rStyle w:val="Hyperlink"/>
            <w:i/>
            <w:color w:val="000000" w:themeColor="text1"/>
            <w:u w:val="none"/>
          </w:rPr>
          <w:t>Australian System of National Accounts</w:t>
        </w:r>
      </w:hyperlink>
      <w:r w:rsidRPr="00753934">
        <w:rPr>
          <w:rStyle w:val="Hyperlink"/>
          <w:i/>
          <w:color w:val="000000" w:themeColor="text1"/>
          <w:u w:val="none"/>
        </w:rPr>
        <w:t xml:space="preserve"> </w:t>
      </w:r>
      <w:r>
        <w:t>are consistent with that published in ABS</w:t>
      </w:r>
      <w:r w:rsidRPr="00753934">
        <w:t xml:space="preserve"> </w:t>
      </w:r>
      <w:hyperlink r:id="rId2" w:history="1">
        <w:r w:rsidRPr="00753934">
          <w:rPr>
            <w:rStyle w:val="Hyperlink"/>
            <w:i/>
            <w:color w:val="000000" w:themeColor="text1"/>
            <w:u w:val="none"/>
          </w:rPr>
          <w:t>Estimates of Industry Multifactor Productivity</w:t>
        </w:r>
      </w:hyperlink>
      <w:r w:rsidRPr="00753934">
        <w:rPr>
          <w:rStyle w:val="Hyperlink"/>
          <w:color w:val="000000" w:themeColor="text1"/>
          <w:u w:val="none"/>
        </w:rPr>
        <w:t>. The former publishes more limited productivity data tha</w:t>
      </w:r>
      <w:r>
        <w:rPr>
          <w:rStyle w:val="Hyperlink"/>
          <w:color w:val="000000" w:themeColor="text1"/>
          <w:u w:val="none"/>
        </w:rPr>
        <w:t>n</w:t>
      </w:r>
      <w:r w:rsidRPr="00753934">
        <w:rPr>
          <w:rStyle w:val="Hyperlink"/>
          <w:color w:val="000000" w:themeColor="text1"/>
          <w:u w:val="none"/>
        </w:rPr>
        <w:t xml:space="preserve"> the latter</w:t>
      </w:r>
      <w:r>
        <w:rPr>
          <w:rStyle w:val="Hyperlink"/>
          <w:color w:val="000000" w:themeColor="text1"/>
          <w:u w:val="none"/>
        </w:rPr>
        <w:t>,</w:t>
      </w:r>
      <w:r w:rsidRPr="00753934">
        <w:rPr>
          <w:rStyle w:val="Hyperlink"/>
          <w:color w:val="000000" w:themeColor="text1"/>
          <w:u w:val="none"/>
        </w:rPr>
        <w:t xml:space="preserve"> but covers all industries in the economy</w:t>
      </w:r>
      <w:r>
        <w:rPr>
          <w:rStyle w:val="Hyperlink"/>
          <w:color w:val="000000" w:themeColor="text1"/>
        </w:rPr>
        <w:t>.</w:t>
      </w:r>
    </w:p>
  </w:footnote>
  <w:footnote w:id="18">
    <w:p w14:paraId="2A9A4E75" w14:textId="77777777" w:rsidR="00AC6BBE" w:rsidRDefault="00AC6BBE" w:rsidP="00F5271C">
      <w:pPr>
        <w:pStyle w:val="FootnoteText"/>
      </w:pPr>
      <w:r w:rsidRPr="007A5DC9">
        <w:rPr>
          <w:rStyle w:val="FootnoteReference"/>
        </w:rPr>
        <w:footnoteRef/>
      </w:r>
      <w:r>
        <w:tab/>
        <w:t>The net capital stock should be highly correlated with capital services for these industries. This is because short</w:t>
      </w:r>
      <w:r>
        <w:noBreakHyphen/>
        <w:t>lived assets — the source of the bias from using net capital stocks as the capital input — tend to make up a relatively small share of their total capital stock. Moreover, apart from ownership of dwellings, which does not employ any labour, the three remaining industries use less capital than most industries as they are highly labour intensive.</w:t>
      </w:r>
    </w:p>
  </w:footnote>
  <w:footnote w:id="19">
    <w:p w14:paraId="7CC0A4B5" w14:textId="77777777" w:rsidR="00AC6BBE" w:rsidRDefault="00AC6BBE" w:rsidP="00D161FD">
      <w:pPr>
        <w:pStyle w:val="FootnoteText"/>
      </w:pPr>
      <w:r w:rsidRPr="007A5DC9">
        <w:rPr>
          <w:rStyle w:val="FootnoteReference"/>
        </w:rPr>
        <w:footnoteRef/>
      </w:r>
      <w:r>
        <w:tab/>
        <w:t>In the National Account, gross mixed income is the income from production that accrues to the owners that comprise the unincorporated sector (the self-employed). It implicitly covers the return for the use of their labour (equivalent to wages received by workers) and the return for the use of their capital (equivalent to profits or dividends).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AC6BBE" w14:paraId="0BFF33DA" w14:textId="77777777">
      <w:tc>
        <w:tcPr>
          <w:tcW w:w="2155" w:type="dxa"/>
          <w:tcBorders>
            <w:top w:val="single" w:sz="24" w:space="0" w:color="auto"/>
          </w:tcBorders>
        </w:tcPr>
        <w:p w14:paraId="09990AA7" w14:textId="77777777" w:rsidR="00AC6BBE" w:rsidRDefault="00AC6BBE">
          <w:pPr>
            <w:pStyle w:val="Header"/>
          </w:pPr>
        </w:p>
      </w:tc>
      <w:tc>
        <w:tcPr>
          <w:tcW w:w="6634" w:type="dxa"/>
          <w:tcBorders>
            <w:top w:val="single" w:sz="6" w:space="0" w:color="auto"/>
          </w:tcBorders>
        </w:tcPr>
        <w:p w14:paraId="4F3A55ED" w14:textId="77777777" w:rsidR="00AC6BBE" w:rsidRDefault="00AC6BBE">
          <w:pPr>
            <w:pStyle w:val="Header"/>
          </w:pPr>
        </w:p>
      </w:tc>
    </w:tr>
  </w:tbl>
  <w:p w14:paraId="5874E200" w14:textId="77777777" w:rsidR="00AC6BBE" w:rsidRDefault="00AC6BB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C6BBE" w14:paraId="46E2CB0A" w14:textId="77777777">
      <w:tc>
        <w:tcPr>
          <w:tcW w:w="6634" w:type="dxa"/>
          <w:tcBorders>
            <w:top w:val="single" w:sz="6" w:space="0" w:color="auto"/>
          </w:tcBorders>
        </w:tcPr>
        <w:p w14:paraId="33069848" w14:textId="77777777" w:rsidR="00AC6BBE" w:rsidRDefault="00AC6BBE" w:rsidP="00E669E2">
          <w:pPr>
            <w:pStyle w:val="HeaderOdd"/>
          </w:pPr>
        </w:p>
      </w:tc>
      <w:tc>
        <w:tcPr>
          <w:tcW w:w="2155" w:type="dxa"/>
          <w:tcBorders>
            <w:top w:val="single" w:sz="24" w:space="0" w:color="auto"/>
          </w:tcBorders>
        </w:tcPr>
        <w:p w14:paraId="1F0CBE07" w14:textId="77777777" w:rsidR="00AC6BBE" w:rsidRDefault="00AC6BBE" w:rsidP="00E669E2">
          <w:pPr>
            <w:pStyle w:val="HeaderOdd"/>
          </w:pPr>
        </w:p>
      </w:tc>
    </w:tr>
  </w:tbl>
  <w:p w14:paraId="059416D4" w14:textId="77777777" w:rsidR="00AC6BBE" w:rsidRDefault="00AC6BBE" w:rsidP="00E669E2">
    <w:pPr>
      <w:pStyle w:val="HeaderEnd"/>
    </w:pPr>
  </w:p>
  <w:p w14:paraId="1D3C6E7A" w14:textId="77777777" w:rsidR="00AC6BBE" w:rsidRPr="00D01645" w:rsidRDefault="00AC6BBE" w:rsidP="00C337C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AC6BBE" w14:paraId="6CD4E5CF" w14:textId="77777777">
      <w:tc>
        <w:tcPr>
          <w:tcW w:w="2155" w:type="dxa"/>
          <w:tcBorders>
            <w:top w:val="single" w:sz="24" w:space="0" w:color="auto"/>
          </w:tcBorders>
        </w:tcPr>
        <w:p w14:paraId="202340CC" w14:textId="77777777" w:rsidR="00AC6BBE" w:rsidRDefault="00AC6BBE">
          <w:pPr>
            <w:pStyle w:val="Header"/>
          </w:pPr>
        </w:p>
      </w:tc>
      <w:tc>
        <w:tcPr>
          <w:tcW w:w="6634" w:type="dxa"/>
          <w:tcBorders>
            <w:top w:val="single" w:sz="6" w:space="0" w:color="auto"/>
          </w:tcBorders>
        </w:tcPr>
        <w:p w14:paraId="0379A5A9" w14:textId="77777777" w:rsidR="00AC6BBE" w:rsidRDefault="00AC6BBE">
          <w:pPr>
            <w:pStyle w:val="Header"/>
          </w:pPr>
        </w:p>
      </w:tc>
    </w:tr>
  </w:tbl>
  <w:p w14:paraId="3E8136DA" w14:textId="77777777" w:rsidR="00AC6BBE" w:rsidRDefault="00AC6BBE">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C6BBE" w14:paraId="78268647" w14:textId="77777777" w:rsidTr="00C337C1">
      <w:tc>
        <w:tcPr>
          <w:tcW w:w="6634" w:type="dxa"/>
          <w:tcBorders>
            <w:top w:val="single" w:sz="6" w:space="0" w:color="auto"/>
          </w:tcBorders>
        </w:tcPr>
        <w:p w14:paraId="7DF4A9F5" w14:textId="77777777" w:rsidR="00AC6BBE" w:rsidRDefault="00AC6BBE" w:rsidP="00C337C1">
          <w:pPr>
            <w:pStyle w:val="HeaderOdd"/>
          </w:pPr>
        </w:p>
      </w:tc>
      <w:tc>
        <w:tcPr>
          <w:tcW w:w="2155" w:type="dxa"/>
          <w:tcBorders>
            <w:top w:val="single" w:sz="24" w:space="0" w:color="auto"/>
          </w:tcBorders>
        </w:tcPr>
        <w:p w14:paraId="2E290EB8" w14:textId="77777777" w:rsidR="00AC6BBE" w:rsidRDefault="00AC6BBE" w:rsidP="00C337C1">
          <w:pPr>
            <w:pStyle w:val="HeaderOdd"/>
          </w:pPr>
        </w:p>
      </w:tc>
    </w:tr>
  </w:tbl>
  <w:p w14:paraId="78FA3F09" w14:textId="77777777" w:rsidR="00AC6BBE" w:rsidRPr="005C68FE" w:rsidRDefault="00AC6BBE" w:rsidP="00C337C1">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C6BBE" w14:paraId="36B74CAB" w14:textId="77777777">
      <w:tc>
        <w:tcPr>
          <w:tcW w:w="2155" w:type="dxa"/>
          <w:tcBorders>
            <w:top w:val="single" w:sz="24" w:space="0" w:color="auto"/>
          </w:tcBorders>
        </w:tcPr>
        <w:p w14:paraId="0AC3EA79" w14:textId="77777777" w:rsidR="00AC6BBE" w:rsidRDefault="00AC6BBE" w:rsidP="0019293B">
          <w:pPr>
            <w:pStyle w:val="HeaderEven"/>
          </w:pPr>
        </w:p>
      </w:tc>
      <w:tc>
        <w:tcPr>
          <w:tcW w:w="6634" w:type="dxa"/>
          <w:tcBorders>
            <w:top w:val="single" w:sz="6" w:space="0" w:color="auto"/>
          </w:tcBorders>
        </w:tcPr>
        <w:p w14:paraId="1906D8C9" w14:textId="77777777" w:rsidR="00AC6BBE" w:rsidRDefault="00AC6BBE" w:rsidP="0019293B">
          <w:pPr>
            <w:pStyle w:val="HeaderEven"/>
          </w:pPr>
        </w:p>
      </w:tc>
    </w:tr>
  </w:tbl>
  <w:p w14:paraId="3105180F" w14:textId="77777777" w:rsidR="00AC6BBE" w:rsidRDefault="00AC6BBE" w:rsidP="0019293B">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C6BBE" w14:paraId="34A8C4DE" w14:textId="77777777">
      <w:tc>
        <w:tcPr>
          <w:tcW w:w="6634" w:type="dxa"/>
          <w:tcBorders>
            <w:top w:val="single" w:sz="6" w:space="0" w:color="auto"/>
          </w:tcBorders>
        </w:tcPr>
        <w:p w14:paraId="5446FDF6" w14:textId="77777777" w:rsidR="00AC6BBE" w:rsidRDefault="00AC6BBE" w:rsidP="00E669E2">
          <w:pPr>
            <w:pStyle w:val="HeaderOdd"/>
          </w:pPr>
        </w:p>
      </w:tc>
      <w:tc>
        <w:tcPr>
          <w:tcW w:w="2155" w:type="dxa"/>
          <w:tcBorders>
            <w:top w:val="single" w:sz="24" w:space="0" w:color="auto"/>
          </w:tcBorders>
        </w:tcPr>
        <w:p w14:paraId="42899F15" w14:textId="77777777" w:rsidR="00AC6BBE" w:rsidRDefault="00AC6BBE" w:rsidP="00E669E2">
          <w:pPr>
            <w:pStyle w:val="HeaderOdd"/>
          </w:pPr>
        </w:p>
      </w:tc>
    </w:tr>
  </w:tbl>
  <w:p w14:paraId="49954320" w14:textId="77777777" w:rsidR="00AC6BBE" w:rsidRDefault="00AC6BBE" w:rsidP="00E669E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C6BBE" w14:paraId="4ADC7402" w14:textId="77777777">
      <w:tc>
        <w:tcPr>
          <w:tcW w:w="2155" w:type="dxa"/>
          <w:tcBorders>
            <w:top w:val="single" w:sz="24" w:space="0" w:color="auto"/>
          </w:tcBorders>
        </w:tcPr>
        <w:p w14:paraId="3FA69BAB" w14:textId="77777777" w:rsidR="00AC6BBE" w:rsidRDefault="00AC6BBE" w:rsidP="0019293B">
          <w:pPr>
            <w:pStyle w:val="HeaderEven"/>
          </w:pPr>
        </w:p>
      </w:tc>
      <w:tc>
        <w:tcPr>
          <w:tcW w:w="6634" w:type="dxa"/>
          <w:tcBorders>
            <w:top w:val="single" w:sz="6" w:space="0" w:color="auto"/>
          </w:tcBorders>
        </w:tcPr>
        <w:p w14:paraId="75AEB82C" w14:textId="77777777" w:rsidR="00AC6BBE" w:rsidRDefault="00AC6BBE" w:rsidP="0019293B">
          <w:pPr>
            <w:pStyle w:val="HeaderEven"/>
          </w:pPr>
        </w:p>
      </w:tc>
    </w:tr>
  </w:tbl>
  <w:p w14:paraId="065B4CAB" w14:textId="77777777" w:rsidR="00AC6BBE" w:rsidRDefault="00AC6BBE"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C6BBE" w14:paraId="7816F447" w14:textId="77777777">
      <w:tc>
        <w:tcPr>
          <w:tcW w:w="6634" w:type="dxa"/>
          <w:tcBorders>
            <w:top w:val="single" w:sz="6" w:space="0" w:color="auto"/>
          </w:tcBorders>
        </w:tcPr>
        <w:p w14:paraId="4071BAA9" w14:textId="77777777" w:rsidR="00AC6BBE" w:rsidRDefault="00AC6BBE" w:rsidP="00E669E2">
          <w:pPr>
            <w:pStyle w:val="HeaderOdd"/>
          </w:pPr>
        </w:p>
      </w:tc>
      <w:tc>
        <w:tcPr>
          <w:tcW w:w="2155" w:type="dxa"/>
          <w:tcBorders>
            <w:top w:val="single" w:sz="24" w:space="0" w:color="auto"/>
          </w:tcBorders>
        </w:tcPr>
        <w:p w14:paraId="6612BE2F" w14:textId="77777777" w:rsidR="00AC6BBE" w:rsidRDefault="00AC6BBE" w:rsidP="00E669E2">
          <w:pPr>
            <w:pStyle w:val="HeaderOdd"/>
          </w:pPr>
        </w:p>
      </w:tc>
    </w:tr>
  </w:tbl>
  <w:p w14:paraId="23A63484" w14:textId="77777777" w:rsidR="00AC6BBE" w:rsidRDefault="00AC6BB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36952B7"/>
    <w:multiLevelType w:val="singleLevel"/>
    <w:tmpl w:val="8FE26DEC"/>
    <w:lvl w:ilvl="0">
      <w:numFmt w:val="bullet"/>
      <w:pStyle w:val="ListBullet"/>
      <w:lvlText w:val=""/>
      <w:lvlJc w:val="left"/>
      <w:pPr>
        <w:tabs>
          <w:tab w:val="num" w:pos="360"/>
        </w:tabs>
        <w:ind w:left="340" w:hanging="340"/>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7927DD"/>
    <w:multiLevelType w:val="hybridMultilevel"/>
    <w:tmpl w:val="F224D1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10"/>
  </w:num>
  <w:num w:numId="12">
    <w:abstractNumId w:val="11"/>
  </w:num>
  <w:num w:numId="13">
    <w:abstractNumId w:val="4"/>
  </w:num>
  <w:num w:numId="14">
    <w:abstractNumId w:val="18"/>
  </w:num>
  <w:num w:numId="15">
    <w:abstractNumId w:val="21"/>
  </w:num>
  <w:num w:numId="16">
    <w:abstractNumId w:val="14"/>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9"/>
  </w:num>
  <w:num w:numId="23">
    <w:abstractNumId w:val="15"/>
  </w:num>
  <w:num w:numId="24">
    <w:abstractNumId w:val="15"/>
  </w:num>
  <w:num w:numId="25">
    <w:abstractNumId w:val="22"/>
  </w:num>
  <w:num w:numId="26">
    <w:abstractNumId w:val="13"/>
  </w:num>
  <w:num w:numId="27">
    <w:abstractNumId w:val="13"/>
  </w:num>
  <w:num w:numId="28">
    <w:abstractNumId w:val="13"/>
  </w:num>
  <w:num w:numId="29">
    <w:abstractNumId w:val="12"/>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ctiveWritingStyle w:appName="MSWord" w:lang="en-AU" w:vendorID="64" w:dllVersion="131078" w:nlCheck="1" w:checkStyle="0"/>
  <w:activeWritingStyle w:appName="MSWord" w:lang="en-US"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Productivity Update 2019"/>
  </w:docVars>
  <w:rsids>
    <w:rsidRoot w:val="00C54961"/>
    <w:rsid w:val="0000027B"/>
    <w:rsid w:val="00000FB4"/>
    <w:rsid w:val="000014C1"/>
    <w:rsid w:val="00004844"/>
    <w:rsid w:val="00007FCC"/>
    <w:rsid w:val="0001016E"/>
    <w:rsid w:val="00012B30"/>
    <w:rsid w:val="00014707"/>
    <w:rsid w:val="000168BC"/>
    <w:rsid w:val="000227D5"/>
    <w:rsid w:val="000245AA"/>
    <w:rsid w:val="00024F76"/>
    <w:rsid w:val="00025E99"/>
    <w:rsid w:val="00025E9A"/>
    <w:rsid w:val="00026020"/>
    <w:rsid w:val="000264BD"/>
    <w:rsid w:val="00027365"/>
    <w:rsid w:val="00027763"/>
    <w:rsid w:val="00030371"/>
    <w:rsid w:val="000304C9"/>
    <w:rsid w:val="00031116"/>
    <w:rsid w:val="000323A6"/>
    <w:rsid w:val="000327A2"/>
    <w:rsid w:val="0003355F"/>
    <w:rsid w:val="00034FA0"/>
    <w:rsid w:val="0003664B"/>
    <w:rsid w:val="000373B9"/>
    <w:rsid w:val="00037DB6"/>
    <w:rsid w:val="00037DDE"/>
    <w:rsid w:val="0004013C"/>
    <w:rsid w:val="00040FB1"/>
    <w:rsid w:val="0004111F"/>
    <w:rsid w:val="00042831"/>
    <w:rsid w:val="00043F2E"/>
    <w:rsid w:val="000459F5"/>
    <w:rsid w:val="00046168"/>
    <w:rsid w:val="000510C7"/>
    <w:rsid w:val="00051A24"/>
    <w:rsid w:val="00051D42"/>
    <w:rsid w:val="00052D17"/>
    <w:rsid w:val="00053349"/>
    <w:rsid w:val="00054598"/>
    <w:rsid w:val="00054DB2"/>
    <w:rsid w:val="00055077"/>
    <w:rsid w:val="00055BE9"/>
    <w:rsid w:val="000565B3"/>
    <w:rsid w:val="00057326"/>
    <w:rsid w:val="000573B8"/>
    <w:rsid w:val="00057968"/>
    <w:rsid w:val="00057AE9"/>
    <w:rsid w:val="0006226B"/>
    <w:rsid w:val="00062696"/>
    <w:rsid w:val="000632B9"/>
    <w:rsid w:val="0006506E"/>
    <w:rsid w:val="00065780"/>
    <w:rsid w:val="0006701E"/>
    <w:rsid w:val="00067D04"/>
    <w:rsid w:val="0007150B"/>
    <w:rsid w:val="000716A0"/>
    <w:rsid w:val="000738B7"/>
    <w:rsid w:val="00074ABB"/>
    <w:rsid w:val="00076F3E"/>
    <w:rsid w:val="00080AD3"/>
    <w:rsid w:val="00082759"/>
    <w:rsid w:val="00082A51"/>
    <w:rsid w:val="00082FC1"/>
    <w:rsid w:val="00085DA0"/>
    <w:rsid w:val="00086601"/>
    <w:rsid w:val="0008751C"/>
    <w:rsid w:val="00090B17"/>
    <w:rsid w:val="00091096"/>
    <w:rsid w:val="000938F5"/>
    <w:rsid w:val="00093DA6"/>
    <w:rsid w:val="00094A84"/>
    <w:rsid w:val="00095663"/>
    <w:rsid w:val="00096E55"/>
    <w:rsid w:val="0009783E"/>
    <w:rsid w:val="000A0557"/>
    <w:rsid w:val="000A2848"/>
    <w:rsid w:val="000A348D"/>
    <w:rsid w:val="000A3B52"/>
    <w:rsid w:val="000B1022"/>
    <w:rsid w:val="000B1118"/>
    <w:rsid w:val="000B168A"/>
    <w:rsid w:val="000B31E6"/>
    <w:rsid w:val="000B49D9"/>
    <w:rsid w:val="000B5A27"/>
    <w:rsid w:val="000B601B"/>
    <w:rsid w:val="000B664D"/>
    <w:rsid w:val="000C075D"/>
    <w:rsid w:val="000C1749"/>
    <w:rsid w:val="000C207E"/>
    <w:rsid w:val="000C3D3B"/>
    <w:rsid w:val="000C5977"/>
    <w:rsid w:val="000D0FF4"/>
    <w:rsid w:val="000D41E9"/>
    <w:rsid w:val="000D525E"/>
    <w:rsid w:val="000D658D"/>
    <w:rsid w:val="000E3D9B"/>
    <w:rsid w:val="000E5D04"/>
    <w:rsid w:val="000E6767"/>
    <w:rsid w:val="000E6C41"/>
    <w:rsid w:val="000F0035"/>
    <w:rsid w:val="000F04E7"/>
    <w:rsid w:val="000F060A"/>
    <w:rsid w:val="000F09DC"/>
    <w:rsid w:val="000F420B"/>
    <w:rsid w:val="000F539C"/>
    <w:rsid w:val="000F597C"/>
    <w:rsid w:val="000F7F0D"/>
    <w:rsid w:val="00100819"/>
    <w:rsid w:val="001043D2"/>
    <w:rsid w:val="0010542D"/>
    <w:rsid w:val="001065ED"/>
    <w:rsid w:val="001066EC"/>
    <w:rsid w:val="00106B7D"/>
    <w:rsid w:val="00110116"/>
    <w:rsid w:val="001141D2"/>
    <w:rsid w:val="001143B2"/>
    <w:rsid w:val="001149C8"/>
    <w:rsid w:val="00114DC8"/>
    <w:rsid w:val="0011545A"/>
    <w:rsid w:val="001155E7"/>
    <w:rsid w:val="00120072"/>
    <w:rsid w:val="00120E24"/>
    <w:rsid w:val="0012392C"/>
    <w:rsid w:val="0012394C"/>
    <w:rsid w:val="00125ADA"/>
    <w:rsid w:val="00126DCA"/>
    <w:rsid w:val="00126EB8"/>
    <w:rsid w:val="001274D4"/>
    <w:rsid w:val="001312B7"/>
    <w:rsid w:val="00132256"/>
    <w:rsid w:val="00133131"/>
    <w:rsid w:val="001337BB"/>
    <w:rsid w:val="0013393C"/>
    <w:rsid w:val="001353E1"/>
    <w:rsid w:val="001355C4"/>
    <w:rsid w:val="001363AA"/>
    <w:rsid w:val="0013739A"/>
    <w:rsid w:val="0013755B"/>
    <w:rsid w:val="00137F29"/>
    <w:rsid w:val="001419F7"/>
    <w:rsid w:val="00141C38"/>
    <w:rsid w:val="00142165"/>
    <w:rsid w:val="001434B5"/>
    <w:rsid w:val="001435B2"/>
    <w:rsid w:val="00143C79"/>
    <w:rsid w:val="00144E98"/>
    <w:rsid w:val="0014524C"/>
    <w:rsid w:val="00145330"/>
    <w:rsid w:val="001455B5"/>
    <w:rsid w:val="00145DEC"/>
    <w:rsid w:val="00146654"/>
    <w:rsid w:val="00146BF8"/>
    <w:rsid w:val="00150882"/>
    <w:rsid w:val="0015091D"/>
    <w:rsid w:val="00153740"/>
    <w:rsid w:val="00154857"/>
    <w:rsid w:val="0015547C"/>
    <w:rsid w:val="00162434"/>
    <w:rsid w:val="00163E3B"/>
    <w:rsid w:val="00166F08"/>
    <w:rsid w:val="001756F8"/>
    <w:rsid w:val="001766C5"/>
    <w:rsid w:val="00176BC0"/>
    <w:rsid w:val="00182429"/>
    <w:rsid w:val="00182F36"/>
    <w:rsid w:val="00183E82"/>
    <w:rsid w:val="00186269"/>
    <w:rsid w:val="0018732D"/>
    <w:rsid w:val="001878BB"/>
    <w:rsid w:val="001905FB"/>
    <w:rsid w:val="00191AE0"/>
    <w:rsid w:val="00191FAC"/>
    <w:rsid w:val="00192797"/>
    <w:rsid w:val="0019293B"/>
    <w:rsid w:val="00192A17"/>
    <w:rsid w:val="00193DDF"/>
    <w:rsid w:val="0019426B"/>
    <w:rsid w:val="00197DD3"/>
    <w:rsid w:val="001A0507"/>
    <w:rsid w:val="001A1A64"/>
    <w:rsid w:val="001A4817"/>
    <w:rsid w:val="001A6A4B"/>
    <w:rsid w:val="001A724A"/>
    <w:rsid w:val="001B08AC"/>
    <w:rsid w:val="001B31DB"/>
    <w:rsid w:val="001B617D"/>
    <w:rsid w:val="001B62D0"/>
    <w:rsid w:val="001C017D"/>
    <w:rsid w:val="001C0865"/>
    <w:rsid w:val="001C0AED"/>
    <w:rsid w:val="001C0DEF"/>
    <w:rsid w:val="001C1537"/>
    <w:rsid w:val="001C30D4"/>
    <w:rsid w:val="001C326B"/>
    <w:rsid w:val="001C3ABA"/>
    <w:rsid w:val="001C4B06"/>
    <w:rsid w:val="001C5111"/>
    <w:rsid w:val="001D1494"/>
    <w:rsid w:val="001D2E43"/>
    <w:rsid w:val="001D523C"/>
    <w:rsid w:val="001D5D5F"/>
    <w:rsid w:val="001D6282"/>
    <w:rsid w:val="001D66BD"/>
    <w:rsid w:val="001E05E6"/>
    <w:rsid w:val="001E218F"/>
    <w:rsid w:val="001E2860"/>
    <w:rsid w:val="001E29D2"/>
    <w:rsid w:val="001E4C01"/>
    <w:rsid w:val="001E593C"/>
    <w:rsid w:val="001E6B33"/>
    <w:rsid w:val="001E6CD5"/>
    <w:rsid w:val="001E7108"/>
    <w:rsid w:val="001E7BE8"/>
    <w:rsid w:val="001F0248"/>
    <w:rsid w:val="001F139D"/>
    <w:rsid w:val="001F14E3"/>
    <w:rsid w:val="001F1CD7"/>
    <w:rsid w:val="001F3EB3"/>
    <w:rsid w:val="001F460B"/>
    <w:rsid w:val="001F4C2B"/>
    <w:rsid w:val="001F4F86"/>
    <w:rsid w:val="001F6AE9"/>
    <w:rsid w:val="00201743"/>
    <w:rsid w:val="00202B22"/>
    <w:rsid w:val="00202C2C"/>
    <w:rsid w:val="00203050"/>
    <w:rsid w:val="0020342D"/>
    <w:rsid w:val="002059E5"/>
    <w:rsid w:val="002063B3"/>
    <w:rsid w:val="00207F79"/>
    <w:rsid w:val="002122C5"/>
    <w:rsid w:val="002135AB"/>
    <w:rsid w:val="00213974"/>
    <w:rsid w:val="002144BE"/>
    <w:rsid w:val="002174E7"/>
    <w:rsid w:val="00220305"/>
    <w:rsid w:val="00222013"/>
    <w:rsid w:val="00222576"/>
    <w:rsid w:val="00222FF7"/>
    <w:rsid w:val="002240DD"/>
    <w:rsid w:val="002247D4"/>
    <w:rsid w:val="0022517A"/>
    <w:rsid w:val="002274FC"/>
    <w:rsid w:val="0022783C"/>
    <w:rsid w:val="002320B8"/>
    <w:rsid w:val="002321CD"/>
    <w:rsid w:val="00233008"/>
    <w:rsid w:val="0023313F"/>
    <w:rsid w:val="00233550"/>
    <w:rsid w:val="00233B17"/>
    <w:rsid w:val="00234912"/>
    <w:rsid w:val="00240C1D"/>
    <w:rsid w:val="002410BF"/>
    <w:rsid w:val="00241E65"/>
    <w:rsid w:val="00242279"/>
    <w:rsid w:val="00243997"/>
    <w:rsid w:val="00244B6C"/>
    <w:rsid w:val="0024516C"/>
    <w:rsid w:val="00245A35"/>
    <w:rsid w:val="00245C82"/>
    <w:rsid w:val="00246248"/>
    <w:rsid w:val="002519C6"/>
    <w:rsid w:val="00253178"/>
    <w:rsid w:val="002554CB"/>
    <w:rsid w:val="0025635D"/>
    <w:rsid w:val="00257E5C"/>
    <w:rsid w:val="002608D6"/>
    <w:rsid w:val="00266AE5"/>
    <w:rsid w:val="002710ED"/>
    <w:rsid w:val="00271749"/>
    <w:rsid w:val="002724BA"/>
    <w:rsid w:val="00273025"/>
    <w:rsid w:val="00274C53"/>
    <w:rsid w:val="00276290"/>
    <w:rsid w:val="00276671"/>
    <w:rsid w:val="002774A3"/>
    <w:rsid w:val="00280ED3"/>
    <w:rsid w:val="00281C63"/>
    <w:rsid w:val="00284106"/>
    <w:rsid w:val="00284A0E"/>
    <w:rsid w:val="00285928"/>
    <w:rsid w:val="00286448"/>
    <w:rsid w:val="00286A8E"/>
    <w:rsid w:val="00290FAE"/>
    <w:rsid w:val="00291471"/>
    <w:rsid w:val="00291B40"/>
    <w:rsid w:val="00294B98"/>
    <w:rsid w:val="00296DB7"/>
    <w:rsid w:val="00296FC3"/>
    <w:rsid w:val="002A2E9D"/>
    <w:rsid w:val="002A30DD"/>
    <w:rsid w:val="002A4CF5"/>
    <w:rsid w:val="002A70D6"/>
    <w:rsid w:val="002A7373"/>
    <w:rsid w:val="002B00AE"/>
    <w:rsid w:val="002B106B"/>
    <w:rsid w:val="002B10B5"/>
    <w:rsid w:val="002B24FF"/>
    <w:rsid w:val="002B4008"/>
    <w:rsid w:val="002B43EA"/>
    <w:rsid w:val="002B468E"/>
    <w:rsid w:val="002C143A"/>
    <w:rsid w:val="002C1DD9"/>
    <w:rsid w:val="002C26E4"/>
    <w:rsid w:val="002C439F"/>
    <w:rsid w:val="002C4A1E"/>
    <w:rsid w:val="002C52E9"/>
    <w:rsid w:val="002C580E"/>
    <w:rsid w:val="002C5A8C"/>
    <w:rsid w:val="002C6BBC"/>
    <w:rsid w:val="002C73EE"/>
    <w:rsid w:val="002C752F"/>
    <w:rsid w:val="002D0435"/>
    <w:rsid w:val="002D0C42"/>
    <w:rsid w:val="002D0E8E"/>
    <w:rsid w:val="002D1216"/>
    <w:rsid w:val="002D2339"/>
    <w:rsid w:val="002E1274"/>
    <w:rsid w:val="002E136B"/>
    <w:rsid w:val="002E274E"/>
    <w:rsid w:val="002E275F"/>
    <w:rsid w:val="002E531B"/>
    <w:rsid w:val="002E5843"/>
    <w:rsid w:val="002E6B0C"/>
    <w:rsid w:val="002E719C"/>
    <w:rsid w:val="002F130B"/>
    <w:rsid w:val="002F235B"/>
    <w:rsid w:val="002F2DC8"/>
    <w:rsid w:val="002F3DE5"/>
    <w:rsid w:val="002F4089"/>
    <w:rsid w:val="002F7E03"/>
    <w:rsid w:val="00300115"/>
    <w:rsid w:val="003001CD"/>
    <w:rsid w:val="00301189"/>
    <w:rsid w:val="003017F2"/>
    <w:rsid w:val="00301E4A"/>
    <w:rsid w:val="00302CD6"/>
    <w:rsid w:val="00303163"/>
    <w:rsid w:val="00303189"/>
    <w:rsid w:val="00303B4F"/>
    <w:rsid w:val="003043AD"/>
    <w:rsid w:val="003052D2"/>
    <w:rsid w:val="003061EF"/>
    <w:rsid w:val="003104DC"/>
    <w:rsid w:val="00311A43"/>
    <w:rsid w:val="0031244A"/>
    <w:rsid w:val="0031295F"/>
    <w:rsid w:val="003152F2"/>
    <w:rsid w:val="00315ECE"/>
    <w:rsid w:val="003168B8"/>
    <w:rsid w:val="00316B03"/>
    <w:rsid w:val="00321612"/>
    <w:rsid w:val="00322689"/>
    <w:rsid w:val="00322D64"/>
    <w:rsid w:val="00322DE9"/>
    <w:rsid w:val="00323E09"/>
    <w:rsid w:val="00327D43"/>
    <w:rsid w:val="00331DFE"/>
    <w:rsid w:val="003324EB"/>
    <w:rsid w:val="00333932"/>
    <w:rsid w:val="00333DF4"/>
    <w:rsid w:val="00333E07"/>
    <w:rsid w:val="00335272"/>
    <w:rsid w:val="0033678D"/>
    <w:rsid w:val="00340224"/>
    <w:rsid w:val="0034286C"/>
    <w:rsid w:val="003437C3"/>
    <w:rsid w:val="0034640D"/>
    <w:rsid w:val="00347118"/>
    <w:rsid w:val="0034730D"/>
    <w:rsid w:val="00347E68"/>
    <w:rsid w:val="00350D9E"/>
    <w:rsid w:val="003518AA"/>
    <w:rsid w:val="003518CF"/>
    <w:rsid w:val="00352165"/>
    <w:rsid w:val="0035284C"/>
    <w:rsid w:val="00352D40"/>
    <w:rsid w:val="00353182"/>
    <w:rsid w:val="00353A8E"/>
    <w:rsid w:val="00353F1F"/>
    <w:rsid w:val="003565D9"/>
    <w:rsid w:val="003602E1"/>
    <w:rsid w:val="00360A1D"/>
    <w:rsid w:val="00361AAA"/>
    <w:rsid w:val="00364471"/>
    <w:rsid w:val="003645BA"/>
    <w:rsid w:val="0037026F"/>
    <w:rsid w:val="00370A9B"/>
    <w:rsid w:val="00371240"/>
    <w:rsid w:val="0037184B"/>
    <w:rsid w:val="00373F9C"/>
    <w:rsid w:val="00374731"/>
    <w:rsid w:val="00376E59"/>
    <w:rsid w:val="00377EC1"/>
    <w:rsid w:val="00380340"/>
    <w:rsid w:val="00380B98"/>
    <w:rsid w:val="00382007"/>
    <w:rsid w:val="00382322"/>
    <w:rsid w:val="00382EE2"/>
    <w:rsid w:val="003856B0"/>
    <w:rsid w:val="003901A9"/>
    <w:rsid w:val="003919F9"/>
    <w:rsid w:val="003920CF"/>
    <w:rsid w:val="00393109"/>
    <w:rsid w:val="00395C38"/>
    <w:rsid w:val="00395D14"/>
    <w:rsid w:val="003960A1"/>
    <w:rsid w:val="003A11FE"/>
    <w:rsid w:val="003A141B"/>
    <w:rsid w:val="003A4DB6"/>
    <w:rsid w:val="003A6457"/>
    <w:rsid w:val="003B23C2"/>
    <w:rsid w:val="003B2FDA"/>
    <w:rsid w:val="003B7030"/>
    <w:rsid w:val="003C3289"/>
    <w:rsid w:val="003C34E6"/>
    <w:rsid w:val="003C38B5"/>
    <w:rsid w:val="003C5D99"/>
    <w:rsid w:val="003C746D"/>
    <w:rsid w:val="003C7A3B"/>
    <w:rsid w:val="003C7CA8"/>
    <w:rsid w:val="003D0D62"/>
    <w:rsid w:val="003D1087"/>
    <w:rsid w:val="003D39FA"/>
    <w:rsid w:val="003D3F01"/>
    <w:rsid w:val="003D4C6D"/>
    <w:rsid w:val="003E12ED"/>
    <w:rsid w:val="003E2F59"/>
    <w:rsid w:val="003E322F"/>
    <w:rsid w:val="003E746B"/>
    <w:rsid w:val="003F0789"/>
    <w:rsid w:val="003F428D"/>
    <w:rsid w:val="003F521C"/>
    <w:rsid w:val="003F624E"/>
    <w:rsid w:val="003F6393"/>
    <w:rsid w:val="003F6C33"/>
    <w:rsid w:val="00401882"/>
    <w:rsid w:val="004027D1"/>
    <w:rsid w:val="00403240"/>
    <w:rsid w:val="0040367A"/>
    <w:rsid w:val="004050E3"/>
    <w:rsid w:val="004100C8"/>
    <w:rsid w:val="00411DBD"/>
    <w:rsid w:val="00412ACE"/>
    <w:rsid w:val="00413D57"/>
    <w:rsid w:val="00413EF9"/>
    <w:rsid w:val="004145D2"/>
    <w:rsid w:val="00416860"/>
    <w:rsid w:val="00416A9D"/>
    <w:rsid w:val="00416D62"/>
    <w:rsid w:val="004172E1"/>
    <w:rsid w:val="004210DA"/>
    <w:rsid w:val="00421DBF"/>
    <w:rsid w:val="004222EA"/>
    <w:rsid w:val="0042420A"/>
    <w:rsid w:val="00425128"/>
    <w:rsid w:val="00426CB4"/>
    <w:rsid w:val="004277DF"/>
    <w:rsid w:val="00431249"/>
    <w:rsid w:val="00431444"/>
    <w:rsid w:val="00431739"/>
    <w:rsid w:val="00433977"/>
    <w:rsid w:val="00433B9D"/>
    <w:rsid w:val="00434369"/>
    <w:rsid w:val="00434C19"/>
    <w:rsid w:val="004350C6"/>
    <w:rsid w:val="00435C75"/>
    <w:rsid w:val="0043624A"/>
    <w:rsid w:val="00437856"/>
    <w:rsid w:val="004417C9"/>
    <w:rsid w:val="00445029"/>
    <w:rsid w:val="00447324"/>
    <w:rsid w:val="00447560"/>
    <w:rsid w:val="0045040C"/>
    <w:rsid w:val="00450617"/>
    <w:rsid w:val="00450810"/>
    <w:rsid w:val="00451966"/>
    <w:rsid w:val="004527FC"/>
    <w:rsid w:val="004537BA"/>
    <w:rsid w:val="0045412A"/>
    <w:rsid w:val="00454FF9"/>
    <w:rsid w:val="00460D46"/>
    <w:rsid w:val="00460F20"/>
    <w:rsid w:val="00461B2D"/>
    <w:rsid w:val="004622E3"/>
    <w:rsid w:val="00462C59"/>
    <w:rsid w:val="00462F5F"/>
    <w:rsid w:val="0046366F"/>
    <w:rsid w:val="00467007"/>
    <w:rsid w:val="00470737"/>
    <w:rsid w:val="00471D8C"/>
    <w:rsid w:val="00473794"/>
    <w:rsid w:val="00474A19"/>
    <w:rsid w:val="00474F66"/>
    <w:rsid w:val="00475A21"/>
    <w:rsid w:val="00476376"/>
    <w:rsid w:val="004765EB"/>
    <w:rsid w:val="00477144"/>
    <w:rsid w:val="00477E3C"/>
    <w:rsid w:val="00481608"/>
    <w:rsid w:val="00482534"/>
    <w:rsid w:val="004844F1"/>
    <w:rsid w:val="00484E73"/>
    <w:rsid w:val="0048694B"/>
    <w:rsid w:val="00487254"/>
    <w:rsid w:val="00487C7A"/>
    <w:rsid w:val="004908F8"/>
    <w:rsid w:val="00491033"/>
    <w:rsid w:val="00491380"/>
    <w:rsid w:val="00491DD0"/>
    <w:rsid w:val="004927BD"/>
    <w:rsid w:val="00492E19"/>
    <w:rsid w:val="0049459F"/>
    <w:rsid w:val="00495228"/>
    <w:rsid w:val="00495F17"/>
    <w:rsid w:val="004A036D"/>
    <w:rsid w:val="004A162D"/>
    <w:rsid w:val="004A201F"/>
    <w:rsid w:val="004A2FEA"/>
    <w:rsid w:val="004A3151"/>
    <w:rsid w:val="004A38DD"/>
    <w:rsid w:val="004A3A97"/>
    <w:rsid w:val="004A7175"/>
    <w:rsid w:val="004A74D6"/>
    <w:rsid w:val="004B00E4"/>
    <w:rsid w:val="004B0B60"/>
    <w:rsid w:val="004B0F36"/>
    <w:rsid w:val="004B11DA"/>
    <w:rsid w:val="004B42C9"/>
    <w:rsid w:val="004B43AE"/>
    <w:rsid w:val="004B5454"/>
    <w:rsid w:val="004C0034"/>
    <w:rsid w:val="004C223E"/>
    <w:rsid w:val="004C30ED"/>
    <w:rsid w:val="004C3F59"/>
    <w:rsid w:val="004C4D34"/>
    <w:rsid w:val="004C7BFA"/>
    <w:rsid w:val="004D03D9"/>
    <w:rsid w:val="004D2A27"/>
    <w:rsid w:val="004D3656"/>
    <w:rsid w:val="004D47D0"/>
    <w:rsid w:val="004D5675"/>
    <w:rsid w:val="004D5F87"/>
    <w:rsid w:val="004D6F72"/>
    <w:rsid w:val="004E0265"/>
    <w:rsid w:val="004E0A02"/>
    <w:rsid w:val="004E2319"/>
    <w:rsid w:val="004E6279"/>
    <w:rsid w:val="004F01CB"/>
    <w:rsid w:val="004F1657"/>
    <w:rsid w:val="004F2589"/>
    <w:rsid w:val="004F3F2F"/>
    <w:rsid w:val="004F4303"/>
    <w:rsid w:val="004F50E8"/>
    <w:rsid w:val="00501B05"/>
    <w:rsid w:val="00501E19"/>
    <w:rsid w:val="00501EB8"/>
    <w:rsid w:val="0050295E"/>
    <w:rsid w:val="00505123"/>
    <w:rsid w:val="005057C4"/>
    <w:rsid w:val="00505AAE"/>
    <w:rsid w:val="005079D9"/>
    <w:rsid w:val="00510163"/>
    <w:rsid w:val="0051291A"/>
    <w:rsid w:val="0051306E"/>
    <w:rsid w:val="00513C18"/>
    <w:rsid w:val="00514F0A"/>
    <w:rsid w:val="00515DCA"/>
    <w:rsid w:val="00517795"/>
    <w:rsid w:val="00520E94"/>
    <w:rsid w:val="005220A1"/>
    <w:rsid w:val="00523639"/>
    <w:rsid w:val="0052559B"/>
    <w:rsid w:val="00525B16"/>
    <w:rsid w:val="00526745"/>
    <w:rsid w:val="0052739B"/>
    <w:rsid w:val="00527D16"/>
    <w:rsid w:val="005309DC"/>
    <w:rsid w:val="00531315"/>
    <w:rsid w:val="00531669"/>
    <w:rsid w:val="00531FE5"/>
    <w:rsid w:val="0053399F"/>
    <w:rsid w:val="00535EAE"/>
    <w:rsid w:val="00535FD4"/>
    <w:rsid w:val="00536A3E"/>
    <w:rsid w:val="005379E6"/>
    <w:rsid w:val="005402FA"/>
    <w:rsid w:val="00540BCD"/>
    <w:rsid w:val="00541E1A"/>
    <w:rsid w:val="0054268F"/>
    <w:rsid w:val="00546FEE"/>
    <w:rsid w:val="005508F1"/>
    <w:rsid w:val="005523EB"/>
    <w:rsid w:val="00554368"/>
    <w:rsid w:val="00556657"/>
    <w:rsid w:val="00556E41"/>
    <w:rsid w:val="00561B70"/>
    <w:rsid w:val="0056245D"/>
    <w:rsid w:val="005656CB"/>
    <w:rsid w:val="00567785"/>
    <w:rsid w:val="00571408"/>
    <w:rsid w:val="005729BD"/>
    <w:rsid w:val="00572ABF"/>
    <w:rsid w:val="00573437"/>
    <w:rsid w:val="00573BE3"/>
    <w:rsid w:val="00573DCC"/>
    <w:rsid w:val="005747F6"/>
    <w:rsid w:val="0057486F"/>
    <w:rsid w:val="00577FAF"/>
    <w:rsid w:val="00580154"/>
    <w:rsid w:val="00580859"/>
    <w:rsid w:val="00581828"/>
    <w:rsid w:val="00583C39"/>
    <w:rsid w:val="00584EF7"/>
    <w:rsid w:val="005852C1"/>
    <w:rsid w:val="005853EE"/>
    <w:rsid w:val="0058581A"/>
    <w:rsid w:val="0058633E"/>
    <w:rsid w:val="00586A58"/>
    <w:rsid w:val="00586A90"/>
    <w:rsid w:val="00587665"/>
    <w:rsid w:val="00587A8A"/>
    <w:rsid w:val="00587F28"/>
    <w:rsid w:val="005909CF"/>
    <w:rsid w:val="005918C6"/>
    <w:rsid w:val="00591E71"/>
    <w:rsid w:val="005920A8"/>
    <w:rsid w:val="00592CCE"/>
    <w:rsid w:val="00596028"/>
    <w:rsid w:val="005A0AC7"/>
    <w:rsid w:val="005A0D41"/>
    <w:rsid w:val="005A23C8"/>
    <w:rsid w:val="005A29F3"/>
    <w:rsid w:val="005A39EE"/>
    <w:rsid w:val="005A4210"/>
    <w:rsid w:val="005A53B6"/>
    <w:rsid w:val="005A6E75"/>
    <w:rsid w:val="005A7322"/>
    <w:rsid w:val="005B1582"/>
    <w:rsid w:val="005B1BEA"/>
    <w:rsid w:val="005B1F4A"/>
    <w:rsid w:val="005B22DD"/>
    <w:rsid w:val="005B38E2"/>
    <w:rsid w:val="005B4A4E"/>
    <w:rsid w:val="005B59C9"/>
    <w:rsid w:val="005B5CBC"/>
    <w:rsid w:val="005C0A7A"/>
    <w:rsid w:val="005C11B0"/>
    <w:rsid w:val="005C378E"/>
    <w:rsid w:val="005C6BA1"/>
    <w:rsid w:val="005D1687"/>
    <w:rsid w:val="005D225F"/>
    <w:rsid w:val="005D329F"/>
    <w:rsid w:val="005D3AA4"/>
    <w:rsid w:val="005D6881"/>
    <w:rsid w:val="005E0C45"/>
    <w:rsid w:val="005E10BA"/>
    <w:rsid w:val="005E330C"/>
    <w:rsid w:val="005E4099"/>
    <w:rsid w:val="005E6868"/>
    <w:rsid w:val="005E7B71"/>
    <w:rsid w:val="005F2425"/>
    <w:rsid w:val="005F48ED"/>
    <w:rsid w:val="005F57F3"/>
    <w:rsid w:val="0060206A"/>
    <w:rsid w:val="00602142"/>
    <w:rsid w:val="00605460"/>
    <w:rsid w:val="00606E78"/>
    <w:rsid w:val="00607BF1"/>
    <w:rsid w:val="006116C1"/>
    <w:rsid w:val="006116FC"/>
    <w:rsid w:val="006121DC"/>
    <w:rsid w:val="00614711"/>
    <w:rsid w:val="00614BED"/>
    <w:rsid w:val="00615691"/>
    <w:rsid w:val="00617800"/>
    <w:rsid w:val="00617D55"/>
    <w:rsid w:val="00623F68"/>
    <w:rsid w:val="006245E7"/>
    <w:rsid w:val="00625522"/>
    <w:rsid w:val="00625A47"/>
    <w:rsid w:val="00625E70"/>
    <w:rsid w:val="00626CB2"/>
    <w:rsid w:val="00627D26"/>
    <w:rsid w:val="00630D4D"/>
    <w:rsid w:val="006319CC"/>
    <w:rsid w:val="00632439"/>
    <w:rsid w:val="00632847"/>
    <w:rsid w:val="00632A74"/>
    <w:rsid w:val="00632B28"/>
    <w:rsid w:val="006336FA"/>
    <w:rsid w:val="00633BF4"/>
    <w:rsid w:val="00633BFE"/>
    <w:rsid w:val="0063744D"/>
    <w:rsid w:val="00640483"/>
    <w:rsid w:val="00641B37"/>
    <w:rsid w:val="00641CB4"/>
    <w:rsid w:val="00642841"/>
    <w:rsid w:val="00643618"/>
    <w:rsid w:val="00643A72"/>
    <w:rsid w:val="0064655F"/>
    <w:rsid w:val="006507C8"/>
    <w:rsid w:val="00651076"/>
    <w:rsid w:val="0065343D"/>
    <w:rsid w:val="00654B07"/>
    <w:rsid w:val="00654D42"/>
    <w:rsid w:val="0065597E"/>
    <w:rsid w:val="00656C75"/>
    <w:rsid w:val="006608BD"/>
    <w:rsid w:val="006619C6"/>
    <w:rsid w:val="00661E6A"/>
    <w:rsid w:val="00662AC9"/>
    <w:rsid w:val="00662B60"/>
    <w:rsid w:val="00663691"/>
    <w:rsid w:val="006653DD"/>
    <w:rsid w:val="00665696"/>
    <w:rsid w:val="00665B97"/>
    <w:rsid w:val="00665C80"/>
    <w:rsid w:val="00666E02"/>
    <w:rsid w:val="006677C9"/>
    <w:rsid w:val="006701FA"/>
    <w:rsid w:val="00672BE9"/>
    <w:rsid w:val="00675575"/>
    <w:rsid w:val="0067589D"/>
    <w:rsid w:val="00680502"/>
    <w:rsid w:val="0068110B"/>
    <w:rsid w:val="0068115C"/>
    <w:rsid w:val="006817B7"/>
    <w:rsid w:val="00682006"/>
    <w:rsid w:val="00682745"/>
    <w:rsid w:val="00682E0F"/>
    <w:rsid w:val="00684156"/>
    <w:rsid w:val="00685384"/>
    <w:rsid w:val="006857C6"/>
    <w:rsid w:val="006868C3"/>
    <w:rsid w:val="006871F9"/>
    <w:rsid w:val="00693CA1"/>
    <w:rsid w:val="006950FC"/>
    <w:rsid w:val="0069778C"/>
    <w:rsid w:val="006A0579"/>
    <w:rsid w:val="006A0FED"/>
    <w:rsid w:val="006A249A"/>
    <w:rsid w:val="006A2DBF"/>
    <w:rsid w:val="006A4655"/>
    <w:rsid w:val="006A50A8"/>
    <w:rsid w:val="006A6763"/>
    <w:rsid w:val="006A6B40"/>
    <w:rsid w:val="006B2B3C"/>
    <w:rsid w:val="006B3DD4"/>
    <w:rsid w:val="006B530A"/>
    <w:rsid w:val="006B75F9"/>
    <w:rsid w:val="006C0AA7"/>
    <w:rsid w:val="006C1D81"/>
    <w:rsid w:val="006C2C84"/>
    <w:rsid w:val="006C64D0"/>
    <w:rsid w:val="006C7038"/>
    <w:rsid w:val="006C733B"/>
    <w:rsid w:val="006D0348"/>
    <w:rsid w:val="006D13B0"/>
    <w:rsid w:val="006D490D"/>
    <w:rsid w:val="006D52FC"/>
    <w:rsid w:val="006D5DEF"/>
    <w:rsid w:val="006D697B"/>
    <w:rsid w:val="006D73A0"/>
    <w:rsid w:val="006D7676"/>
    <w:rsid w:val="006D7C60"/>
    <w:rsid w:val="006E00B4"/>
    <w:rsid w:val="006E044F"/>
    <w:rsid w:val="006E083A"/>
    <w:rsid w:val="006E09FC"/>
    <w:rsid w:val="006E4A63"/>
    <w:rsid w:val="006E73EF"/>
    <w:rsid w:val="006F1CB8"/>
    <w:rsid w:val="006F2D8F"/>
    <w:rsid w:val="006F788E"/>
    <w:rsid w:val="006F7B31"/>
    <w:rsid w:val="00701636"/>
    <w:rsid w:val="0070262B"/>
    <w:rsid w:val="00703B7F"/>
    <w:rsid w:val="00704C07"/>
    <w:rsid w:val="00706A51"/>
    <w:rsid w:val="007079C9"/>
    <w:rsid w:val="00707CAA"/>
    <w:rsid w:val="00707ED1"/>
    <w:rsid w:val="007100AE"/>
    <w:rsid w:val="00711703"/>
    <w:rsid w:val="00711FC2"/>
    <w:rsid w:val="0071494E"/>
    <w:rsid w:val="00714D4D"/>
    <w:rsid w:val="00715F41"/>
    <w:rsid w:val="0072463F"/>
    <w:rsid w:val="0072618F"/>
    <w:rsid w:val="007266D3"/>
    <w:rsid w:val="00726A47"/>
    <w:rsid w:val="00730CF0"/>
    <w:rsid w:val="00731289"/>
    <w:rsid w:val="00732029"/>
    <w:rsid w:val="00735262"/>
    <w:rsid w:val="0073565F"/>
    <w:rsid w:val="00740203"/>
    <w:rsid w:val="00740B76"/>
    <w:rsid w:val="00741B15"/>
    <w:rsid w:val="00742F96"/>
    <w:rsid w:val="007449A2"/>
    <w:rsid w:val="00746902"/>
    <w:rsid w:val="007475A6"/>
    <w:rsid w:val="00747A5B"/>
    <w:rsid w:val="00747FB1"/>
    <w:rsid w:val="007505A4"/>
    <w:rsid w:val="00750AAB"/>
    <w:rsid w:val="00750AE5"/>
    <w:rsid w:val="00751B8D"/>
    <w:rsid w:val="00751E91"/>
    <w:rsid w:val="00753934"/>
    <w:rsid w:val="00755657"/>
    <w:rsid w:val="007557E0"/>
    <w:rsid w:val="00756595"/>
    <w:rsid w:val="007600CD"/>
    <w:rsid w:val="007604BB"/>
    <w:rsid w:val="00762F62"/>
    <w:rsid w:val="00763799"/>
    <w:rsid w:val="00763EA3"/>
    <w:rsid w:val="0076423E"/>
    <w:rsid w:val="00765C22"/>
    <w:rsid w:val="00766AB2"/>
    <w:rsid w:val="00770C0A"/>
    <w:rsid w:val="007727DE"/>
    <w:rsid w:val="00772909"/>
    <w:rsid w:val="007755C6"/>
    <w:rsid w:val="007801F8"/>
    <w:rsid w:val="00781577"/>
    <w:rsid w:val="00783C3E"/>
    <w:rsid w:val="00785232"/>
    <w:rsid w:val="00785781"/>
    <w:rsid w:val="0078591D"/>
    <w:rsid w:val="00786FE7"/>
    <w:rsid w:val="007875AA"/>
    <w:rsid w:val="00796097"/>
    <w:rsid w:val="0079701E"/>
    <w:rsid w:val="00797193"/>
    <w:rsid w:val="007A0067"/>
    <w:rsid w:val="007A0A49"/>
    <w:rsid w:val="007A0D8B"/>
    <w:rsid w:val="007A21EB"/>
    <w:rsid w:val="007A2BB3"/>
    <w:rsid w:val="007A44CC"/>
    <w:rsid w:val="007A5DC9"/>
    <w:rsid w:val="007A6328"/>
    <w:rsid w:val="007A6C69"/>
    <w:rsid w:val="007A71F5"/>
    <w:rsid w:val="007A7E0C"/>
    <w:rsid w:val="007B16BD"/>
    <w:rsid w:val="007B1A93"/>
    <w:rsid w:val="007B33A0"/>
    <w:rsid w:val="007B3D2A"/>
    <w:rsid w:val="007B5A8F"/>
    <w:rsid w:val="007B6D8C"/>
    <w:rsid w:val="007B7308"/>
    <w:rsid w:val="007C09C8"/>
    <w:rsid w:val="007C160B"/>
    <w:rsid w:val="007C1D5B"/>
    <w:rsid w:val="007C36C9"/>
    <w:rsid w:val="007C4DB9"/>
    <w:rsid w:val="007C7010"/>
    <w:rsid w:val="007D0D0B"/>
    <w:rsid w:val="007D368C"/>
    <w:rsid w:val="007D383A"/>
    <w:rsid w:val="007D4107"/>
    <w:rsid w:val="007D5ACC"/>
    <w:rsid w:val="007D6401"/>
    <w:rsid w:val="007D6520"/>
    <w:rsid w:val="007E01E4"/>
    <w:rsid w:val="007E135A"/>
    <w:rsid w:val="007E5579"/>
    <w:rsid w:val="007E5B6F"/>
    <w:rsid w:val="007E7A12"/>
    <w:rsid w:val="007F1947"/>
    <w:rsid w:val="007F4C9E"/>
    <w:rsid w:val="007F7107"/>
    <w:rsid w:val="007F7EAE"/>
    <w:rsid w:val="00800D4C"/>
    <w:rsid w:val="00801A0C"/>
    <w:rsid w:val="008022E3"/>
    <w:rsid w:val="008026DA"/>
    <w:rsid w:val="0080427C"/>
    <w:rsid w:val="00804FCB"/>
    <w:rsid w:val="00810267"/>
    <w:rsid w:val="0081030F"/>
    <w:rsid w:val="00812F4A"/>
    <w:rsid w:val="0081310D"/>
    <w:rsid w:val="00813706"/>
    <w:rsid w:val="00813EB6"/>
    <w:rsid w:val="0081470C"/>
    <w:rsid w:val="00817CBB"/>
    <w:rsid w:val="0082087D"/>
    <w:rsid w:val="008214A4"/>
    <w:rsid w:val="00821A38"/>
    <w:rsid w:val="00823F8B"/>
    <w:rsid w:val="00823FDE"/>
    <w:rsid w:val="00824B36"/>
    <w:rsid w:val="00825387"/>
    <w:rsid w:val="0082622F"/>
    <w:rsid w:val="0082674F"/>
    <w:rsid w:val="00830DBA"/>
    <w:rsid w:val="008313E1"/>
    <w:rsid w:val="0083434A"/>
    <w:rsid w:val="00834D88"/>
    <w:rsid w:val="00835771"/>
    <w:rsid w:val="00840DE2"/>
    <w:rsid w:val="00840FFA"/>
    <w:rsid w:val="00842933"/>
    <w:rsid w:val="00846BB8"/>
    <w:rsid w:val="00846F7E"/>
    <w:rsid w:val="00851845"/>
    <w:rsid w:val="00851E10"/>
    <w:rsid w:val="0085285B"/>
    <w:rsid w:val="0085297D"/>
    <w:rsid w:val="008541EB"/>
    <w:rsid w:val="00856878"/>
    <w:rsid w:val="00856ADE"/>
    <w:rsid w:val="00857539"/>
    <w:rsid w:val="008600E1"/>
    <w:rsid w:val="0086082C"/>
    <w:rsid w:val="00860A59"/>
    <w:rsid w:val="008639B6"/>
    <w:rsid w:val="00864ADC"/>
    <w:rsid w:val="00864CAD"/>
    <w:rsid w:val="00865ADB"/>
    <w:rsid w:val="00865B0A"/>
    <w:rsid w:val="00872A9F"/>
    <w:rsid w:val="008738E7"/>
    <w:rsid w:val="0087416C"/>
    <w:rsid w:val="008741C2"/>
    <w:rsid w:val="008752B2"/>
    <w:rsid w:val="00875B4A"/>
    <w:rsid w:val="008778E8"/>
    <w:rsid w:val="00880153"/>
    <w:rsid w:val="0088045B"/>
    <w:rsid w:val="00880F97"/>
    <w:rsid w:val="0088133A"/>
    <w:rsid w:val="0088147F"/>
    <w:rsid w:val="00881766"/>
    <w:rsid w:val="00884056"/>
    <w:rsid w:val="008852DC"/>
    <w:rsid w:val="0088698E"/>
    <w:rsid w:val="008909A5"/>
    <w:rsid w:val="00890BAE"/>
    <w:rsid w:val="0089285E"/>
    <w:rsid w:val="0089389E"/>
    <w:rsid w:val="0089436C"/>
    <w:rsid w:val="00894A88"/>
    <w:rsid w:val="00894C04"/>
    <w:rsid w:val="00897C15"/>
    <w:rsid w:val="008A02E6"/>
    <w:rsid w:val="008A4C7E"/>
    <w:rsid w:val="008A57F3"/>
    <w:rsid w:val="008B1F75"/>
    <w:rsid w:val="008B3B7E"/>
    <w:rsid w:val="008B469E"/>
    <w:rsid w:val="008B6578"/>
    <w:rsid w:val="008B65A2"/>
    <w:rsid w:val="008C0B57"/>
    <w:rsid w:val="008C0B7E"/>
    <w:rsid w:val="008C14B7"/>
    <w:rsid w:val="008C67F8"/>
    <w:rsid w:val="008D1538"/>
    <w:rsid w:val="008D2FF0"/>
    <w:rsid w:val="008D365C"/>
    <w:rsid w:val="008D5977"/>
    <w:rsid w:val="008D687A"/>
    <w:rsid w:val="008D7622"/>
    <w:rsid w:val="008E0B0C"/>
    <w:rsid w:val="008E2F1E"/>
    <w:rsid w:val="008E582F"/>
    <w:rsid w:val="008F37C3"/>
    <w:rsid w:val="008F432C"/>
    <w:rsid w:val="008F4A65"/>
    <w:rsid w:val="008F6EFC"/>
    <w:rsid w:val="008F7564"/>
    <w:rsid w:val="008F7786"/>
    <w:rsid w:val="009003A9"/>
    <w:rsid w:val="009014DC"/>
    <w:rsid w:val="009015C0"/>
    <w:rsid w:val="009021A6"/>
    <w:rsid w:val="009030BF"/>
    <w:rsid w:val="009031BE"/>
    <w:rsid w:val="00903A5D"/>
    <w:rsid w:val="00903B52"/>
    <w:rsid w:val="009045A5"/>
    <w:rsid w:val="009049B3"/>
    <w:rsid w:val="0090769E"/>
    <w:rsid w:val="0091032F"/>
    <w:rsid w:val="0091079D"/>
    <w:rsid w:val="00910BAF"/>
    <w:rsid w:val="00913144"/>
    <w:rsid w:val="00914368"/>
    <w:rsid w:val="00916C13"/>
    <w:rsid w:val="00924E71"/>
    <w:rsid w:val="009259F0"/>
    <w:rsid w:val="00925EEC"/>
    <w:rsid w:val="00925F59"/>
    <w:rsid w:val="00931076"/>
    <w:rsid w:val="0093184E"/>
    <w:rsid w:val="00931F1B"/>
    <w:rsid w:val="00932304"/>
    <w:rsid w:val="009345D9"/>
    <w:rsid w:val="00934689"/>
    <w:rsid w:val="00934B15"/>
    <w:rsid w:val="0093558F"/>
    <w:rsid w:val="00936A5B"/>
    <w:rsid w:val="0093738B"/>
    <w:rsid w:val="00940C87"/>
    <w:rsid w:val="00941685"/>
    <w:rsid w:val="00942B62"/>
    <w:rsid w:val="00944E99"/>
    <w:rsid w:val="009459FE"/>
    <w:rsid w:val="00950783"/>
    <w:rsid w:val="00952315"/>
    <w:rsid w:val="0095323B"/>
    <w:rsid w:val="00956A0C"/>
    <w:rsid w:val="00956BD9"/>
    <w:rsid w:val="0096001B"/>
    <w:rsid w:val="009605E7"/>
    <w:rsid w:val="00961B20"/>
    <w:rsid w:val="00962275"/>
    <w:rsid w:val="00962489"/>
    <w:rsid w:val="009626C8"/>
    <w:rsid w:val="009626F6"/>
    <w:rsid w:val="00963DA3"/>
    <w:rsid w:val="009676D9"/>
    <w:rsid w:val="00967CD3"/>
    <w:rsid w:val="009717E9"/>
    <w:rsid w:val="00973CE0"/>
    <w:rsid w:val="00973FC1"/>
    <w:rsid w:val="00981F8A"/>
    <w:rsid w:val="009826F2"/>
    <w:rsid w:val="009830C5"/>
    <w:rsid w:val="00983ED6"/>
    <w:rsid w:val="00986FD2"/>
    <w:rsid w:val="00987EFD"/>
    <w:rsid w:val="00990C2C"/>
    <w:rsid w:val="00991426"/>
    <w:rsid w:val="00991EFD"/>
    <w:rsid w:val="00992299"/>
    <w:rsid w:val="0099350B"/>
    <w:rsid w:val="00993CC6"/>
    <w:rsid w:val="0099492A"/>
    <w:rsid w:val="00995419"/>
    <w:rsid w:val="0099706E"/>
    <w:rsid w:val="009976DC"/>
    <w:rsid w:val="009A1F2D"/>
    <w:rsid w:val="009A5171"/>
    <w:rsid w:val="009A6225"/>
    <w:rsid w:val="009A66CE"/>
    <w:rsid w:val="009B60FA"/>
    <w:rsid w:val="009B766D"/>
    <w:rsid w:val="009B76F0"/>
    <w:rsid w:val="009B77B0"/>
    <w:rsid w:val="009B7B19"/>
    <w:rsid w:val="009C06C5"/>
    <w:rsid w:val="009C1D11"/>
    <w:rsid w:val="009C1DC1"/>
    <w:rsid w:val="009C48EB"/>
    <w:rsid w:val="009C6259"/>
    <w:rsid w:val="009D049A"/>
    <w:rsid w:val="009D0FA4"/>
    <w:rsid w:val="009D1FF0"/>
    <w:rsid w:val="009D3E04"/>
    <w:rsid w:val="009D42FF"/>
    <w:rsid w:val="009D431C"/>
    <w:rsid w:val="009D7043"/>
    <w:rsid w:val="009D7110"/>
    <w:rsid w:val="009E0E5C"/>
    <w:rsid w:val="009E1844"/>
    <w:rsid w:val="009E1883"/>
    <w:rsid w:val="009E2A4E"/>
    <w:rsid w:val="009E4F0C"/>
    <w:rsid w:val="009E55D5"/>
    <w:rsid w:val="009E5F9C"/>
    <w:rsid w:val="009F0D1B"/>
    <w:rsid w:val="009F1944"/>
    <w:rsid w:val="009F1B9B"/>
    <w:rsid w:val="009F53DD"/>
    <w:rsid w:val="009F5BBD"/>
    <w:rsid w:val="009F6217"/>
    <w:rsid w:val="009F696D"/>
    <w:rsid w:val="009F6ABB"/>
    <w:rsid w:val="009F6BC6"/>
    <w:rsid w:val="009F7032"/>
    <w:rsid w:val="009F7282"/>
    <w:rsid w:val="009F74EF"/>
    <w:rsid w:val="00A011D2"/>
    <w:rsid w:val="00A02826"/>
    <w:rsid w:val="00A03513"/>
    <w:rsid w:val="00A047E2"/>
    <w:rsid w:val="00A062BC"/>
    <w:rsid w:val="00A07054"/>
    <w:rsid w:val="00A075EB"/>
    <w:rsid w:val="00A07695"/>
    <w:rsid w:val="00A1354D"/>
    <w:rsid w:val="00A13DDA"/>
    <w:rsid w:val="00A15D5A"/>
    <w:rsid w:val="00A17328"/>
    <w:rsid w:val="00A179D2"/>
    <w:rsid w:val="00A17F13"/>
    <w:rsid w:val="00A20063"/>
    <w:rsid w:val="00A207A5"/>
    <w:rsid w:val="00A22689"/>
    <w:rsid w:val="00A23011"/>
    <w:rsid w:val="00A231E6"/>
    <w:rsid w:val="00A23524"/>
    <w:rsid w:val="00A23A20"/>
    <w:rsid w:val="00A24443"/>
    <w:rsid w:val="00A268B9"/>
    <w:rsid w:val="00A2703A"/>
    <w:rsid w:val="00A30EF2"/>
    <w:rsid w:val="00A33223"/>
    <w:rsid w:val="00A332E4"/>
    <w:rsid w:val="00A33DFF"/>
    <w:rsid w:val="00A33E79"/>
    <w:rsid w:val="00A34F0A"/>
    <w:rsid w:val="00A35115"/>
    <w:rsid w:val="00A352B7"/>
    <w:rsid w:val="00A35D67"/>
    <w:rsid w:val="00A36D9A"/>
    <w:rsid w:val="00A37739"/>
    <w:rsid w:val="00A40E98"/>
    <w:rsid w:val="00A41145"/>
    <w:rsid w:val="00A41217"/>
    <w:rsid w:val="00A42EF6"/>
    <w:rsid w:val="00A439CC"/>
    <w:rsid w:val="00A4491A"/>
    <w:rsid w:val="00A451DC"/>
    <w:rsid w:val="00A45F80"/>
    <w:rsid w:val="00A476B9"/>
    <w:rsid w:val="00A506BF"/>
    <w:rsid w:val="00A50D20"/>
    <w:rsid w:val="00A51166"/>
    <w:rsid w:val="00A52B45"/>
    <w:rsid w:val="00A53CE5"/>
    <w:rsid w:val="00A554AB"/>
    <w:rsid w:val="00A56EA3"/>
    <w:rsid w:val="00A57062"/>
    <w:rsid w:val="00A575BC"/>
    <w:rsid w:val="00A57BD6"/>
    <w:rsid w:val="00A618BB"/>
    <w:rsid w:val="00A629B8"/>
    <w:rsid w:val="00A62CFC"/>
    <w:rsid w:val="00A64F8D"/>
    <w:rsid w:val="00A67781"/>
    <w:rsid w:val="00A70218"/>
    <w:rsid w:val="00A71B24"/>
    <w:rsid w:val="00A72900"/>
    <w:rsid w:val="00A74212"/>
    <w:rsid w:val="00A74561"/>
    <w:rsid w:val="00A761F9"/>
    <w:rsid w:val="00A778F3"/>
    <w:rsid w:val="00A819A5"/>
    <w:rsid w:val="00A82404"/>
    <w:rsid w:val="00A82BB5"/>
    <w:rsid w:val="00A84AAF"/>
    <w:rsid w:val="00A852A8"/>
    <w:rsid w:val="00A85FD1"/>
    <w:rsid w:val="00A8611B"/>
    <w:rsid w:val="00A86F06"/>
    <w:rsid w:val="00A87221"/>
    <w:rsid w:val="00A87CFB"/>
    <w:rsid w:val="00A900CF"/>
    <w:rsid w:val="00A90359"/>
    <w:rsid w:val="00A91A3B"/>
    <w:rsid w:val="00A92A47"/>
    <w:rsid w:val="00A92B53"/>
    <w:rsid w:val="00A93C03"/>
    <w:rsid w:val="00A94FA6"/>
    <w:rsid w:val="00A95AEC"/>
    <w:rsid w:val="00AA1AE3"/>
    <w:rsid w:val="00AA2F64"/>
    <w:rsid w:val="00AA342A"/>
    <w:rsid w:val="00AA3EC0"/>
    <w:rsid w:val="00AA43B0"/>
    <w:rsid w:val="00AA4778"/>
    <w:rsid w:val="00AA48B5"/>
    <w:rsid w:val="00AA49A0"/>
    <w:rsid w:val="00AA55BD"/>
    <w:rsid w:val="00AA5880"/>
    <w:rsid w:val="00AA61C1"/>
    <w:rsid w:val="00AA6710"/>
    <w:rsid w:val="00AA6D15"/>
    <w:rsid w:val="00AB0681"/>
    <w:rsid w:val="00AB1B4E"/>
    <w:rsid w:val="00AB42A1"/>
    <w:rsid w:val="00AB455D"/>
    <w:rsid w:val="00AB4DBC"/>
    <w:rsid w:val="00AB679D"/>
    <w:rsid w:val="00AB6E59"/>
    <w:rsid w:val="00AC1588"/>
    <w:rsid w:val="00AC179F"/>
    <w:rsid w:val="00AC2C3E"/>
    <w:rsid w:val="00AC3A15"/>
    <w:rsid w:val="00AC3AE1"/>
    <w:rsid w:val="00AC4A48"/>
    <w:rsid w:val="00AC4BF7"/>
    <w:rsid w:val="00AC4C1D"/>
    <w:rsid w:val="00AC4C3A"/>
    <w:rsid w:val="00AC513D"/>
    <w:rsid w:val="00AC69DA"/>
    <w:rsid w:val="00AC6BBE"/>
    <w:rsid w:val="00AD1E26"/>
    <w:rsid w:val="00AD1E40"/>
    <w:rsid w:val="00AD2813"/>
    <w:rsid w:val="00AD2972"/>
    <w:rsid w:val="00AD2B56"/>
    <w:rsid w:val="00AD520B"/>
    <w:rsid w:val="00AD5CB7"/>
    <w:rsid w:val="00AE2B4B"/>
    <w:rsid w:val="00AE3BCC"/>
    <w:rsid w:val="00AE3E16"/>
    <w:rsid w:val="00AE5778"/>
    <w:rsid w:val="00AE71DB"/>
    <w:rsid w:val="00AF1904"/>
    <w:rsid w:val="00AF1AAD"/>
    <w:rsid w:val="00AF2D94"/>
    <w:rsid w:val="00AF34D4"/>
    <w:rsid w:val="00AF3947"/>
    <w:rsid w:val="00AF3E58"/>
    <w:rsid w:val="00AF5B0D"/>
    <w:rsid w:val="00AF7434"/>
    <w:rsid w:val="00AF7813"/>
    <w:rsid w:val="00B025B3"/>
    <w:rsid w:val="00B0363A"/>
    <w:rsid w:val="00B03800"/>
    <w:rsid w:val="00B04837"/>
    <w:rsid w:val="00B06C9C"/>
    <w:rsid w:val="00B073ED"/>
    <w:rsid w:val="00B10943"/>
    <w:rsid w:val="00B10AFE"/>
    <w:rsid w:val="00B11693"/>
    <w:rsid w:val="00B11EE2"/>
    <w:rsid w:val="00B151F7"/>
    <w:rsid w:val="00B15760"/>
    <w:rsid w:val="00B16461"/>
    <w:rsid w:val="00B20B5A"/>
    <w:rsid w:val="00B20E05"/>
    <w:rsid w:val="00B227AF"/>
    <w:rsid w:val="00B2320A"/>
    <w:rsid w:val="00B23BD9"/>
    <w:rsid w:val="00B24BD1"/>
    <w:rsid w:val="00B2626E"/>
    <w:rsid w:val="00B303BD"/>
    <w:rsid w:val="00B3233A"/>
    <w:rsid w:val="00B35315"/>
    <w:rsid w:val="00B3538F"/>
    <w:rsid w:val="00B370EF"/>
    <w:rsid w:val="00B37F34"/>
    <w:rsid w:val="00B40205"/>
    <w:rsid w:val="00B404B3"/>
    <w:rsid w:val="00B425C3"/>
    <w:rsid w:val="00B4373D"/>
    <w:rsid w:val="00B43E4B"/>
    <w:rsid w:val="00B440AD"/>
    <w:rsid w:val="00B44119"/>
    <w:rsid w:val="00B445F4"/>
    <w:rsid w:val="00B45728"/>
    <w:rsid w:val="00B4720C"/>
    <w:rsid w:val="00B479BB"/>
    <w:rsid w:val="00B50856"/>
    <w:rsid w:val="00B51342"/>
    <w:rsid w:val="00B53403"/>
    <w:rsid w:val="00B53E7E"/>
    <w:rsid w:val="00B54618"/>
    <w:rsid w:val="00B60D7C"/>
    <w:rsid w:val="00B60E08"/>
    <w:rsid w:val="00B6342E"/>
    <w:rsid w:val="00B64255"/>
    <w:rsid w:val="00B6679E"/>
    <w:rsid w:val="00B66F0E"/>
    <w:rsid w:val="00B67339"/>
    <w:rsid w:val="00B70559"/>
    <w:rsid w:val="00B7113F"/>
    <w:rsid w:val="00B71D74"/>
    <w:rsid w:val="00B72F75"/>
    <w:rsid w:val="00B736F0"/>
    <w:rsid w:val="00B73A1C"/>
    <w:rsid w:val="00B744F4"/>
    <w:rsid w:val="00B749AE"/>
    <w:rsid w:val="00B80094"/>
    <w:rsid w:val="00B83C6B"/>
    <w:rsid w:val="00B85C4E"/>
    <w:rsid w:val="00B92F7A"/>
    <w:rsid w:val="00B95AC2"/>
    <w:rsid w:val="00B96F51"/>
    <w:rsid w:val="00B96F71"/>
    <w:rsid w:val="00B975DE"/>
    <w:rsid w:val="00BA051C"/>
    <w:rsid w:val="00BA2BCF"/>
    <w:rsid w:val="00BA4854"/>
    <w:rsid w:val="00BA5B14"/>
    <w:rsid w:val="00BA65E8"/>
    <w:rsid w:val="00BA6C5C"/>
    <w:rsid w:val="00BA73B6"/>
    <w:rsid w:val="00BA7E27"/>
    <w:rsid w:val="00BB1201"/>
    <w:rsid w:val="00BB1472"/>
    <w:rsid w:val="00BB2603"/>
    <w:rsid w:val="00BB40EB"/>
    <w:rsid w:val="00BB4FCD"/>
    <w:rsid w:val="00BB52AB"/>
    <w:rsid w:val="00BB566C"/>
    <w:rsid w:val="00BB7254"/>
    <w:rsid w:val="00BC04E9"/>
    <w:rsid w:val="00BC1C00"/>
    <w:rsid w:val="00BC2320"/>
    <w:rsid w:val="00BD13EA"/>
    <w:rsid w:val="00BD1B4D"/>
    <w:rsid w:val="00BD3A92"/>
    <w:rsid w:val="00BD3EF0"/>
    <w:rsid w:val="00BD51D2"/>
    <w:rsid w:val="00BD641C"/>
    <w:rsid w:val="00BD69B8"/>
    <w:rsid w:val="00BD7110"/>
    <w:rsid w:val="00BE0FBF"/>
    <w:rsid w:val="00BE28E3"/>
    <w:rsid w:val="00BE3808"/>
    <w:rsid w:val="00BE432C"/>
    <w:rsid w:val="00BE49B8"/>
    <w:rsid w:val="00BE4A85"/>
    <w:rsid w:val="00BE557F"/>
    <w:rsid w:val="00BE6060"/>
    <w:rsid w:val="00BE78C7"/>
    <w:rsid w:val="00BE7D78"/>
    <w:rsid w:val="00BF2A99"/>
    <w:rsid w:val="00BF3BBF"/>
    <w:rsid w:val="00BF5820"/>
    <w:rsid w:val="00BF6229"/>
    <w:rsid w:val="00BF6F18"/>
    <w:rsid w:val="00BF72BE"/>
    <w:rsid w:val="00BF7C91"/>
    <w:rsid w:val="00C000BD"/>
    <w:rsid w:val="00C01822"/>
    <w:rsid w:val="00C03B88"/>
    <w:rsid w:val="00C0402F"/>
    <w:rsid w:val="00C04290"/>
    <w:rsid w:val="00C0472F"/>
    <w:rsid w:val="00C047F7"/>
    <w:rsid w:val="00C05372"/>
    <w:rsid w:val="00C062E9"/>
    <w:rsid w:val="00C069AA"/>
    <w:rsid w:val="00C07599"/>
    <w:rsid w:val="00C075F5"/>
    <w:rsid w:val="00C07B64"/>
    <w:rsid w:val="00C107E6"/>
    <w:rsid w:val="00C10B6F"/>
    <w:rsid w:val="00C11445"/>
    <w:rsid w:val="00C136D7"/>
    <w:rsid w:val="00C13721"/>
    <w:rsid w:val="00C13A3A"/>
    <w:rsid w:val="00C14FE4"/>
    <w:rsid w:val="00C15018"/>
    <w:rsid w:val="00C166C2"/>
    <w:rsid w:val="00C17442"/>
    <w:rsid w:val="00C17754"/>
    <w:rsid w:val="00C17B3B"/>
    <w:rsid w:val="00C17FCA"/>
    <w:rsid w:val="00C22700"/>
    <w:rsid w:val="00C22C62"/>
    <w:rsid w:val="00C27059"/>
    <w:rsid w:val="00C27406"/>
    <w:rsid w:val="00C3066D"/>
    <w:rsid w:val="00C30725"/>
    <w:rsid w:val="00C31858"/>
    <w:rsid w:val="00C33674"/>
    <w:rsid w:val="00C337C1"/>
    <w:rsid w:val="00C3655D"/>
    <w:rsid w:val="00C36C4C"/>
    <w:rsid w:val="00C36F5C"/>
    <w:rsid w:val="00C374EC"/>
    <w:rsid w:val="00C412FD"/>
    <w:rsid w:val="00C42457"/>
    <w:rsid w:val="00C43C02"/>
    <w:rsid w:val="00C453B5"/>
    <w:rsid w:val="00C4572F"/>
    <w:rsid w:val="00C45AA7"/>
    <w:rsid w:val="00C46775"/>
    <w:rsid w:val="00C46B91"/>
    <w:rsid w:val="00C472EE"/>
    <w:rsid w:val="00C52398"/>
    <w:rsid w:val="00C52416"/>
    <w:rsid w:val="00C543F4"/>
    <w:rsid w:val="00C54961"/>
    <w:rsid w:val="00C56092"/>
    <w:rsid w:val="00C563C8"/>
    <w:rsid w:val="00C57CD2"/>
    <w:rsid w:val="00C606E2"/>
    <w:rsid w:val="00C60757"/>
    <w:rsid w:val="00C60B9B"/>
    <w:rsid w:val="00C6139F"/>
    <w:rsid w:val="00C6258D"/>
    <w:rsid w:val="00C6291C"/>
    <w:rsid w:val="00C632EA"/>
    <w:rsid w:val="00C633CB"/>
    <w:rsid w:val="00C63BC2"/>
    <w:rsid w:val="00C6510C"/>
    <w:rsid w:val="00C664CD"/>
    <w:rsid w:val="00C66DFD"/>
    <w:rsid w:val="00C700DA"/>
    <w:rsid w:val="00C70B71"/>
    <w:rsid w:val="00C71AED"/>
    <w:rsid w:val="00C72F64"/>
    <w:rsid w:val="00C7345D"/>
    <w:rsid w:val="00C736B7"/>
    <w:rsid w:val="00C75B5F"/>
    <w:rsid w:val="00C81D4A"/>
    <w:rsid w:val="00C84307"/>
    <w:rsid w:val="00C8762C"/>
    <w:rsid w:val="00C90A0D"/>
    <w:rsid w:val="00C93643"/>
    <w:rsid w:val="00C94170"/>
    <w:rsid w:val="00C96643"/>
    <w:rsid w:val="00C9766B"/>
    <w:rsid w:val="00CA00F9"/>
    <w:rsid w:val="00CA0989"/>
    <w:rsid w:val="00CA098E"/>
    <w:rsid w:val="00CA152C"/>
    <w:rsid w:val="00CA2961"/>
    <w:rsid w:val="00CA4B01"/>
    <w:rsid w:val="00CA4E36"/>
    <w:rsid w:val="00CA5331"/>
    <w:rsid w:val="00CB15EC"/>
    <w:rsid w:val="00CB50D7"/>
    <w:rsid w:val="00CB60DF"/>
    <w:rsid w:val="00CB70E7"/>
    <w:rsid w:val="00CB7177"/>
    <w:rsid w:val="00CB7CED"/>
    <w:rsid w:val="00CB7E2D"/>
    <w:rsid w:val="00CC070F"/>
    <w:rsid w:val="00CC0AD6"/>
    <w:rsid w:val="00CC1998"/>
    <w:rsid w:val="00CC4946"/>
    <w:rsid w:val="00CC64A1"/>
    <w:rsid w:val="00CD07D7"/>
    <w:rsid w:val="00CD1CF5"/>
    <w:rsid w:val="00CD282A"/>
    <w:rsid w:val="00CD33C4"/>
    <w:rsid w:val="00CD6DC3"/>
    <w:rsid w:val="00CD724D"/>
    <w:rsid w:val="00CD7D1C"/>
    <w:rsid w:val="00CE02C5"/>
    <w:rsid w:val="00CE09D7"/>
    <w:rsid w:val="00CE15D8"/>
    <w:rsid w:val="00CE1831"/>
    <w:rsid w:val="00CE193F"/>
    <w:rsid w:val="00CE250D"/>
    <w:rsid w:val="00CE55AB"/>
    <w:rsid w:val="00CE67C8"/>
    <w:rsid w:val="00CE742D"/>
    <w:rsid w:val="00CF164D"/>
    <w:rsid w:val="00CF16C5"/>
    <w:rsid w:val="00CF34A2"/>
    <w:rsid w:val="00CF3B11"/>
    <w:rsid w:val="00CF3F1F"/>
    <w:rsid w:val="00CF3F37"/>
    <w:rsid w:val="00CF47F6"/>
    <w:rsid w:val="00CF64E2"/>
    <w:rsid w:val="00D025A7"/>
    <w:rsid w:val="00D035FF"/>
    <w:rsid w:val="00D04475"/>
    <w:rsid w:val="00D04EDC"/>
    <w:rsid w:val="00D05946"/>
    <w:rsid w:val="00D076E7"/>
    <w:rsid w:val="00D07F99"/>
    <w:rsid w:val="00D1162E"/>
    <w:rsid w:val="00D11BF4"/>
    <w:rsid w:val="00D16033"/>
    <w:rsid w:val="00D161FD"/>
    <w:rsid w:val="00D20EC0"/>
    <w:rsid w:val="00D23FCB"/>
    <w:rsid w:val="00D242E6"/>
    <w:rsid w:val="00D244CE"/>
    <w:rsid w:val="00D25994"/>
    <w:rsid w:val="00D26B5E"/>
    <w:rsid w:val="00D27069"/>
    <w:rsid w:val="00D270A4"/>
    <w:rsid w:val="00D303B2"/>
    <w:rsid w:val="00D3141A"/>
    <w:rsid w:val="00D316FA"/>
    <w:rsid w:val="00D31FE9"/>
    <w:rsid w:val="00D328D2"/>
    <w:rsid w:val="00D32B7F"/>
    <w:rsid w:val="00D33627"/>
    <w:rsid w:val="00D34E1B"/>
    <w:rsid w:val="00D35CA0"/>
    <w:rsid w:val="00D366B2"/>
    <w:rsid w:val="00D36C31"/>
    <w:rsid w:val="00D373D8"/>
    <w:rsid w:val="00D376BA"/>
    <w:rsid w:val="00D40037"/>
    <w:rsid w:val="00D41F5B"/>
    <w:rsid w:val="00D434A0"/>
    <w:rsid w:val="00D4400D"/>
    <w:rsid w:val="00D44AE4"/>
    <w:rsid w:val="00D45634"/>
    <w:rsid w:val="00D45BDF"/>
    <w:rsid w:val="00D46FFB"/>
    <w:rsid w:val="00D50954"/>
    <w:rsid w:val="00D50BB9"/>
    <w:rsid w:val="00D51736"/>
    <w:rsid w:val="00D52694"/>
    <w:rsid w:val="00D52A23"/>
    <w:rsid w:val="00D54214"/>
    <w:rsid w:val="00D554DE"/>
    <w:rsid w:val="00D5568A"/>
    <w:rsid w:val="00D56D31"/>
    <w:rsid w:val="00D570C7"/>
    <w:rsid w:val="00D57E7C"/>
    <w:rsid w:val="00D61CA1"/>
    <w:rsid w:val="00D6297C"/>
    <w:rsid w:val="00D63CD3"/>
    <w:rsid w:val="00D63D73"/>
    <w:rsid w:val="00D640FC"/>
    <w:rsid w:val="00D64452"/>
    <w:rsid w:val="00D64DEC"/>
    <w:rsid w:val="00D655AC"/>
    <w:rsid w:val="00D65FEA"/>
    <w:rsid w:val="00D66E1E"/>
    <w:rsid w:val="00D67486"/>
    <w:rsid w:val="00D678BD"/>
    <w:rsid w:val="00D67E52"/>
    <w:rsid w:val="00D700DC"/>
    <w:rsid w:val="00D70696"/>
    <w:rsid w:val="00D70A3C"/>
    <w:rsid w:val="00D719C2"/>
    <w:rsid w:val="00D730EA"/>
    <w:rsid w:val="00D73820"/>
    <w:rsid w:val="00D74564"/>
    <w:rsid w:val="00D75722"/>
    <w:rsid w:val="00D76048"/>
    <w:rsid w:val="00D7712B"/>
    <w:rsid w:val="00D77753"/>
    <w:rsid w:val="00D80442"/>
    <w:rsid w:val="00D804AD"/>
    <w:rsid w:val="00D80CF5"/>
    <w:rsid w:val="00D82EC3"/>
    <w:rsid w:val="00D83C3E"/>
    <w:rsid w:val="00D8413C"/>
    <w:rsid w:val="00D846C2"/>
    <w:rsid w:val="00D857C1"/>
    <w:rsid w:val="00D86303"/>
    <w:rsid w:val="00D86534"/>
    <w:rsid w:val="00D865A8"/>
    <w:rsid w:val="00D92512"/>
    <w:rsid w:val="00D92A12"/>
    <w:rsid w:val="00D93B66"/>
    <w:rsid w:val="00D94A81"/>
    <w:rsid w:val="00D94C80"/>
    <w:rsid w:val="00D96B56"/>
    <w:rsid w:val="00D9746A"/>
    <w:rsid w:val="00D978FF"/>
    <w:rsid w:val="00DA02B0"/>
    <w:rsid w:val="00DA2E7C"/>
    <w:rsid w:val="00DA5BBA"/>
    <w:rsid w:val="00DA67A3"/>
    <w:rsid w:val="00DA7982"/>
    <w:rsid w:val="00DB26D2"/>
    <w:rsid w:val="00DB4BAA"/>
    <w:rsid w:val="00DB5B8D"/>
    <w:rsid w:val="00DB60E1"/>
    <w:rsid w:val="00DB67C9"/>
    <w:rsid w:val="00DB6875"/>
    <w:rsid w:val="00DB6E29"/>
    <w:rsid w:val="00DB7EFF"/>
    <w:rsid w:val="00DC010F"/>
    <w:rsid w:val="00DC052E"/>
    <w:rsid w:val="00DC0C95"/>
    <w:rsid w:val="00DC1654"/>
    <w:rsid w:val="00DC4F0B"/>
    <w:rsid w:val="00DC61F1"/>
    <w:rsid w:val="00DD1EC8"/>
    <w:rsid w:val="00DD2720"/>
    <w:rsid w:val="00DD280A"/>
    <w:rsid w:val="00DD30CD"/>
    <w:rsid w:val="00DD435D"/>
    <w:rsid w:val="00DD6580"/>
    <w:rsid w:val="00DD6AE2"/>
    <w:rsid w:val="00DD6EBD"/>
    <w:rsid w:val="00DE00C4"/>
    <w:rsid w:val="00DE0CB3"/>
    <w:rsid w:val="00DE35DD"/>
    <w:rsid w:val="00DE4272"/>
    <w:rsid w:val="00DE7738"/>
    <w:rsid w:val="00DF25D6"/>
    <w:rsid w:val="00DF34F0"/>
    <w:rsid w:val="00DF3813"/>
    <w:rsid w:val="00DF51C2"/>
    <w:rsid w:val="00E008C1"/>
    <w:rsid w:val="00E0146B"/>
    <w:rsid w:val="00E01C95"/>
    <w:rsid w:val="00E01D7F"/>
    <w:rsid w:val="00E03066"/>
    <w:rsid w:val="00E03588"/>
    <w:rsid w:val="00E03745"/>
    <w:rsid w:val="00E0416B"/>
    <w:rsid w:val="00E04576"/>
    <w:rsid w:val="00E05C03"/>
    <w:rsid w:val="00E06C2E"/>
    <w:rsid w:val="00E072C9"/>
    <w:rsid w:val="00E1096E"/>
    <w:rsid w:val="00E16B9D"/>
    <w:rsid w:val="00E17C72"/>
    <w:rsid w:val="00E201D6"/>
    <w:rsid w:val="00E21FC6"/>
    <w:rsid w:val="00E22E6B"/>
    <w:rsid w:val="00E23EEE"/>
    <w:rsid w:val="00E274FA"/>
    <w:rsid w:val="00E27BE4"/>
    <w:rsid w:val="00E303DF"/>
    <w:rsid w:val="00E30E29"/>
    <w:rsid w:val="00E34098"/>
    <w:rsid w:val="00E342E7"/>
    <w:rsid w:val="00E34419"/>
    <w:rsid w:val="00E370E8"/>
    <w:rsid w:val="00E37722"/>
    <w:rsid w:val="00E40349"/>
    <w:rsid w:val="00E431A9"/>
    <w:rsid w:val="00E4377A"/>
    <w:rsid w:val="00E458B0"/>
    <w:rsid w:val="00E47E1E"/>
    <w:rsid w:val="00E50E53"/>
    <w:rsid w:val="00E51B43"/>
    <w:rsid w:val="00E54959"/>
    <w:rsid w:val="00E55456"/>
    <w:rsid w:val="00E560FC"/>
    <w:rsid w:val="00E5664B"/>
    <w:rsid w:val="00E56F22"/>
    <w:rsid w:val="00E60928"/>
    <w:rsid w:val="00E61005"/>
    <w:rsid w:val="00E6198B"/>
    <w:rsid w:val="00E626C9"/>
    <w:rsid w:val="00E65E43"/>
    <w:rsid w:val="00E669E2"/>
    <w:rsid w:val="00E70262"/>
    <w:rsid w:val="00E72756"/>
    <w:rsid w:val="00E72F18"/>
    <w:rsid w:val="00E73B57"/>
    <w:rsid w:val="00E75526"/>
    <w:rsid w:val="00E755AD"/>
    <w:rsid w:val="00E76135"/>
    <w:rsid w:val="00E76BD2"/>
    <w:rsid w:val="00E77244"/>
    <w:rsid w:val="00E80990"/>
    <w:rsid w:val="00E8124F"/>
    <w:rsid w:val="00E81A83"/>
    <w:rsid w:val="00E821A6"/>
    <w:rsid w:val="00E82F4F"/>
    <w:rsid w:val="00E83033"/>
    <w:rsid w:val="00E837D5"/>
    <w:rsid w:val="00E84705"/>
    <w:rsid w:val="00E84EB7"/>
    <w:rsid w:val="00E864DF"/>
    <w:rsid w:val="00E87090"/>
    <w:rsid w:val="00E93162"/>
    <w:rsid w:val="00E932BE"/>
    <w:rsid w:val="00E962D3"/>
    <w:rsid w:val="00E9635B"/>
    <w:rsid w:val="00E9797A"/>
    <w:rsid w:val="00EA0670"/>
    <w:rsid w:val="00EA14F4"/>
    <w:rsid w:val="00EA210E"/>
    <w:rsid w:val="00EA2F47"/>
    <w:rsid w:val="00EA35FE"/>
    <w:rsid w:val="00EA396D"/>
    <w:rsid w:val="00EA3D3D"/>
    <w:rsid w:val="00EA64AB"/>
    <w:rsid w:val="00EB03E8"/>
    <w:rsid w:val="00EB2377"/>
    <w:rsid w:val="00EB2CC3"/>
    <w:rsid w:val="00EB3222"/>
    <w:rsid w:val="00EB3C46"/>
    <w:rsid w:val="00EB4499"/>
    <w:rsid w:val="00EB533C"/>
    <w:rsid w:val="00EB58A0"/>
    <w:rsid w:val="00EB6619"/>
    <w:rsid w:val="00EB7255"/>
    <w:rsid w:val="00EC057C"/>
    <w:rsid w:val="00EC1027"/>
    <w:rsid w:val="00EC1428"/>
    <w:rsid w:val="00EC2844"/>
    <w:rsid w:val="00EC3CF4"/>
    <w:rsid w:val="00EC4098"/>
    <w:rsid w:val="00EC4675"/>
    <w:rsid w:val="00EC5500"/>
    <w:rsid w:val="00EC5EF6"/>
    <w:rsid w:val="00EC6ADC"/>
    <w:rsid w:val="00EC71CB"/>
    <w:rsid w:val="00EC7FF8"/>
    <w:rsid w:val="00ED051B"/>
    <w:rsid w:val="00ED0B4C"/>
    <w:rsid w:val="00ED13F9"/>
    <w:rsid w:val="00ED18F8"/>
    <w:rsid w:val="00ED19D2"/>
    <w:rsid w:val="00ED4C0D"/>
    <w:rsid w:val="00ED672C"/>
    <w:rsid w:val="00ED72D0"/>
    <w:rsid w:val="00EE3349"/>
    <w:rsid w:val="00EE4485"/>
    <w:rsid w:val="00EE4A56"/>
    <w:rsid w:val="00EE5446"/>
    <w:rsid w:val="00EE6EDA"/>
    <w:rsid w:val="00EE778E"/>
    <w:rsid w:val="00EF4031"/>
    <w:rsid w:val="00EF45D8"/>
    <w:rsid w:val="00EF48EB"/>
    <w:rsid w:val="00EF6719"/>
    <w:rsid w:val="00EF6C6C"/>
    <w:rsid w:val="00EF790E"/>
    <w:rsid w:val="00F00B8F"/>
    <w:rsid w:val="00F02253"/>
    <w:rsid w:val="00F056FC"/>
    <w:rsid w:val="00F05DE9"/>
    <w:rsid w:val="00F0632F"/>
    <w:rsid w:val="00F069AE"/>
    <w:rsid w:val="00F07E4C"/>
    <w:rsid w:val="00F10476"/>
    <w:rsid w:val="00F1283C"/>
    <w:rsid w:val="00F12AF7"/>
    <w:rsid w:val="00F12C1D"/>
    <w:rsid w:val="00F135D8"/>
    <w:rsid w:val="00F153B8"/>
    <w:rsid w:val="00F15997"/>
    <w:rsid w:val="00F20149"/>
    <w:rsid w:val="00F204F7"/>
    <w:rsid w:val="00F22320"/>
    <w:rsid w:val="00F226E1"/>
    <w:rsid w:val="00F23F6D"/>
    <w:rsid w:val="00F30FED"/>
    <w:rsid w:val="00F31299"/>
    <w:rsid w:val="00F323EB"/>
    <w:rsid w:val="00F33366"/>
    <w:rsid w:val="00F34208"/>
    <w:rsid w:val="00F3534A"/>
    <w:rsid w:val="00F35723"/>
    <w:rsid w:val="00F35BFB"/>
    <w:rsid w:val="00F36ACC"/>
    <w:rsid w:val="00F41F9E"/>
    <w:rsid w:val="00F45385"/>
    <w:rsid w:val="00F50EE5"/>
    <w:rsid w:val="00F51609"/>
    <w:rsid w:val="00F52158"/>
    <w:rsid w:val="00F5271C"/>
    <w:rsid w:val="00F55C25"/>
    <w:rsid w:val="00F57825"/>
    <w:rsid w:val="00F63704"/>
    <w:rsid w:val="00F6451E"/>
    <w:rsid w:val="00F662F4"/>
    <w:rsid w:val="00F67E16"/>
    <w:rsid w:val="00F73727"/>
    <w:rsid w:val="00F74948"/>
    <w:rsid w:val="00F75621"/>
    <w:rsid w:val="00F766A7"/>
    <w:rsid w:val="00F778D1"/>
    <w:rsid w:val="00F80456"/>
    <w:rsid w:val="00F80BAF"/>
    <w:rsid w:val="00F80E05"/>
    <w:rsid w:val="00F81006"/>
    <w:rsid w:val="00F83562"/>
    <w:rsid w:val="00F83605"/>
    <w:rsid w:val="00F85325"/>
    <w:rsid w:val="00F9052B"/>
    <w:rsid w:val="00F90FEC"/>
    <w:rsid w:val="00F91F0B"/>
    <w:rsid w:val="00F94A29"/>
    <w:rsid w:val="00F94BF7"/>
    <w:rsid w:val="00F95A1F"/>
    <w:rsid w:val="00F95FCE"/>
    <w:rsid w:val="00F96690"/>
    <w:rsid w:val="00F97C2F"/>
    <w:rsid w:val="00FA23D4"/>
    <w:rsid w:val="00FA6B2A"/>
    <w:rsid w:val="00FA7F14"/>
    <w:rsid w:val="00FB1796"/>
    <w:rsid w:val="00FB30A0"/>
    <w:rsid w:val="00FB3297"/>
    <w:rsid w:val="00FB4A7C"/>
    <w:rsid w:val="00FB6CE8"/>
    <w:rsid w:val="00FB77CC"/>
    <w:rsid w:val="00FC11F0"/>
    <w:rsid w:val="00FC2FF6"/>
    <w:rsid w:val="00FC3943"/>
    <w:rsid w:val="00FC4081"/>
    <w:rsid w:val="00FC7395"/>
    <w:rsid w:val="00FC7E0B"/>
    <w:rsid w:val="00FD1257"/>
    <w:rsid w:val="00FD1752"/>
    <w:rsid w:val="00FD1DD1"/>
    <w:rsid w:val="00FD22B1"/>
    <w:rsid w:val="00FD33F1"/>
    <w:rsid w:val="00FD3566"/>
    <w:rsid w:val="00FD5727"/>
    <w:rsid w:val="00FD6EDC"/>
    <w:rsid w:val="00FD7D48"/>
    <w:rsid w:val="00FE10AB"/>
    <w:rsid w:val="00FE2D93"/>
    <w:rsid w:val="00FE2E22"/>
    <w:rsid w:val="00FE3B26"/>
    <w:rsid w:val="00FE3C71"/>
    <w:rsid w:val="00FE4DD5"/>
    <w:rsid w:val="00FE5397"/>
    <w:rsid w:val="00FE5B3D"/>
    <w:rsid w:val="00FF0EBC"/>
    <w:rsid w:val="00FF12E3"/>
    <w:rsid w:val="00FF25E2"/>
    <w:rsid w:val="00FF2770"/>
    <w:rsid w:val="00FF6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7FD24A9"/>
  <w15:docId w15:val="{033D167B-0040-4236-866D-FBA4719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4961"/>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C93643"/>
    <w:pPr>
      <w:numPr>
        <w:numId w:val="28"/>
      </w:numPr>
      <w:tabs>
        <w:tab w:val="clear" w:pos="360"/>
        <w:tab w:val="left" w:pos="340"/>
      </w:tabs>
      <w:spacing w:before="120" w:line="320" w:lineRule="atLeast"/>
    </w:pPr>
    <w:rPr>
      <w:sz w:val="26"/>
    </w:r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tabs>
        <w:tab w:val="left" w:pos="340"/>
      </w:tabs>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BoxChar">
    <w:name w:val="Box Char"/>
    <w:link w:val="Box"/>
    <w:rsid w:val="00C54961"/>
    <w:rPr>
      <w:rFonts w:ascii="Arial" w:hAnsi="Arial"/>
    </w:rPr>
  </w:style>
  <w:style w:type="character" w:customStyle="1" w:styleId="SourceChar">
    <w:name w:val="Source Char"/>
    <w:basedOn w:val="DefaultParagraphFont"/>
    <w:link w:val="Source"/>
    <w:rsid w:val="00C54961"/>
    <w:rPr>
      <w:rFonts w:ascii="Arial" w:hAnsi="Arial"/>
      <w:sz w:val="18"/>
    </w:rPr>
  </w:style>
  <w:style w:type="character" w:styleId="Hyperlink">
    <w:name w:val="Hyperlink"/>
    <w:basedOn w:val="DefaultParagraphFont"/>
    <w:uiPriority w:val="99"/>
    <w:unhideWhenUsed/>
    <w:rsid w:val="00C54961"/>
    <w:rPr>
      <w:color w:val="0000FF"/>
      <w:u w:val="single"/>
    </w:rPr>
  </w:style>
  <w:style w:type="character" w:customStyle="1" w:styleId="CommentTextChar">
    <w:name w:val="Comment Text Char"/>
    <w:basedOn w:val="DefaultParagraphFont"/>
    <w:link w:val="CommentText"/>
    <w:semiHidden/>
    <w:rsid w:val="00C54961"/>
    <w:rPr>
      <w:szCs w:val="24"/>
    </w:rPr>
  </w:style>
  <w:style w:type="character" w:customStyle="1" w:styleId="FootnoteTextChar">
    <w:name w:val="Footnote Text Char"/>
    <w:basedOn w:val="DefaultParagraphFont"/>
    <w:link w:val="FootnoteText"/>
    <w:rsid w:val="00F63704"/>
  </w:style>
  <w:style w:type="paragraph" w:styleId="Bibliography">
    <w:name w:val="Bibliography"/>
    <w:basedOn w:val="Normal"/>
    <w:next w:val="Normal"/>
    <w:uiPriority w:val="37"/>
    <w:unhideWhenUsed/>
    <w:rsid w:val="005E330C"/>
    <w:pPr>
      <w:spacing w:after="240"/>
      <w:ind w:left="720" w:hanging="720"/>
    </w:pPr>
  </w:style>
  <w:style w:type="paragraph" w:customStyle="1" w:styleId="Heading2NotTOC">
    <w:name w:val="Heading 2 Not TOC"/>
    <w:basedOn w:val="Heading2"/>
    <w:next w:val="BodyText"/>
    <w:rsid w:val="00AB6E59"/>
  </w:style>
  <w:style w:type="paragraph" w:customStyle="1" w:styleId="Heading1NotTOC">
    <w:name w:val="Heading 1 Not TOC"/>
    <w:basedOn w:val="Heading1"/>
    <w:next w:val="BodyText"/>
    <w:rsid w:val="00AB6E59"/>
    <w:rPr>
      <w:kern w:val="28"/>
      <w:szCs w:val="26"/>
      <w:lang w:eastAsia="en-US"/>
    </w:rPr>
  </w:style>
  <w:style w:type="paragraph" w:customStyle="1" w:styleId="Copyrightheading">
    <w:name w:val="Copyright heading"/>
    <w:basedOn w:val="TOC1"/>
    <w:link w:val="CopyrightheadingChar"/>
    <w:qFormat/>
    <w:rsid w:val="00AB6E59"/>
    <w:pPr>
      <w:spacing w:line="300" w:lineRule="exact"/>
    </w:pPr>
    <w:rPr>
      <w:sz w:val="22"/>
    </w:rPr>
  </w:style>
  <w:style w:type="character" w:customStyle="1" w:styleId="CopyrightheadingChar">
    <w:name w:val="Copyright heading Char"/>
    <w:basedOn w:val="TOC1Char"/>
    <w:link w:val="Copyrightheading"/>
    <w:rsid w:val="00AB6E59"/>
    <w:rPr>
      <w:rFonts w:ascii="Arial" w:hAnsi="Arial"/>
      <w:b/>
      <w:sz w:val="22"/>
      <w:szCs w:val="26"/>
      <w:lang w:eastAsia="en-US"/>
    </w:rPr>
  </w:style>
  <w:style w:type="paragraph" w:customStyle="1" w:styleId="Copyrightsubtitle">
    <w:name w:val="Copyright subtitle"/>
    <w:basedOn w:val="BodyText"/>
    <w:rsid w:val="00AB6E59"/>
    <w:rPr>
      <w:rFonts w:ascii="Arial" w:hAnsi="Arial"/>
      <w:b/>
      <w:sz w:val="22"/>
      <w:szCs w:val="25"/>
    </w:rPr>
  </w:style>
  <w:style w:type="paragraph" w:customStyle="1" w:styleId="Copyrightbodytext">
    <w:name w:val="Copyright bodytext"/>
    <w:basedOn w:val="BodyText"/>
    <w:link w:val="CopyrightbodytextChar"/>
    <w:qFormat/>
    <w:rsid w:val="00AB6E59"/>
    <w:pPr>
      <w:spacing w:before="60"/>
    </w:pPr>
  </w:style>
  <w:style w:type="character" w:customStyle="1" w:styleId="CopyrightbodytextChar">
    <w:name w:val="Copyright bodytext Char"/>
    <w:basedOn w:val="BodyTextChar"/>
    <w:link w:val="Copyrightbodytext"/>
    <w:rsid w:val="00AB6E59"/>
    <w:rPr>
      <w:sz w:val="24"/>
    </w:rPr>
  </w:style>
  <w:style w:type="character" w:customStyle="1" w:styleId="label">
    <w:name w:val="label"/>
    <w:basedOn w:val="DefaultParagraphFont"/>
    <w:rsid w:val="00AB6E59"/>
  </w:style>
  <w:style w:type="paragraph" w:styleId="CommentSubject">
    <w:name w:val="annotation subject"/>
    <w:basedOn w:val="CommentText"/>
    <w:next w:val="CommentText"/>
    <w:link w:val="CommentSubjectChar"/>
    <w:semiHidden/>
    <w:unhideWhenUsed/>
    <w:rsid w:val="00C337C1"/>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C337C1"/>
    <w:rPr>
      <w:b/>
      <w:bCs/>
      <w:szCs w:val="24"/>
    </w:rPr>
  </w:style>
  <w:style w:type="paragraph" w:styleId="Revision">
    <w:name w:val="Revision"/>
    <w:hidden/>
    <w:uiPriority w:val="99"/>
    <w:semiHidden/>
    <w:rsid w:val="00783C3E"/>
    <w:rPr>
      <w:sz w:val="24"/>
      <w:szCs w:val="24"/>
    </w:rPr>
  </w:style>
  <w:style w:type="paragraph" w:customStyle="1" w:styleId="Sym">
    <w:name w:val="Sym"/>
    <w:basedOn w:val="FootnoteText"/>
    <w:rsid w:val="008D687A"/>
  </w:style>
  <w:style w:type="character" w:styleId="EndnoteReference">
    <w:name w:val="endnote reference"/>
    <w:basedOn w:val="DefaultParagraphFont"/>
    <w:semiHidden/>
    <w:unhideWhenUsed/>
    <w:rsid w:val="007A5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4582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c.gov.au/" TargetMode="External"/><Relationship Id="rId18" Type="http://schemas.openxmlformats.org/officeDocument/2006/relationships/header" Target="header3.xml"/><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footer" Target="footer4.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footer" Target="footer7.xml"/><Relationship Id="rId50" Type="http://schemas.openxmlformats.org/officeDocument/2006/relationships/image" Target="media/image26.emf"/><Relationship Id="rId55" Type="http://schemas.openxmlformats.org/officeDocument/2006/relationships/image" Target="media/image31.emf"/><Relationship Id="rId63" Type="http://schemas.openxmlformats.org/officeDocument/2006/relationships/image" Target="media/image39.emf"/><Relationship Id="rId68" Type="http://schemas.openxmlformats.org/officeDocument/2006/relationships/image" Target="media/image44.emf"/><Relationship Id="rId76" Type="http://schemas.openxmlformats.org/officeDocument/2006/relationships/hyperlink" Target="http://www.abs.gov.au/AUSSTATS/abs@.nsf/ProductsbyCatalogue/E95A0098761C9EC9CA25807D00172D73?OpenDocument"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7.emf"/><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6.emf"/><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2.emf"/><Relationship Id="rId74" Type="http://schemas.openxmlformats.org/officeDocument/2006/relationships/image" Target="media/image50.emf"/><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image" Target="media/image37.emf"/><Relationship Id="rId82" Type="http://schemas.openxmlformats.org/officeDocument/2006/relationships/footer" Target="footer9.xml"/><Relationship Id="rId10" Type="http://schemas.openxmlformats.org/officeDocument/2006/relationships/hyperlink" Target="http://creativecommons.org/licenses/by/3.0/au" TargetMode="External"/><Relationship Id="rId19" Type="http://schemas.openxmlformats.org/officeDocument/2006/relationships/header" Target="header4.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8.emf"/><Relationship Id="rId60" Type="http://schemas.openxmlformats.org/officeDocument/2006/relationships/image" Target="media/image36.emf"/><Relationship Id="rId65" Type="http://schemas.openxmlformats.org/officeDocument/2006/relationships/image" Target="media/image41.emf"/><Relationship Id="rId73" Type="http://schemas.openxmlformats.org/officeDocument/2006/relationships/image" Target="media/image49.emf"/><Relationship Id="rId78" Type="http://schemas.openxmlformats.org/officeDocument/2006/relationships/hyperlink" Target="http://www.abs.gov.au/AUSSTATS/abs@.nsf/ProductsbyCatalogue/E95A0098761C9EC9CA25807D00172D73?OpenDocument" TargetMode="External"/><Relationship Id="rId8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4.emf"/><Relationship Id="rId56" Type="http://schemas.openxmlformats.org/officeDocument/2006/relationships/image" Target="media/image32.emf"/><Relationship Id="rId64" Type="http://schemas.openxmlformats.org/officeDocument/2006/relationships/image" Target="media/image40.emf"/><Relationship Id="rId69" Type="http://schemas.openxmlformats.org/officeDocument/2006/relationships/image" Target="media/image45.emf"/><Relationship Id="rId77" Type="http://schemas.openxmlformats.org/officeDocument/2006/relationships/hyperlink" Target="http://www.abs.gov.au/AUSSTATS/abs@.nsf/ProductsbyCatalogue/110953FFA28D4E52CA2572110002FF03?OpenDocument" TargetMode="External"/><Relationship Id="rId8" Type="http://schemas.openxmlformats.org/officeDocument/2006/relationships/image" Target="media/image1.png"/><Relationship Id="rId51" Type="http://schemas.openxmlformats.org/officeDocument/2006/relationships/image" Target="media/image27.emf"/><Relationship Id="rId72" Type="http://schemas.openxmlformats.org/officeDocument/2006/relationships/image" Target="media/image48.emf"/><Relationship Id="rId80"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www.pmc.gov.au/government/commonwealth-coat-arms"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5.emf"/><Relationship Id="rId67" Type="http://schemas.openxmlformats.org/officeDocument/2006/relationships/image" Target="media/image43.emf"/><Relationship Id="rId20" Type="http://schemas.openxmlformats.org/officeDocument/2006/relationships/footer" Target="footer3.xml"/><Relationship Id="rId41" Type="http://schemas.openxmlformats.org/officeDocument/2006/relationships/image" Target="media/image18.emf"/><Relationship Id="rId54" Type="http://schemas.openxmlformats.org/officeDocument/2006/relationships/image" Target="media/image30.emf"/><Relationship Id="rId62" Type="http://schemas.openxmlformats.org/officeDocument/2006/relationships/image" Target="media/image38.emf"/><Relationship Id="rId70" Type="http://schemas.openxmlformats.org/officeDocument/2006/relationships/image" Target="media/image46.emf"/><Relationship Id="rId75" Type="http://schemas.openxmlformats.org/officeDocument/2006/relationships/image" Target="media/image51.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5.emf"/><Relationship Id="rId57" Type="http://schemas.openxmlformats.org/officeDocument/2006/relationships/image" Target="media/image33.emf"/></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ProductsbyCatalogue/E95A0098761C9EC9CA25807D00172D73?OpenDocument" TargetMode="External"/><Relationship Id="rId1" Type="http://schemas.openxmlformats.org/officeDocument/2006/relationships/hyperlink" Target="http://www.abs.gov.au/AUSSTATS/abs@.nsf/ProductsbyCatalogue/110953FFA28D4E52CA2572110002FF03?OpenDocument"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9B01-56D7-4DA2-81DF-FBD718B6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63</Pages>
  <Words>15126</Words>
  <Characters>84686</Characters>
  <Application>Microsoft Office Word</Application>
  <DocSecurity>0</DocSecurity>
  <Lines>705</Lines>
  <Paragraphs>199</Paragraphs>
  <ScaleCrop>false</ScaleCrop>
  <HeadingPairs>
    <vt:vector size="2" baseType="variant">
      <vt:variant>
        <vt:lpstr>Title</vt:lpstr>
      </vt:variant>
      <vt:variant>
        <vt:i4>1</vt:i4>
      </vt:variant>
    </vt:vector>
  </HeadingPairs>
  <TitlesOfParts>
    <vt:vector size="1" baseType="lpstr">
      <vt:lpstr>PC Productivity Bulletin 2019</vt:lpstr>
    </vt:vector>
  </TitlesOfParts>
  <Company/>
  <LinksUpToDate>false</LinksUpToDate>
  <CharactersWithSpaces>99613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Productivity Bulletin 2019</dc:title>
  <dc:subject/>
  <dc:creator>Productivity Commission</dc:creator>
  <cp:keywords/>
  <dc:description/>
  <cp:lastModifiedBy>Cross, Michelle</cp:lastModifiedBy>
  <cp:revision>6</cp:revision>
  <cp:lastPrinted>2019-05-23T02:43:00Z</cp:lastPrinted>
  <dcterms:created xsi:type="dcterms:W3CDTF">2019-05-15T07:18:00Z</dcterms:created>
  <dcterms:modified xsi:type="dcterms:W3CDTF">2019-05-23T03:04:00Z</dcterms:modified>
</cp:coreProperties>
</file>