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720F" w14:textId="35DB4548" w:rsidR="006B637E" w:rsidRPr="00DC5DFF" w:rsidRDefault="00FD3044" w:rsidP="006B637E">
      <w:pPr>
        <w:pStyle w:val="Coverdate"/>
        <w:framePr w:wrap="around"/>
      </w:pPr>
      <w:r>
        <w:t>July</w:t>
      </w:r>
      <w:r w:rsidR="007710A0" w:rsidRPr="00FC2DE0">
        <w:t xml:space="preserve"> </w:t>
      </w:r>
      <w:r>
        <w:t>2023</w:t>
      </w:r>
      <w:r w:rsidR="007710A0" w:rsidRPr="00FC2DE0">
        <w:t xml:space="preserve"> | ISSN </w:t>
      </w:r>
      <w:r w:rsidR="00FC2DE0" w:rsidRPr="00FC2DE0">
        <w:t>2652-5461</w:t>
      </w:r>
      <w:r w:rsidR="007710A0" w:rsidRPr="00FC2DE0">
        <w:t xml:space="preserve">  </w:t>
      </w:r>
    </w:p>
    <w:sdt>
      <w:sdtPr>
        <w:id w:val="-228914026"/>
        <w:docPartObj>
          <w:docPartGallery w:val="Cover Pages"/>
          <w:docPartUnique/>
        </w:docPartObj>
      </w:sdtPr>
      <w:sdtContent>
        <w:p w14:paraId="2B52A29C" w14:textId="77777777" w:rsidR="00B302FA" w:rsidRDefault="00F33F8D" w:rsidP="00295330">
          <w:pPr>
            <w:pStyle w:val="CoverImage"/>
            <w:framePr w:wrap="around"/>
          </w:pPr>
          <w:r w:rsidRPr="00F33F8D">
            <w:rPr>
              <w:noProof/>
            </w:rPr>
            <w:drawing>
              <wp:inline distT="0" distB="0" distL="0" distR="0" wp14:anchorId="546ADFC9" wp14:editId="2317F531">
                <wp:extent cx="7560000" cy="2830787"/>
                <wp:effectExtent l="0" t="0" r="3175"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7560000" cy="2830787"/>
                        </a:xfrm>
                        <a:prstGeom prst="rect">
                          <a:avLst/>
                        </a:prstGeom>
                      </pic:spPr>
                    </pic:pic>
                  </a:graphicData>
                </a:graphic>
              </wp:inline>
            </w:drawing>
          </w:r>
        </w:p>
        <w:p w14:paraId="39BD0A25" w14:textId="05D72128" w:rsidR="00B302FA" w:rsidRPr="00295330" w:rsidRDefault="008E08BD" w:rsidP="00BF3E01">
          <w:pPr>
            <w:pStyle w:val="Title"/>
            <w:ind w:right="140"/>
          </w:pPr>
          <w:r>
            <w:t xml:space="preserve">PC </w:t>
          </w:r>
          <w:r w:rsidR="00485C2B">
            <w:t>p</w:t>
          </w:r>
          <w:r>
            <w:t xml:space="preserve">roductivity </w:t>
          </w:r>
          <w:r w:rsidR="00485C2B">
            <w:t>i</w:t>
          </w:r>
          <w:r>
            <w:t>nsights</w:t>
          </w:r>
        </w:p>
        <w:p w14:paraId="243AFAB2" w14:textId="3E4D7FA0" w:rsidR="00B302FA" w:rsidRPr="00295330" w:rsidRDefault="008E08BD" w:rsidP="00295330">
          <w:pPr>
            <w:pStyle w:val="Subtitle"/>
          </w:pPr>
          <w:r>
            <w:t>Bulletin 2023</w:t>
          </w:r>
        </w:p>
        <w:p w14:paraId="05B03C8F" w14:textId="77777777" w:rsidR="00B302FA" w:rsidRDefault="00FC2DE0">
          <w:pPr>
            <w:spacing w:after="160" w:line="259" w:lineRule="auto"/>
            <w:rPr>
              <w:rFonts w:asciiTheme="majorHAnsi" w:hAnsiTheme="majorHAnsi"/>
              <w:color w:val="FFFFFF" w:themeColor="background1"/>
              <w:sz w:val="28"/>
              <w:szCs w:val="28"/>
            </w:rPr>
          </w:pPr>
          <w:r w:rsidRPr="00FC2DE0">
            <w:rPr>
              <w:rFonts w:asciiTheme="majorHAnsi" w:hAnsiTheme="majorHAnsi"/>
              <w:color w:val="FFFFFF" w:themeColor="background1"/>
              <w:sz w:val="28"/>
              <w:szCs w:val="28"/>
            </w:rPr>
            <w:t>Features</w:t>
          </w:r>
        </w:p>
        <w:p w14:paraId="550FEEC6" w14:textId="5BF6A039" w:rsidR="00FC2DE0" w:rsidRDefault="002446FF" w:rsidP="00FF0F1F">
          <w:pPr>
            <w:spacing w:after="160" w:line="336" w:lineRule="exact"/>
            <w:rPr>
              <w:rFonts w:ascii="Arial" w:hAnsi="Arial" w:cs="Arial"/>
              <w:color w:val="FFFFFF" w:themeColor="background1"/>
              <w:sz w:val="28"/>
              <w:szCs w:val="28"/>
            </w:rPr>
          </w:pPr>
          <w:r w:rsidRPr="002446FF">
            <w:rPr>
              <w:rFonts w:ascii="Arial" w:hAnsi="Arial" w:cs="Arial"/>
              <w:color w:val="FFFFFF" w:themeColor="background1"/>
              <w:sz w:val="28"/>
              <w:szCs w:val="28"/>
            </w:rPr>
            <w:t>Whole economy growth and productivity</w:t>
          </w:r>
        </w:p>
        <w:p w14:paraId="5F47FDF1" w14:textId="21C786E7" w:rsidR="00FF0F1F" w:rsidRDefault="00977F41" w:rsidP="00FF0F1F">
          <w:pPr>
            <w:spacing w:after="160" w:line="336" w:lineRule="exact"/>
            <w:rPr>
              <w:rFonts w:ascii="Arial" w:hAnsi="Arial" w:cs="Arial"/>
              <w:color w:val="FFFFFF" w:themeColor="background1"/>
              <w:sz w:val="28"/>
              <w:szCs w:val="28"/>
            </w:rPr>
          </w:pPr>
          <w:r w:rsidRPr="00977F41">
            <w:rPr>
              <w:rFonts w:ascii="Arial" w:hAnsi="Arial" w:cs="Arial"/>
              <w:color w:val="FFFFFF" w:themeColor="background1"/>
              <w:sz w:val="28"/>
              <w:szCs w:val="28"/>
            </w:rPr>
            <w:t>Industry-level productivity performance</w:t>
          </w:r>
        </w:p>
        <w:p w14:paraId="792EAA60" w14:textId="38616F95" w:rsidR="000145F5" w:rsidRPr="00FF0F1F" w:rsidRDefault="00D612A4" w:rsidP="00FF0F1F">
          <w:pPr>
            <w:spacing w:after="160" w:line="336" w:lineRule="exact"/>
            <w:rPr>
              <w:rFonts w:ascii="Arial" w:hAnsi="Arial" w:cs="Arial"/>
              <w:color w:val="FFFFFF" w:themeColor="background1"/>
              <w:sz w:val="28"/>
              <w:szCs w:val="28"/>
            </w:rPr>
          </w:pPr>
          <w:r>
            <w:rPr>
              <w:rFonts w:ascii="Arial" w:hAnsi="Arial" w:cs="Arial"/>
              <w:color w:val="FFFFFF" w:themeColor="background1"/>
              <w:sz w:val="28"/>
              <w:szCs w:val="28"/>
            </w:rPr>
            <w:t>Australia’s recent productivity story</w:t>
          </w:r>
        </w:p>
        <w:p w14:paraId="0E4B2455" w14:textId="77777777" w:rsidR="00FC2DE0" w:rsidRDefault="00FC2DE0">
          <w:pPr>
            <w:spacing w:after="160" w:line="259" w:lineRule="auto"/>
          </w:pPr>
        </w:p>
        <w:p w14:paraId="73BD834E" w14:textId="77777777" w:rsidR="00B302FA" w:rsidRDefault="00B302FA">
          <w:pPr>
            <w:spacing w:after="160" w:line="259" w:lineRule="auto"/>
            <w:sectPr w:rsidR="00B302FA" w:rsidSect="002E3F19">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C31E23" w14:paraId="49E0ACAE" w14:textId="77777777" w:rsidTr="00C14016">
            <w:trPr>
              <w:trHeight w:hRule="exact" w:val="12643"/>
            </w:trPr>
            <w:tc>
              <w:tcPr>
                <w:tcW w:w="9638" w:type="dxa"/>
                <w:tcMar>
                  <w:top w:w="113" w:type="dxa"/>
                </w:tcMar>
              </w:tcPr>
              <w:p w14:paraId="48632A8A" w14:textId="77777777" w:rsidR="00C31E23" w:rsidRPr="000F4488" w:rsidRDefault="00B302FA" w:rsidP="00093A4A">
                <w:pPr>
                  <w:pStyle w:val="Copyrightpage-BodyBold"/>
                  <w:ind w:right="-284"/>
                  <w:rPr>
                    <w:rFonts w:asciiTheme="majorHAnsi" w:hAnsiTheme="majorHAnsi"/>
                  </w:rPr>
                </w:pPr>
                <w:r>
                  <w:rPr>
                    <w:rStyle w:val="White"/>
                  </w:rPr>
                  <w:lastRenderedPageBreak/>
                  <w:br w:type="page"/>
                </w:r>
                <w:r w:rsidR="00C31E23" w:rsidRPr="000F4488">
                  <w:rPr>
                    <w:rFonts w:asciiTheme="majorHAnsi" w:hAnsiTheme="majorHAnsi"/>
                  </w:rPr>
                  <w:t xml:space="preserve">The Productivity Commission acknowledges the Traditional Owners of </w:t>
                </w:r>
                <w:r w:rsidR="00C31E23" w:rsidRPr="000F4488">
                  <w:rPr>
                    <w:rFonts w:asciiTheme="majorHAnsi" w:hAnsiTheme="majorHAnsi"/>
                  </w:rPr>
                  <w:br/>
                  <w:t xml:space="preserve">Country throughout Australia and their continuing connection to land, </w:t>
                </w:r>
                <w:r w:rsidR="00C31E23" w:rsidRPr="000F4488">
                  <w:rPr>
                    <w:rFonts w:asciiTheme="majorHAnsi" w:hAnsiTheme="majorHAnsi"/>
                  </w:rPr>
                  <w:br/>
                  <w:t>waters and community. We pay our respects to their Cultures, Country and Elders past and present.</w:t>
                </w:r>
              </w:p>
              <w:p w14:paraId="1F63DCDB" w14:textId="77777777" w:rsidR="00C31E23" w:rsidRPr="00F37CB6" w:rsidRDefault="00C31E23" w:rsidP="00093A4A">
                <w:pPr>
                  <w:pStyle w:val="Copyrightpage-Keylinenotext"/>
                  <w:ind w:right="-284"/>
                </w:pPr>
              </w:p>
              <w:p w14:paraId="551C868A" w14:textId="77777777" w:rsidR="00C31E23" w:rsidRPr="00D96F65" w:rsidRDefault="00C31E23" w:rsidP="00093A4A">
                <w:pPr>
                  <w:pStyle w:val="Copyrightpage-Heading"/>
                  <w:ind w:right="-284"/>
                </w:pPr>
                <w:r w:rsidRPr="00D96F65">
                  <w:t>The Productivity Commission</w:t>
                </w:r>
              </w:p>
              <w:p w14:paraId="426232D3" w14:textId="77777777" w:rsidR="00C31E23" w:rsidRPr="0013722E" w:rsidRDefault="00C31E23" w:rsidP="00093A4A">
                <w:pPr>
                  <w:pStyle w:val="Copyrightpage-BodyBold"/>
                  <w:rPr>
                    <w:spacing w:val="-4"/>
                  </w:rPr>
                </w:pPr>
                <w:r w:rsidRPr="0013722E">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C44A88F" w14:textId="77777777" w:rsidR="00C31E23" w:rsidRPr="000F4488" w:rsidRDefault="00C31E23" w:rsidP="00093A4A">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010362F9" w14:textId="77777777" w:rsidR="00C31E23" w:rsidRPr="000F4488" w:rsidRDefault="00C31E23" w:rsidP="00093A4A">
                <w:pPr>
                  <w:pStyle w:val="Copyrightpage-BodyBold"/>
                </w:pPr>
                <w:r w:rsidRPr="000561CF">
                  <w:t>Further information on the Productivity Commission can be obtained from the Commission’s website (www.pc.gov.au).</w:t>
                </w:r>
              </w:p>
              <w:p w14:paraId="79F8A8F2" w14:textId="77777777" w:rsidR="00C31E23" w:rsidRPr="000F4488" w:rsidRDefault="00C31E23" w:rsidP="00093A4A">
                <w:pPr>
                  <w:pStyle w:val="Copyrightpage-Keylinenotext"/>
                  <w:ind w:right="-284"/>
                  <w:rPr>
                    <w:b/>
                    <w:bCs/>
                  </w:rPr>
                </w:pPr>
              </w:p>
              <w:p w14:paraId="5376387C" w14:textId="2D8BBB1C" w:rsidR="00C31E23" w:rsidRPr="000561CF" w:rsidRDefault="00C31E23" w:rsidP="00093A4A">
                <w:pPr>
                  <w:pStyle w:val="Copyrightpage-BodyBold"/>
                </w:pPr>
                <w:r w:rsidRPr="00E72EE0">
                  <w:t>©</w:t>
                </w:r>
                <w:r w:rsidRPr="00137FAB">
                  <w:t xml:space="preserve"> Commonwealth of Australia 202</w:t>
                </w:r>
                <w:r w:rsidR="004B4F4D">
                  <w:t>3</w:t>
                </w:r>
              </w:p>
              <w:p w14:paraId="7961DA10" w14:textId="77777777" w:rsidR="00C31E23" w:rsidRPr="00E72EE0" w:rsidRDefault="00C31E23" w:rsidP="00093A4A">
                <w:pPr>
                  <w:pStyle w:val="Copyrightpage-Heading2"/>
                  <w:spacing w:before="0"/>
                  <w:ind w:right="-284"/>
                  <w:rPr>
                    <w:bCs/>
                  </w:rPr>
                </w:pPr>
                <w:r w:rsidRPr="00E72EE0">
                  <w:rPr>
                    <w:bCs/>
                    <w:noProof/>
                  </w:rPr>
                  <w:drawing>
                    <wp:inline distT="0" distB="0" distL="0" distR="0" wp14:anchorId="69262F91" wp14:editId="78FBB48D">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39F7A308" w14:textId="77777777" w:rsidR="00C31E23" w:rsidRPr="000F4488" w:rsidRDefault="00C31E23" w:rsidP="00093A4A">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6C363043" w14:textId="77777777" w:rsidR="00C31E23" w:rsidRPr="000F4488" w:rsidRDefault="00C31E23" w:rsidP="00093A4A">
                <w:pPr>
                  <w:pStyle w:val="Copyrightpage-BodyBold"/>
                </w:pPr>
                <w:r w:rsidRPr="000561CF">
                  <w:t>The terms under which the Coat of Arms can be used are detailed at: www.pmc.gov.au/government/commonwealth-coat-arms.</w:t>
                </w:r>
              </w:p>
              <w:p w14:paraId="75E669AE" w14:textId="77777777" w:rsidR="00C31E23" w:rsidRPr="000561CF" w:rsidRDefault="00C31E23" w:rsidP="00093A4A">
                <w:pPr>
                  <w:pStyle w:val="Copyrightpage-BodyBold"/>
                </w:pPr>
                <w:r w:rsidRPr="000561CF">
                  <w:t>Wherever a third party holds copyright in this material the copyright remains with that party. Their permission may be required to use the material, please contact them directly.</w:t>
                </w:r>
              </w:p>
              <w:p w14:paraId="2371356B" w14:textId="77777777" w:rsidR="00C31E23" w:rsidRPr="00AC587D" w:rsidRDefault="00C31E23" w:rsidP="00093A4A">
                <w:pPr>
                  <w:pStyle w:val="Copyrightpage-BodyBold"/>
                </w:pPr>
                <w:r w:rsidRPr="00E72EE0">
                  <w:t>IS</w:t>
                </w:r>
                <w:r w:rsidR="002B1901">
                  <w:t>S</w:t>
                </w:r>
                <w:r w:rsidRPr="00E72EE0">
                  <w:t xml:space="preserve">N </w:t>
                </w:r>
                <w:r w:rsidR="002B1901" w:rsidRPr="002B1901">
                  <w:t xml:space="preserve">2652-5461 </w:t>
                </w:r>
                <w:r w:rsidRPr="00E72EE0">
                  <w:t>(online)</w:t>
                </w:r>
              </w:p>
              <w:p w14:paraId="491B116D" w14:textId="12B9D8C0" w:rsidR="00C31E23" w:rsidRPr="001843D1" w:rsidRDefault="00C31E23" w:rsidP="00093A4A">
                <w:pPr>
                  <w:pStyle w:val="Copyrightpage-BodyBold"/>
                  <w:rPr>
                    <w:spacing w:val="-4"/>
                  </w:rPr>
                </w:pPr>
                <w:r w:rsidRPr="000F4488">
                  <w:t>An appropriate reference for this publication is:</w:t>
                </w:r>
                <w:r>
                  <w:br/>
                </w:r>
                <w:r w:rsidR="00BF3E01" w:rsidRPr="001843D1">
                  <w:rPr>
                    <w:spacing w:val="-4"/>
                  </w:rPr>
                  <w:t xml:space="preserve">Productivity Commission </w:t>
                </w:r>
                <w:r w:rsidR="004B4F4D" w:rsidRPr="001843D1">
                  <w:rPr>
                    <w:spacing w:val="-4"/>
                  </w:rPr>
                  <w:t>2023</w:t>
                </w:r>
                <w:r w:rsidR="00BF3E01" w:rsidRPr="001843D1">
                  <w:rPr>
                    <w:spacing w:val="-4"/>
                  </w:rPr>
                  <w:t xml:space="preserve">, </w:t>
                </w:r>
                <w:r w:rsidR="00A94C72" w:rsidRPr="001843D1">
                  <w:rPr>
                    <w:i/>
                    <w:iCs/>
                    <w:spacing w:val="-4"/>
                  </w:rPr>
                  <w:t xml:space="preserve">PC </w:t>
                </w:r>
                <w:r w:rsidR="002B1901" w:rsidRPr="001843D1">
                  <w:rPr>
                    <w:i/>
                    <w:iCs/>
                    <w:spacing w:val="-4"/>
                  </w:rPr>
                  <w:t>P</w:t>
                </w:r>
                <w:r w:rsidR="00A94C72" w:rsidRPr="001843D1">
                  <w:rPr>
                    <w:i/>
                    <w:iCs/>
                    <w:spacing w:val="-4"/>
                  </w:rPr>
                  <w:t>roductivity insight</w:t>
                </w:r>
                <w:r w:rsidR="001843D1" w:rsidRPr="001843D1">
                  <w:rPr>
                    <w:i/>
                    <w:iCs/>
                    <w:spacing w:val="-4"/>
                  </w:rPr>
                  <w:t>s: Bulletin 2023</w:t>
                </w:r>
                <w:r w:rsidR="00BF3E01" w:rsidRPr="001843D1">
                  <w:rPr>
                    <w:spacing w:val="-4"/>
                  </w:rPr>
                  <w:t>, Canberra</w:t>
                </w:r>
                <w:r w:rsidR="002B1901" w:rsidRPr="001843D1">
                  <w:rPr>
                    <w:spacing w:val="-4"/>
                  </w:rPr>
                  <w:t xml:space="preserve">, </w:t>
                </w:r>
                <w:r w:rsidR="000730F4" w:rsidRPr="001843D1">
                  <w:rPr>
                    <w:spacing w:val="-4"/>
                  </w:rPr>
                  <w:t>July</w:t>
                </w:r>
              </w:p>
              <w:p w14:paraId="2E786E59" w14:textId="77777777" w:rsidR="00C31E23" w:rsidRDefault="00C31E23" w:rsidP="00093A4A">
                <w:pPr>
                  <w:pStyle w:val="Copyrightpage-BodyBold"/>
                  <w:ind w:right="-284"/>
                </w:pPr>
              </w:p>
              <w:p w14:paraId="5D2E0773" w14:textId="73C80B71" w:rsidR="00C31E23" w:rsidRDefault="00C31E23" w:rsidP="00093A4A">
                <w:pPr>
                  <w:pStyle w:val="Copyrightpage-BodyBold"/>
                  <w:ind w:right="-284"/>
                </w:pPr>
                <w:r w:rsidRPr="00E72EE0">
                  <w:t xml:space="preserve">Publication enquiries: </w:t>
                </w:r>
                <w:r>
                  <w:br/>
                </w:r>
                <w:r w:rsidR="000730F4">
                  <w:t>P</w:t>
                </w:r>
                <w:r w:rsidRPr="00137FAB">
                  <w:t xml:space="preserve">hone 03 9653 2244 | </w:t>
                </w:r>
                <w:r w:rsidR="008301F0">
                  <w:t>E</w:t>
                </w:r>
                <w:r w:rsidRPr="00137FAB">
                  <w:t xml:space="preserve">mail </w:t>
                </w:r>
                <w:r w:rsidRPr="00AC587D">
                  <w:t>publications@pc.gov.au</w:t>
                </w:r>
              </w:p>
            </w:tc>
          </w:tr>
        </w:tbl>
        <w:p w14:paraId="4B4D6A40" w14:textId="77777777" w:rsidR="00295330" w:rsidRPr="00DA3017" w:rsidRDefault="00C31E23" w:rsidP="00DA3017">
          <w:pPr>
            <w:spacing w:before="0" w:after="160" w:line="259" w:lineRule="auto"/>
            <w:rPr>
              <w:b/>
              <w:color w:val="FFFFFF" w:themeColor="background1"/>
            </w:rPr>
          </w:pPr>
          <w:r>
            <w:rPr>
              <w:rStyle w:val="White"/>
              <w:b/>
            </w:rPr>
            <w:t xml:space="preserve"> </w:t>
          </w:r>
        </w:p>
      </w:sdtContent>
    </w:sdt>
    <w:p w14:paraId="73F1E753" w14:textId="77777777" w:rsidR="00946C03" w:rsidRDefault="00946C03" w:rsidP="00610627">
      <w:pPr>
        <w:sectPr w:rsidR="00946C03" w:rsidSect="004A6A31">
          <w:footerReference w:type="even" r:id="rId23"/>
          <w:footerReference w:type="default" r:id="rId24"/>
          <w:pgSz w:w="11906" w:h="16838" w:code="9"/>
          <w:pgMar w:top="1134" w:right="1134" w:bottom="1134" w:left="1134" w:header="794" w:footer="510" w:gutter="0"/>
          <w:pgNumType w:start="2"/>
          <w:cols w:space="708"/>
          <w:docGrid w:linePitch="360"/>
        </w:sectPr>
      </w:pPr>
    </w:p>
    <w:p w14:paraId="15AC5A70" w14:textId="77777777" w:rsidR="00482FE5" w:rsidRPr="00AC587D" w:rsidRDefault="00482FE5" w:rsidP="000A2AE9">
      <w:pPr>
        <w:pStyle w:val="Heading1-nobackground"/>
      </w:pPr>
      <w:bookmarkStart w:id="0" w:name="_Toc139266665"/>
      <w:bookmarkStart w:id="1" w:name="_Toc139383196"/>
      <w:r w:rsidRPr="00AC587D">
        <w:lastRenderedPageBreak/>
        <w:t>Contents</w:t>
      </w:r>
      <w:bookmarkEnd w:id="0"/>
      <w:bookmarkEnd w:id="1"/>
    </w:p>
    <w:sdt>
      <w:sdtPr>
        <w:rPr>
          <w:noProof/>
        </w:rPr>
        <w:id w:val="-896974578"/>
        <w:docPartObj>
          <w:docPartGallery w:val="Table of Contents"/>
          <w:docPartUnique/>
        </w:docPartObj>
      </w:sdtPr>
      <w:sdtEndPr>
        <w:rPr>
          <w:bCs/>
        </w:rPr>
      </w:sdtEndPr>
      <w:sdtContent>
        <w:p w14:paraId="04C38A6B" w14:textId="1FC828AD" w:rsidR="00813B77" w:rsidRPr="00813B77" w:rsidRDefault="00813B77" w:rsidP="0095741F">
          <w:pPr>
            <w:pStyle w:val="TOC1"/>
            <w:rPr>
              <w:noProof/>
            </w:rPr>
          </w:pPr>
          <w:r w:rsidRPr="00813B77">
            <w:rPr>
              <w:noProof/>
            </w:rPr>
            <w:t xml:space="preserve">Key points </w:t>
          </w:r>
          <w:r w:rsidRPr="00813B77">
            <w:rPr>
              <w:noProof/>
            </w:rPr>
            <w:tab/>
          </w:r>
          <w:r w:rsidR="0011476C">
            <w:rPr>
              <w:noProof/>
            </w:rPr>
            <w:t>4</w:t>
          </w:r>
        </w:p>
        <w:p w14:paraId="1A220B65" w14:textId="55487919" w:rsidR="004A6A31" w:rsidRPr="004A6A31" w:rsidRDefault="004A6A31" w:rsidP="004A6A31">
          <w:pPr>
            <w:pStyle w:val="TOC1"/>
            <w:rPr>
              <w:noProof/>
            </w:rPr>
          </w:pPr>
          <w:r>
            <w:rPr>
              <w:noProof/>
            </w:rPr>
            <w:t>1.</w:t>
          </w:r>
          <w:r w:rsidRPr="004A6A31">
            <w:rPr>
              <w:noProof/>
            </w:rPr>
            <w:tab/>
          </w:r>
          <w:r>
            <w:rPr>
              <w:noProof/>
            </w:rPr>
            <w:t>Whole economy growth and productivity</w:t>
          </w:r>
          <w:r>
            <w:rPr>
              <w:noProof/>
              <w:webHidden/>
            </w:rPr>
            <w:tab/>
          </w:r>
          <w:r w:rsidR="00FE32B8">
            <w:rPr>
              <w:noProof/>
              <w:webHidden/>
            </w:rPr>
            <w:t>5</w:t>
          </w:r>
        </w:p>
        <w:p w14:paraId="271BD492" w14:textId="660A2F23" w:rsidR="004A6A31" w:rsidRPr="004A6A31" w:rsidRDefault="004A6A31" w:rsidP="004A6A31">
          <w:pPr>
            <w:pStyle w:val="TOC1"/>
            <w:rPr>
              <w:noProof/>
            </w:rPr>
          </w:pPr>
          <w:r>
            <w:rPr>
              <w:noProof/>
            </w:rPr>
            <w:t>2.</w:t>
          </w:r>
          <w:r w:rsidRPr="004A6A31">
            <w:rPr>
              <w:noProof/>
            </w:rPr>
            <w:tab/>
          </w:r>
          <w:r>
            <w:rPr>
              <w:noProof/>
            </w:rPr>
            <w:t>Industry-level productivity performance</w:t>
          </w:r>
          <w:r>
            <w:rPr>
              <w:noProof/>
              <w:webHidden/>
            </w:rPr>
            <w:tab/>
          </w:r>
          <w:r w:rsidR="00FE32B8">
            <w:rPr>
              <w:noProof/>
              <w:webHidden/>
            </w:rPr>
            <w:t>11</w:t>
          </w:r>
        </w:p>
        <w:p w14:paraId="71B6A553" w14:textId="010437A2" w:rsidR="004A6A31" w:rsidRPr="004A6A31" w:rsidRDefault="004A6A31" w:rsidP="004A6A31">
          <w:pPr>
            <w:pStyle w:val="TOC1"/>
            <w:rPr>
              <w:noProof/>
            </w:rPr>
          </w:pPr>
          <w:r>
            <w:rPr>
              <w:noProof/>
            </w:rPr>
            <w:t>3.</w:t>
          </w:r>
          <w:r w:rsidRPr="004A6A31">
            <w:rPr>
              <w:noProof/>
            </w:rPr>
            <w:tab/>
          </w:r>
          <w:r>
            <w:rPr>
              <w:noProof/>
            </w:rPr>
            <w:t>Australia’s recent productivity story</w:t>
          </w:r>
          <w:r>
            <w:rPr>
              <w:noProof/>
              <w:webHidden/>
            </w:rPr>
            <w:tab/>
          </w:r>
          <w:r w:rsidR="00FE32B8">
            <w:rPr>
              <w:noProof/>
              <w:webHidden/>
            </w:rPr>
            <w:t>13</w:t>
          </w:r>
        </w:p>
        <w:p w14:paraId="06F15B84" w14:textId="1BEEDC91" w:rsidR="004A6A31" w:rsidRPr="004A6A31" w:rsidRDefault="004A6A31" w:rsidP="004A6A31">
          <w:pPr>
            <w:pStyle w:val="TOC1"/>
            <w:rPr>
              <w:noProof/>
            </w:rPr>
          </w:pPr>
          <w:r w:rsidRPr="00FA68D3">
            <w:rPr>
              <w:noProof/>
            </w:rPr>
            <w:t>Supporting mate</w:t>
          </w:r>
          <w:r>
            <w:rPr>
              <w:noProof/>
            </w:rPr>
            <w:t>rial</w:t>
          </w:r>
          <w:r>
            <w:rPr>
              <w:noProof/>
              <w:webHidden/>
            </w:rPr>
            <w:tab/>
          </w:r>
          <w:r w:rsidR="00FE32B8">
            <w:rPr>
              <w:noProof/>
              <w:webHidden/>
            </w:rPr>
            <w:t>21</w:t>
          </w:r>
        </w:p>
        <w:p w14:paraId="74507BE4" w14:textId="0C282F2D" w:rsidR="004A6A31" w:rsidRPr="004A6A31" w:rsidRDefault="004A6A31" w:rsidP="004A6A31">
          <w:pPr>
            <w:pStyle w:val="TOC1"/>
            <w:rPr>
              <w:noProof/>
            </w:rPr>
          </w:pPr>
          <w:r w:rsidRPr="00FA68D3">
            <w:rPr>
              <w:noProof/>
            </w:rPr>
            <w:t>Abbreviations</w:t>
          </w:r>
          <w:r>
            <w:rPr>
              <w:noProof/>
              <w:webHidden/>
            </w:rPr>
            <w:tab/>
          </w:r>
          <w:r w:rsidR="00FE32B8">
            <w:rPr>
              <w:noProof/>
              <w:webHidden/>
            </w:rPr>
            <w:t>22</w:t>
          </w:r>
        </w:p>
        <w:p w14:paraId="4EADC8B9" w14:textId="3C13E693" w:rsidR="004A6A31" w:rsidRPr="004A6A31" w:rsidRDefault="004A6A31" w:rsidP="004A6A31">
          <w:pPr>
            <w:pStyle w:val="TOC1"/>
            <w:rPr>
              <w:noProof/>
            </w:rPr>
          </w:pPr>
          <w:r w:rsidRPr="00FA68D3">
            <w:rPr>
              <w:noProof/>
            </w:rPr>
            <w:t>References</w:t>
          </w:r>
          <w:r>
            <w:rPr>
              <w:noProof/>
              <w:webHidden/>
            </w:rPr>
            <w:tab/>
          </w:r>
          <w:r w:rsidR="00876F2B">
            <w:rPr>
              <w:noProof/>
              <w:webHidden/>
            </w:rPr>
            <w:t>23</w:t>
          </w:r>
        </w:p>
        <w:p w14:paraId="01166D47" w14:textId="5B260196" w:rsidR="00376491" w:rsidRDefault="00000000" w:rsidP="00FC6531">
          <w:pPr>
            <w:pStyle w:val="TOC1"/>
            <w:rPr>
              <w:bCs/>
              <w:noProof/>
            </w:rPr>
          </w:pPr>
        </w:p>
      </w:sdtContent>
    </w:sdt>
    <w:p w14:paraId="2B00CCB4" w14:textId="77777777" w:rsidR="009E5D9A" w:rsidRDefault="009E5D9A" w:rsidP="000A2AE9">
      <w:pPr>
        <w:sectPr w:rsidR="009E5D9A" w:rsidSect="004A6A31">
          <w:headerReference w:type="default" r:id="rId25"/>
          <w:type w:val="oddPage"/>
          <w:pgSz w:w="11906" w:h="16838" w:code="9"/>
          <w:pgMar w:top="1134" w:right="1134" w:bottom="1134" w:left="1134" w:header="794" w:footer="510" w:gutter="0"/>
          <w:cols w:space="708"/>
          <w:docGrid w:linePitch="360"/>
        </w:sectPr>
      </w:pPr>
    </w:p>
    <w:tbl>
      <w:tblPr>
        <w:tblStyle w:val="Texttable-Paleblue"/>
        <w:tblW w:w="5000" w:type="pct"/>
        <w:shd w:val="clear" w:color="auto" w:fill="E7F6FD"/>
        <w:tblLook w:val="04A0" w:firstRow="1" w:lastRow="0" w:firstColumn="1" w:lastColumn="0" w:noHBand="0" w:noVBand="1"/>
      </w:tblPr>
      <w:tblGrid>
        <w:gridCol w:w="577"/>
        <w:gridCol w:w="9061"/>
      </w:tblGrid>
      <w:tr w:rsidR="009E5D9A" w:rsidRPr="002F759A" w14:paraId="5B902B0D" w14:textId="77777777" w:rsidTr="71EC66D2">
        <w:trPr>
          <w:trHeight w:val="300"/>
        </w:trPr>
        <w:tc>
          <w:tcPr>
            <w:tcW w:w="9638" w:type="dxa"/>
            <w:gridSpan w:val="2"/>
            <w:shd w:val="clear" w:color="auto" w:fill="E7F6FD"/>
            <w:tcMar>
              <w:left w:w="170" w:type="dxa"/>
            </w:tcMar>
          </w:tcPr>
          <w:p w14:paraId="3235F8A2" w14:textId="77777777" w:rsidR="009E5D9A" w:rsidRPr="002F759A" w:rsidRDefault="009E5D9A">
            <w:pPr>
              <w:pStyle w:val="Keypoints-heading"/>
            </w:pPr>
            <w:r w:rsidRPr="002F759A">
              <w:lastRenderedPageBreak/>
              <w:t>Key points</w:t>
            </w:r>
          </w:p>
        </w:tc>
      </w:tr>
      <w:tr w:rsidR="009E5D9A" w14:paraId="0C1CDBF9" w14:textId="77777777" w:rsidTr="71EC66D2">
        <w:trPr>
          <w:trHeight w:val="300"/>
        </w:trPr>
        <w:tc>
          <w:tcPr>
            <w:tcW w:w="577" w:type="dxa"/>
            <w:shd w:val="clear" w:color="auto" w:fill="E7F6FD"/>
            <w:tcMar>
              <w:top w:w="0" w:type="dxa"/>
              <w:bottom w:w="0" w:type="dxa"/>
              <w:right w:w="113" w:type="dxa"/>
            </w:tcMar>
          </w:tcPr>
          <w:p w14:paraId="44D08783" w14:textId="77777777" w:rsidR="009E5D9A" w:rsidRDefault="009E5D9A" w:rsidP="0AD00246">
            <w:pPr>
              <w:pStyle w:val="KeyPointsicon"/>
              <w:rPr>
                <w:noProof/>
              </w:rPr>
            </w:pPr>
            <w:r>
              <w:rPr>
                <w:noProof/>
              </w:rPr>
              <w:drawing>
                <wp:inline distT="0" distB="0" distL="0" distR="0" wp14:anchorId="043F3C37" wp14:editId="08F5C2C8">
                  <wp:extent cx="180000" cy="180000"/>
                  <wp:effectExtent l="0" t="0" r="0" b="0"/>
                  <wp:docPr id="2012836992" name="Picture 20128369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36992" name="Picture 2012836992">
                            <a:extLst>
                              <a:ext uri="{C183D7F6-B498-43B3-948B-1728B52AA6E4}">
                                <adec:decorative xmlns:adec="http://schemas.microsoft.com/office/drawing/2017/decorative" val="1"/>
                              </a:ext>
                            </a:extLst>
                          </pic:cNvPr>
                          <pic:cNvPicPr/>
                        </pic:nvPicPr>
                        <pic:blipFill>
                          <a:blip r:embed="rId26">
                            <a:extLst>
                              <a:ext uri="{C183D7F6-B498-43B3-948B-1728B52AA6E4}">
                                <adec:decorative xmlns:a16="http://schemas.microsoft.com/office/drawing/2014/main" xmlns:c="http://schemas.openxmlformats.org/drawingml/2006/chart" xmlns:arto="http://schemas.microsoft.com/office/word/2006/arto" xmlns:adec="http://schemas.microsoft.com/office/drawing/2017/decorative" xmlns:a14="http://schemas.microsoft.com/office/drawing/2010/main" xmlns:asvg="http://schemas.microsoft.com/office/drawing/2016/SVG/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0EEB74C0" w14:textId="77DA9055" w:rsidR="009E5D9A" w:rsidRDefault="009E5D9A" w:rsidP="0AD00246">
            <w:pPr>
              <w:pStyle w:val="KeyPoints-Bold"/>
            </w:pPr>
            <w:r>
              <w:t>Data released in June 2023 showed that labour productivity decreased by 4.6% in the 12 months to March 2023. This is most likely due to the unwinding of COVID-19 restrictions and the historically low unemployment rate.</w:t>
            </w:r>
          </w:p>
          <w:p w14:paraId="79EA9A27" w14:textId="77777777" w:rsidR="009E5D9A" w:rsidRPr="00175284" w:rsidRDefault="009E5D9A" w:rsidP="00AB6D01">
            <w:pPr>
              <w:pStyle w:val="KeyPoints-Bullet"/>
              <w:spacing w:before="0"/>
            </w:pPr>
            <w:r w:rsidRPr="00EF16C0">
              <w:t>Labour productivity r</w:t>
            </w:r>
            <w:r w:rsidRPr="00175284">
              <w:t>ose during the pandemic as labour shifted to more productive industries, and that appears to be unwinding in 2022-23 with labour productivity falling.</w:t>
            </w:r>
          </w:p>
          <w:p w14:paraId="3828B10C" w14:textId="77777777" w:rsidR="009E5D9A" w:rsidRDefault="009E5D9A" w:rsidP="00AB6D01">
            <w:pPr>
              <w:pStyle w:val="KeyPoints-Bullet"/>
              <w:spacing w:after="0"/>
            </w:pPr>
            <w:r>
              <w:t>Productivity rose in 2021-22. Labour productivity and multifactor productivity (MFP) in the market sector increased by 1.5% and 2.2% respectively. High MFP growth drove increased output in the market sector.</w:t>
            </w:r>
          </w:p>
        </w:tc>
      </w:tr>
      <w:tr w:rsidR="009E5D9A" w14:paraId="529E8858" w14:textId="77777777" w:rsidTr="71EC66D2">
        <w:trPr>
          <w:trHeight w:val="300"/>
        </w:trPr>
        <w:tc>
          <w:tcPr>
            <w:tcW w:w="577" w:type="dxa"/>
            <w:shd w:val="clear" w:color="auto" w:fill="E7F6FD"/>
            <w:tcMar>
              <w:top w:w="0" w:type="dxa"/>
              <w:bottom w:w="0" w:type="dxa"/>
              <w:right w:w="113" w:type="dxa"/>
            </w:tcMar>
          </w:tcPr>
          <w:p w14:paraId="4A2FA54A" w14:textId="77777777" w:rsidR="009E5D9A" w:rsidRPr="00A51374" w:rsidRDefault="009E5D9A" w:rsidP="000C6B77">
            <w:pPr>
              <w:pStyle w:val="KeyPointsicon"/>
            </w:pPr>
            <w:r w:rsidRPr="00F31E73">
              <w:rPr>
                <w:noProof/>
              </w:rPr>
              <w:drawing>
                <wp:inline distT="0" distB="0" distL="0" distR="0" wp14:anchorId="573E19FE" wp14:editId="04780CFA">
                  <wp:extent cx="180000" cy="18000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20E4ECD0" w14:textId="77777777" w:rsidR="009E5D9A" w:rsidRDefault="009E5D9A" w:rsidP="00610627">
            <w:pPr>
              <w:pStyle w:val="KeyPoints-Bold"/>
            </w:pPr>
            <w:r>
              <w:t>Growth in labour productivity and MFP varied greatly across industries in 2021-22.</w:t>
            </w:r>
          </w:p>
          <w:p w14:paraId="095DB4BE" w14:textId="676B84B5" w:rsidR="009E5D9A" w:rsidRDefault="009E5D9A" w:rsidP="00AB6D01">
            <w:pPr>
              <w:pStyle w:val="KeyPoints-Bullet"/>
              <w:spacing w:before="0"/>
            </w:pPr>
            <w:r>
              <w:t xml:space="preserve">Labour productivity growth ranged from </w:t>
            </w:r>
            <w:r w:rsidR="00C061D9">
              <w:t>-</w:t>
            </w:r>
            <w:r>
              <w:t>5.0% to 13.7% across industries; 12 of the 16 market industries reported an increase in labour productivity.</w:t>
            </w:r>
          </w:p>
          <w:p w14:paraId="6AEB93F2" w14:textId="77777777" w:rsidR="009E5D9A" w:rsidRDefault="009E5D9A" w:rsidP="0034329C">
            <w:pPr>
              <w:pStyle w:val="KeyPoints-Bullet"/>
            </w:pPr>
            <w:r>
              <w:t>MFP growth ranged from -2.8% to 21.2% across industries; 13 of the 16 market industries reported an increase in MFP.</w:t>
            </w:r>
          </w:p>
          <w:p w14:paraId="6A978A38" w14:textId="77777777" w:rsidR="009E5D9A" w:rsidRPr="00610627" w:rsidRDefault="009E5D9A" w:rsidP="00AB6D01">
            <w:pPr>
              <w:pStyle w:val="KeyPoints-Bullet"/>
              <w:spacing w:after="0"/>
            </w:pPr>
            <w:r>
              <w:t xml:space="preserve">The agricultural, forestry and fishing sector demonstrated the largest growth in productivity, while the mining sector struggled with the largest decline in productivity. </w:t>
            </w:r>
          </w:p>
        </w:tc>
      </w:tr>
      <w:tr w:rsidR="009E5D9A" w14:paraId="0B4DEFA1" w14:textId="77777777" w:rsidTr="71EC66D2">
        <w:trPr>
          <w:trHeight w:val="300"/>
        </w:trPr>
        <w:tc>
          <w:tcPr>
            <w:tcW w:w="577" w:type="dxa"/>
            <w:shd w:val="clear" w:color="auto" w:fill="E7F6FD"/>
            <w:tcMar>
              <w:top w:w="0" w:type="dxa"/>
              <w:bottom w:w="0" w:type="dxa"/>
              <w:right w:w="113" w:type="dxa"/>
            </w:tcMar>
          </w:tcPr>
          <w:p w14:paraId="26E1776E" w14:textId="77777777" w:rsidR="009E5D9A" w:rsidRPr="00A51374" w:rsidRDefault="009E5D9A" w:rsidP="000C6B77">
            <w:pPr>
              <w:pStyle w:val="KeyPointsicon"/>
            </w:pPr>
            <w:r w:rsidRPr="00F31E73">
              <w:rPr>
                <w:noProof/>
              </w:rPr>
              <w:drawing>
                <wp:inline distT="0" distB="0" distL="0" distR="0" wp14:anchorId="0C969549" wp14:editId="07E9C96B">
                  <wp:extent cx="180000" cy="180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32AF7A2C" w14:textId="77777777" w:rsidR="009E5D9A" w:rsidRPr="0081717B" w:rsidRDefault="009E5D9A" w:rsidP="006F3545">
            <w:pPr>
              <w:pStyle w:val="KeyPoints-Bold"/>
              <w:rPr>
                <w:rFonts w:ascii="Arial" w:hAnsi="Arial" w:cs="Arial"/>
                <w:lang w:eastAsia="en-AU"/>
              </w:rPr>
            </w:pPr>
            <w:r w:rsidRPr="0081717B">
              <w:rPr>
                <w:lang w:eastAsia="en-AU"/>
              </w:rPr>
              <w:t>This bulletin provides insights into the 2021-22 productivity story.</w:t>
            </w:r>
          </w:p>
          <w:p w14:paraId="10EEC134" w14:textId="77777777" w:rsidR="009E5D9A" w:rsidRDefault="009E5D9A" w:rsidP="00AB6D01">
            <w:pPr>
              <w:pStyle w:val="KeyPoints-Bullet"/>
              <w:spacing w:before="0"/>
            </w:pPr>
            <w:r>
              <w:t>The apparent productivity boom in the agricultural, forestry and fishing sector was driven by weather conditions, and not from increased technology or efficiency.</w:t>
            </w:r>
          </w:p>
          <w:p w14:paraId="3276ABDA" w14:textId="77777777" w:rsidR="009E5D9A" w:rsidRDefault="009E5D9A" w:rsidP="000477D8">
            <w:pPr>
              <w:pStyle w:val="KeyPoints-Bullet"/>
            </w:pPr>
            <w:r>
              <w:t>Strong growth in commodity prices have led to an uptick in mining investment; this may reverse the weak real output and productivity growth in the mining sector.</w:t>
            </w:r>
          </w:p>
          <w:p w14:paraId="0DAB9A5F" w14:textId="77777777" w:rsidR="009E5D9A" w:rsidRPr="00813C88" w:rsidRDefault="009E5D9A" w:rsidP="00D24EA7">
            <w:pPr>
              <w:pStyle w:val="KeyPoints-Bullet"/>
            </w:pPr>
            <w:r>
              <w:t>Falling labour productivity growth may be driven by a stagnation in non-mining investment.</w:t>
            </w:r>
          </w:p>
        </w:tc>
      </w:tr>
    </w:tbl>
    <w:p w14:paraId="47EEA10B" w14:textId="77777777" w:rsidR="009E5D9A" w:rsidRDefault="009E5D9A" w:rsidP="00AB6D01">
      <w:pPr>
        <w:pStyle w:val="NoSpacing"/>
      </w:pPr>
    </w:p>
    <w:p w14:paraId="28A50D9F" w14:textId="77777777" w:rsidR="009E5D9A" w:rsidRPr="00D636CD" w:rsidRDefault="009E5D9A" w:rsidP="00740B13">
      <w:pPr>
        <w:pStyle w:val="BodyText"/>
      </w:pPr>
      <w:r>
        <w:t>Productivity growth drives long-term economic and income growth and helps improve average living standards. Productivity seeks to quantity how efficiently resources, such as capital and labour,</w:t>
      </w:r>
      <w:r w:rsidRPr="007D15B3">
        <w:rPr>
          <w:rStyle w:val="FootnoteReference"/>
        </w:rPr>
        <w:footnoteReference w:id="2"/>
      </w:r>
      <w:r>
        <w:t xml:space="preserve"> are used to produce output – the goods and services we consume every day. Historically, productivity growth has improved living standards in three main ways.</w:t>
      </w:r>
    </w:p>
    <w:p w14:paraId="5F085272" w14:textId="77777777" w:rsidR="009E5D9A" w:rsidRDefault="009E5D9A" w:rsidP="000B0527">
      <w:pPr>
        <w:pStyle w:val="KeyPoints-Bullet"/>
      </w:pPr>
      <w:r w:rsidRPr="00284D6A">
        <w:rPr>
          <w:b/>
          <w:bCs/>
        </w:rPr>
        <w:t>Goods and services became cheaper</w:t>
      </w:r>
      <w:r>
        <w:t xml:space="preserve"> – through a fall in the number of hours of labour needed to produce existing goods and services.</w:t>
      </w:r>
    </w:p>
    <w:p w14:paraId="5D4FB668" w14:textId="77777777" w:rsidR="009E5D9A" w:rsidRDefault="009E5D9A" w:rsidP="00B0568E">
      <w:pPr>
        <w:pStyle w:val="KeyPoints-Bullet"/>
      </w:pPr>
      <w:r w:rsidRPr="000B0527">
        <w:rPr>
          <w:b/>
          <w:bCs/>
        </w:rPr>
        <w:t>Goods and services improved</w:t>
      </w:r>
      <w:r>
        <w:t xml:space="preserve"> </w:t>
      </w:r>
      <w:r w:rsidRPr="000B0527">
        <w:rPr>
          <w:b/>
          <w:bCs/>
        </w:rPr>
        <w:t>in quality</w:t>
      </w:r>
      <w:r>
        <w:t xml:space="preserve"> on multiple dimensions.</w:t>
      </w:r>
      <w:r w:rsidRPr="007D15B3">
        <w:rPr>
          <w:rStyle w:val="FootnoteReference"/>
        </w:rPr>
        <w:footnoteReference w:id="3"/>
      </w:r>
      <w:r>
        <w:t xml:space="preserve"> </w:t>
      </w:r>
    </w:p>
    <w:p w14:paraId="56158933" w14:textId="327AD4DA" w:rsidR="009E5D9A" w:rsidRDefault="009E5D9A" w:rsidP="00B0568E">
      <w:pPr>
        <w:pStyle w:val="KeyPoints-Bullet"/>
      </w:pPr>
      <w:r w:rsidRPr="5C5534D1">
        <w:rPr>
          <w:b/>
          <w:bCs/>
        </w:rPr>
        <w:t>Entirely</w:t>
      </w:r>
      <w:r>
        <w:t xml:space="preserve"> </w:t>
      </w:r>
      <w:r w:rsidRPr="5C5534D1">
        <w:rPr>
          <w:b/>
          <w:bCs/>
        </w:rPr>
        <w:t>new goods and services were produced</w:t>
      </w:r>
      <w:r>
        <w:t xml:space="preserve"> to satisfy human wants </w:t>
      </w:r>
      <w:r w:rsidR="006E6720" w:rsidRPr="006E6720">
        <w:rPr>
          <w:rFonts w:ascii="Arial" w:hAnsi="Arial" w:cs="Arial"/>
          <w:szCs w:val="24"/>
        </w:rPr>
        <w:t>(PC 2022, p. 5)</w:t>
      </w:r>
      <w:r>
        <w:t>.</w:t>
      </w:r>
    </w:p>
    <w:p w14:paraId="133D4611" w14:textId="77777777" w:rsidR="009E5D9A" w:rsidRDefault="009E5D9A" w:rsidP="005E3850">
      <w:pPr>
        <w:pStyle w:val="BodyText"/>
      </w:pPr>
      <w:r>
        <w:t>This Productivity Bulletin analyses the most recent trends in aggregate productivity. A primer on productivity, and how it is measured, is included at the back of the Bulletin. Annual data can be volatile, and subject to revisions and cyclical shocks. Therefore, medium-term and long-term trends are also examined to provide a clearer guide to developments in the economy.</w:t>
      </w:r>
    </w:p>
    <w:p w14:paraId="30B5BA2A" w14:textId="77777777" w:rsidR="009E5D9A" w:rsidRDefault="009E5D9A" w:rsidP="009E5D9A">
      <w:pPr>
        <w:pStyle w:val="Heading2-nonumber"/>
        <w:numPr>
          <w:ilvl w:val="0"/>
          <w:numId w:val="42"/>
        </w:numPr>
      </w:pPr>
      <w:bookmarkStart w:id="2" w:name="_Toc139383197"/>
      <w:r>
        <w:lastRenderedPageBreak/>
        <w:t>Whole economy growth and productivity</w:t>
      </w:r>
      <w:bookmarkEnd w:id="2"/>
    </w:p>
    <w:p w14:paraId="46B3BBBE" w14:textId="77777777" w:rsidR="009E5D9A" w:rsidRDefault="009E5D9A" w:rsidP="00B84921">
      <w:pPr>
        <w:pStyle w:val="Heading3"/>
      </w:pPr>
      <w:r>
        <w:t>Economic growth recovered in aftermath of COVID-19</w:t>
      </w:r>
    </w:p>
    <w:p w14:paraId="783643BC" w14:textId="77777777" w:rsidR="009E5D9A" w:rsidRDefault="009E5D9A" w:rsidP="009F3D6F">
      <w:pPr>
        <w:pStyle w:val="BodyText"/>
      </w:pPr>
      <w:r>
        <w:t>Australia experienced a rise in productivity in 2021</w:t>
      </w:r>
      <w:r>
        <w:noBreakHyphen/>
        <w:t>22. This was in terms of total productivity growth as well as labour and multi-factor productivity (MFP).</w:t>
      </w:r>
    </w:p>
    <w:p w14:paraId="54D169B9" w14:textId="77777777" w:rsidR="009E5D9A" w:rsidRDefault="009E5D9A" w:rsidP="009F3D6F">
      <w:pPr>
        <w:pStyle w:val="BodyText"/>
      </w:pPr>
      <w:r>
        <w:t>Labour productivity increased for the whole economy (1.1%) and the market sector (1.5%). This was, however, below their long-term averages of 1.5% and 1.9% (table 1). The increase in labour productivity could largely be attributed to a labour reallocation effect</w:t>
      </w:r>
      <w:r w:rsidRPr="007D15B3">
        <w:rPr>
          <w:rStyle w:val="FootnoteReference"/>
        </w:rPr>
        <w:footnoteReference w:id="4"/>
      </w:r>
      <w:r>
        <w:t xml:space="preserve"> from the COVID-19 pandemic in 2021-22, which appears to be reversing into 2022-23.</w:t>
      </w:r>
    </w:p>
    <w:p w14:paraId="00D1C3BD" w14:textId="42395F8B" w:rsidR="009E5D9A" w:rsidRDefault="009E5D9A" w:rsidP="009F3D6F">
      <w:pPr>
        <w:pStyle w:val="BodyText"/>
        <w:rPr>
          <w:spacing w:val="-2"/>
        </w:rPr>
      </w:pPr>
      <w:r w:rsidRPr="00EE40C7">
        <w:rPr>
          <w:spacing w:val="-2"/>
        </w:rPr>
        <w:t xml:space="preserve">Market sector MFP grew faster in 2021-22 (2.2%) than its long-term average (0.8%) (table 1). MFP growth means that output grew faster than the combined growth rate of capital and labour inputs (2.4%) </w:t>
      </w:r>
      <w:r w:rsidRPr="00EE40C7">
        <w:rPr>
          <w:rFonts w:cs="Arial"/>
          <w:spacing w:val="-2"/>
        </w:rPr>
        <w:t>(ABS 2023e)</w:t>
      </w:r>
      <w:r w:rsidRPr="00EE40C7">
        <w:rPr>
          <w:spacing w:val="-2"/>
        </w:rPr>
        <w:t>, which is generally taken to reflect innovation or other external factors.</w:t>
      </w:r>
      <w:r w:rsidRPr="007D15B3">
        <w:rPr>
          <w:rStyle w:val="FootnoteReference"/>
        </w:rPr>
        <w:footnoteReference w:id="5"/>
      </w:r>
      <w:r w:rsidRPr="00EE40C7">
        <w:rPr>
          <w:spacing w:val="-2"/>
        </w:rPr>
        <w:t xml:space="preserve"> Large MFP growth in certain industries – agriculture, forestry and fishing (21.2%); information, media and telecommunications (7.5%); and transport, postal and warehousing (6.3%) – contributed to this aggregate increase (section 2). The upsurge in MFP may not be sustained given there is often short</w:t>
      </w:r>
      <w:r w:rsidR="001B38B0">
        <w:rPr>
          <w:spacing w:val="-2"/>
        </w:rPr>
        <w:t>-</w:t>
      </w:r>
      <w:r w:rsidRPr="00EE40C7">
        <w:rPr>
          <w:spacing w:val="-2"/>
        </w:rPr>
        <w:t>run variations in long</w:t>
      </w:r>
      <w:r w:rsidRPr="00EE40C7">
        <w:rPr>
          <w:spacing w:val="-2"/>
        </w:rPr>
        <w:noBreakHyphen/>
        <w:t xml:space="preserve">run trends. </w:t>
      </w:r>
    </w:p>
    <w:p w14:paraId="0A4EE1DC" w14:textId="77777777" w:rsidR="009E5D9A" w:rsidRPr="00827628" w:rsidRDefault="009E5D9A" w:rsidP="0096367C">
      <w:pPr>
        <w:pStyle w:val="BodyText"/>
        <w:rPr>
          <w:spacing w:val="-4"/>
        </w:rPr>
      </w:pPr>
      <w:r w:rsidRPr="00827628">
        <w:rPr>
          <w:spacing w:val="-4"/>
        </w:rPr>
        <w:t>Although Australia saw relatively strong productivity, economic, and income growth in 2021-22, the economy has greatly changed since then (box 1). These changes affected economic and productivity growth in 2022-23, as observed in the quarterly national accounts. Since March 2022, there has been a slump in labour productivity (figure 1). Gross domestic product (GDP) per hour worked has decreased by 4.6% in the year to March 2023.</w:t>
      </w:r>
    </w:p>
    <w:p w14:paraId="0F3B713E" w14:textId="63C8AD0F" w:rsidR="009E5D9A" w:rsidRDefault="009E5D9A" w:rsidP="0096367C">
      <w:pPr>
        <w:pStyle w:val="BodyText"/>
      </w:pPr>
      <w:r>
        <w:t xml:space="preserve">The decline in labour productivity is likely to be partly structural and could also be due to the unwinding of the COVID-19 pandemic </w:t>
      </w:r>
      <w:r w:rsidRPr="6A6CA391">
        <w:rPr>
          <w:rFonts w:ascii="Arial" w:hAnsi="Arial" w:cs="Arial"/>
        </w:rPr>
        <w:t>(ABS 2023a)</w:t>
      </w:r>
      <w:r>
        <w:t>, which may have decreased productivity in two ways.</w:t>
      </w:r>
    </w:p>
    <w:p w14:paraId="76741EF7" w14:textId="39456BB2" w:rsidR="009E5D9A" w:rsidRDefault="009E5D9A" w:rsidP="009E5D9A">
      <w:pPr>
        <w:pStyle w:val="ListNumber"/>
        <w:numPr>
          <w:ilvl w:val="0"/>
          <w:numId w:val="46"/>
        </w:numPr>
        <w:rPr>
          <w:rStyle w:val="cf01"/>
        </w:rPr>
      </w:pPr>
      <w:r w:rsidRPr="6A6CA391">
        <w:rPr>
          <w:b/>
          <w:bCs/>
        </w:rPr>
        <w:t>Labour reallocation to low productivity jobs</w:t>
      </w:r>
      <w:r>
        <w:t xml:space="preserve">. The COVID-19 pandemic caused relatively greater disruption to low-productivity firms and low-productivity parts of the service sector. Less productive firms were more likely to </w:t>
      </w:r>
      <w:r w:rsidRPr="003B0D7E">
        <w:t>pause</w:t>
      </w:r>
      <w:r>
        <w:t xml:space="preserve"> production, and contact-intensive service sectors </w:t>
      </w:r>
      <w:r w:rsidRPr="6A6CA391">
        <w:rPr>
          <w:rStyle w:val="cf01"/>
        </w:rPr>
        <w:t xml:space="preserve">were severely affected by COVID-19 restrictions. As a result, labour productivity increased through a productivity-enhancing reallocation of labour. More labour flowed towards high productivity goods sectors, and within the same sector, labour also shifted to high productivity firms </w:t>
      </w:r>
      <w:r w:rsidR="004320BE" w:rsidRPr="004320BE">
        <w:rPr>
          <w:rFonts w:ascii="Arial" w:hAnsi="Arial" w:cs="Arial"/>
          <w:szCs w:val="24"/>
        </w:rPr>
        <w:t>(Andrews et al. 2021, p. 16; Black and Chow 2022)</w:t>
      </w:r>
      <w:r>
        <w:t xml:space="preserve">. As the pandemic subsided and restrictions were lifted, the service sector recovered </w:t>
      </w:r>
      <w:r w:rsidRPr="6A6CA391">
        <w:rPr>
          <w:rStyle w:val="cf01"/>
        </w:rPr>
        <w:t xml:space="preserve">and firms with low average productivity levels </w:t>
      </w:r>
      <w:r>
        <w:rPr>
          <w:rStyle w:val="cf01"/>
        </w:rPr>
        <w:t>–</w:t>
      </w:r>
      <w:r w:rsidRPr="6A6CA391">
        <w:rPr>
          <w:rStyle w:val="cf01"/>
        </w:rPr>
        <w:t xml:space="preserve"> such as hospitality </w:t>
      </w:r>
      <w:r>
        <w:rPr>
          <w:rStyle w:val="cf01"/>
        </w:rPr>
        <w:t>–</w:t>
      </w:r>
      <w:r w:rsidRPr="6A6CA391">
        <w:rPr>
          <w:rStyle w:val="cf01"/>
        </w:rPr>
        <w:t xml:space="preserve"> returned to production. This partly reversed the reallocation effect, lowering measured labour productivity.</w:t>
      </w:r>
      <w:r w:rsidRPr="6A6CA391">
        <w:rPr>
          <w:b/>
          <w:bCs/>
        </w:rPr>
        <w:t xml:space="preserve"> </w:t>
      </w:r>
    </w:p>
    <w:p w14:paraId="5FD4DE34" w14:textId="77777777" w:rsidR="009E5D9A" w:rsidRPr="00AB6D01" w:rsidRDefault="009E5D9A" w:rsidP="009E5D9A">
      <w:pPr>
        <w:pStyle w:val="ListNumber"/>
        <w:numPr>
          <w:ilvl w:val="0"/>
          <w:numId w:val="45"/>
        </w:numPr>
        <w:rPr>
          <w:spacing w:val="-2"/>
        </w:rPr>
      </w:pPr>
      <w:r w:rsidRPr="00AB6D01">
        <w:rPr>
          <w:b/>
          <w:bCs/>
          <w:spacing w:val="-2"/>
        </w:rPr>
        <w:t xml:space="preserve">Increased employment among lower-productivity workers. </w:t>
      </w:r>
      <w:r w:rsidRPr="00AB6D01">
        <w:rPr>
          <w:spacing w:val="-2"/>
        </w:rPr>
        <w:t xml:space="preserve">The COVID-19 pandemic at first caused an increase in under and unemployment. This disproportionally affected low-productivity worker because the pandemic forced firms in lower productivity customer-facing industries to cut costs, reduce production </w:t>
      </w:r>
      <w:r w:rsidRPr="00AB6D01">
        <w:rPr>
          <w:spacing w:val="-2"/>
        </w:rPr>
        <w:lastRenderedPageBreak/>
        <w:t>and layoff some of their workers. Consequently, this led to a temporary increase in labour productivity. As the labour market recovered from the COVID-19 pandemic and the unemployment rate fell to historic lows (box 1), lower-productivity workers re-entered the workforce, thereby reducing labour productivity.</w:t>
      </w:r>
      <w:r w:rsidRPr="00AB6D01">
        <w:rPr>
          <w:smallCaps/>
          <w:color w:val="FF00FF"/>
          <w:spacing w:val="-2"/>
        </w:rPr>
        <w:t xml:space="preserve"> </w:t>
      </w:r>
    </w:p>
    <w:p w14:paraId="045D6BDA" w14:textId="68DD5241" w:rsidR="009E5D9A" w:rsidRDefault="009E5D9A">
      <w:pPr>
        <w:pStyle w:val="FigureTableHeading"/>
        <w:rPr>
          <w:vertAlign w:val="superscript"/>
        </w:rPr>
      </w:pPr>
      <w:r>
        <w:t>Table 1</w:t>
      </w:r>
      <w:r w:rsidR="00624B3F">
        <w:rPr>
          <w:noProof/>
        </w:rPr>
        <w:t xml:space="preserve"> </w:t>
      </w:r>
      <w:r w:rsidRPr="4E466971">
        <w:rPr>
          <w:noProof/>
        </w:rPr>
        <w:t xml:space="preserve">– </w:t>
      </w:r>
      <w:r>
        <w:t>Aggregate productivity statistics</w:t>
      </w:r>
      <w:r w:rsidRPr="4E466971">
        <w:rPr>
          <w:vertAlign w:val="superscript"/>
        </w:rPr>
        <w:t>a,b</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977"/>
        <w:gridCol w:w="1134"/>
        <w:gridCol w:w="1134"/>
        <w:gridCol w:w="2126"/>
        <w:gridCol w:w="2268"/>
      </w:tblGrid>
      <w:tr w:rsidR="009E5D9A" w:rsidRPr="00030C67" w14:paraId="314ABC84" w14:textId="77777777" w:rsidTr="00F63871">
        <w:trPr>
          <w:tblHeader/>
        </w:trPr>
        <w:tc>
          <w:tcPr>
            <w:tcW w:w="2977" w:type="dxa"/>
            <w:vMerge w:val="restart"/>
            <w:tcBorders>
              <w:bottom w:val="nil"/>
            </w:tcBorders>
            <w:shd w:val="clear" w:color="auto" w:fill="auto"/>
            <w:vAlign w:val="bottom"/>
          </w:tcPr>
          <w:p w14:paraId="0EFF4072" w14:textId="77777777" w:rsidR="009E5D9A" w:rsidRPr="00030C67" w:rsidRDefault="009E5D9A">
            <w:pPr>
              <w:spacing w:before="45" w:after="45"/>
              <w:ind w:right="108"/>
              <w:rPr>
                <w:rFonts w:ascii="Arial (Body)" w:hAnsi="Arial (Body)"/>
                <w:color w:val="265A9A"/>
              </w:rPr>
            </w:pPr>
          </w:p>
        </w:tc>
        <w:tc>
          <w:tcPr>
            <w:tcW w:w="2268" w:type="dxa"/>
            <w:gridSpan w:val="2"/>
            <w:tcBorders>
              <w:bottom w:val="nil"/>
            </w:tcBorders>
            <w:shd w:val="clear" w:color="auto" w:fill="auto"/>
            <w:vAlign w:val="bottom"/>
          </w:tcPr>
          <w:p w14:paraId="71581C5E" w14:textId="77777777" w:rsidR="009E5D9A" w:rsidRPr="00030C67" w:rsidRDefault="009E5D9A" w:rsidP="0096367C">
            <w:pPr>
              <w:pStyle w:val="TableHeading"/>
              <w:ind w:right="57"/>
              <w:jc w:val="right"/>
            </w:pPr>
            <w:r>
              <w:t>Latest years</w:t>
            </w:r>
          </w:p>
        </w:tc>
        <w:tc>
          <w:tcPr>
            <w:tcW w:w="2126" w:type="dxa"/>
            <w:tcBorders>
              <w:bottom w:val="nil"/>
            </w:tcBorders>
            <w:shd w:val="clear" w:color="auto" w:fill="auto"/>
            <w:vAlign w:val="bottom"/>
          </w:tcPr>
          <w:p w14:paraId="5C4542E0" w14:textId="77777777" w:rsidR="009E5D9A" w:rsidRPr="00030C67" w:rsidRDefault="009E5D9A" w:rsidP="0096367C">
            <w:pPr>
              <w:pStyle w:val="TableHeading"/>
              <w:ind w:right="57"/>
              <w:jc w:val="right"/>
            </w:pPr>
            <w:r>
              <w:t>Most recent five years</w:t>
            </w:r>
          </w:p>
        </w:tc>
        <w:tc>
          <w:tcPr>
            <w:tcW w:w="2268" w:type="dxa"/>
            <w:tcBorders>
              <w:bottom w:val="nil"/>
            </w:tcBorders>
            <w:shd w:val="clear" w:color="auto" w:fill="auto"/>
            <w:vAlign w:val="bottom"/>
          </w:tcPr>
          <w:p w14:paraId="6823679C" w14:textId="77777777" w:rsidR="009E5D9A" w:rsidRPr="00030C67" w:rsidRDefault="009E5D9A" w:rsidP="0096367C">
            <w:pPr>
              <w:pStyle w:val="TableHeading"/>
              <w:ind w:right="57"/>
              <w:jc w:val="right"/>
            </w:pPr>
            <w:r>
              <w:t>Long-term growth rate</w:t>
            </w:r>
          </w:p>
        </w:tc>
      </w:tr>
      <w:tr w:rsidR="009E5D9A" w:rsidRPr="00030C67" w14:paraId="0BCF7B5A" w14:textId="77777777" w:rsidTr="00F63871">
        <w:trPr>
          <w:tblHeader/>
        </w:trPr>
        <w:tc>
          <w:tcPr>
            <w:tcW w:w="2977" w:type="dxa"/>
            <w:vMerge/>
            <w:tcBorders>
              <w:top w:val="single" w:sz="4" w:space="0" w:color="BFBFBF" w:themeColor="background1" w:themeShade="BF"/>
              <w:bottom w:val="nil"/>
            </w:tcBorders>
            <w:vAlign w:val="bottom"/>
          </w:tcPr>
          <w:p w14:paraId="1B2EDC90" w14:textId="77777777" w:rsidR="009E5D9A" w:rsidRPr="00030C67" w:rsidRDefault="009E5D9A">
            <w:pPr>
              <w:spacing w:before="45" w:after="45"/>
              <w:ind w:right="108"/>
              <w:rPr>
                <w:rFonts w:ascii="Arial (Body)" w:hAnsi="Arial (Body)"/>
                <w:color w:val="265A9A"/>
              </w:rPr>
            </w:pPr>
          </w:p>
        </w:tc>
        <w:tc>
          <w:tcPr>
            <w:tcW w:w="1134" w:type="dxa"/>
            <w:tcBorders>
              <w:bottom w:val="nil"/>
            </w:tcBorders>
            <w:shd w:val="clear" w:color="auto" w:fill="auto"/>
            <w:vAlign w:val="bottom"/>
          </w:tcPr>
          <w:p w14:paraId="6FD03429" w14:textId="77777777" w:rsidR="009E5D9A" w:rsidRDefault="009E5D9A" w:rsidP="00AB6D01">
            <w:pPr>
              <w:pStyle w:val="TableHeading"/>
              <w:ind w:right="57"/>
              <w:jc w:val="right"/>
            </w:pPr>
            <w:r>
              <w:t>2021-22</w:t>
            </w:r>
          </w:p>
        </w:tc>
        <w:tc>
          <w:tcPr>
            <w:tcW w:w="1134" w:type="dxa"/>
            <w:tcBorders>
              <w:bottom w:val="nil"/>
            </w:tcBorders>
            <w:shd w:val="clear" w:color="auto" w:fill="auto"/>
            <w:vAlign w:val="bottom"/>
          </w:tcPr>
          <w:p w14:paraId="216DFD69" w14:textId="77777777" w:rsidR="009E5D9A" w:rsidRDefault="009E5D9A" w:rsidP="00AB6D01">
            <w:pPr>
              <w:pStyle w:val="TableHeading"/>
              <w:ind w:right="57"/>
              <w:jc w:val="right"/>
            </w:pPr>
            <w:r>
              <w:t>2020-21</w:t>
            </w:r>
          </w:p>
        </w:tc>
        <w:tc>
          <w:tcPr>
            <w:tcW w:w="2126" w:type="dxa"/>
            <w:tcBorders>
              <w:bottom w:val="nil"/>
            </w:tcBorders>
            <w:shd w:val="clear" w:color="auto" w:fill="auto"/>
            <w:vAlign w:val="bottom"/>
          </w:tcPr>
          <w:p w14:paraId="139F6A02" w14:textId="77777777" w:rsidR="009E5D9A" w:rsidRDefault="009E5D9A" w:rsidP="00AB6D01">
            <w:pPr>
              <w:pStyle w:val="TableHeading"/>
              <w:ind w:right="57"/>
              <w:jc w:val="right"/>
            </w:pPr>
            <w:r>
              <w:t>2017-18 to 2021-22</w:t>
            </w:r>
          </w:p>
        </w:tc>
        <w:tc>
          <w:tcPr>
            <w:tcW w:w="2268" w:type="dxa"/>
            <w:tcBorders>
              <w:bottom w:val="nil"/>
            </w:tcBorders>
            <w:shd w:val="clear" w:color="auto" w:fill="auto"/>
            <w:vAlign w:val="bottom"/>
          </w:tcPr>
          <w:p w14:paraId="65B27F6E" w14:textId="77777777" w:rsidR="009E5D9A" w:rsidRDefault="009E5D9A" w:rsidP="00AB6D01">
            <w:pPr>
              <w:pStyle w:val="TableHeading"/>
              <w:ind w:right="57"/>
              <w:jc w:val="right"/>
            </w:pPr>
            <w:r>
              <w:t>1994-95 to 2021-22</w:t>
            </w:r>
          </w:p>
        </w:tc>
      </w:tr>
      <w:tr w:rsidR="009E5D9A" w:rsidRPr="00AB6D01" w14:paraId="5C7EE984" w14:textId="77777777" w:rsidTr="00F63871">
        <w:trPr>
          <w:tblHeader/>
        </w:trPr>
        <w:tc>
          <w:tcPr>
            <w:tcW w:w="2977" w:type="dxa"/>
            <w:tcBorders>
              <w:top w:val="nil"/>
              <w:bottom w:val="single" w:sz="4" w:space="0" w:color="B3B3B3"/>
            </w:tcBorders>
            <w:shd w:val="clear" w:color="auto" w:fill="auto"/>
          </w:tcPr>
          <w:p w14:paraId="31BBDDC0" w14:textId="77777777" w:rsidR="009E5D9A" w:rsidRPr="00AB6D01" w:rsidRDefault="009E5D9A" w:rsidP="00551ADF">
            <w:pPr>
              <w:pStyle w:val="TableBody"/>
              <w:rPr>
                <w:b/>
                <w:bCs/>
                <w:color w:val="265A9A" w:themeColor="background2"/>
              </w:rPr>
            </w:pPr>
          </w:p>
        </w:tc>
        <w:tc>
          <w:tcPr>
            <w:tcW w:w="1134" w:type="dxa"/>
            <w:tcBorders>
              <w:top w:val="nil"/>
              <w:bottom w:val="single" w:sz="4" w:space="0" w:color="B3B3B3"/>
            </w:tcBorders>
            <w:shd w:val="clear" w:color="auto" w:fill="auto"/>
          </w:tcPr>
          <w:p w14:paraId="0F36CF1E" w14:textId="77777777" w:rsidR="009E5D9A" w:rsidRPr="00AB6D01" w:rsidRDefault="009E5D9A" w:rsidP="00AB6D01">
            <w:pPr>
              <w:pStyle w:val="TableBody"/>
              <w:ind w:right="57"/>
              <w:jc w:val="right"/>
              <w:rPr>
                <w:b/>
                <w:bCs/>
                <w:color w:val="265A9A" w:themeColor="background2"/>
              </w:rPr>
            </w:pPr>
            <w:r w:rsidRPr="00AB6D01">
              <w:rPr>
                <w:b/>
                <w:bCs/>
                <w:color w:val="265A9A" w:themeColor="background2"/>
              </w:rPr>
              <w:t>%</w:t>
            </w:r>
          </w:p>
        </w:tc>
        <w:tc>
          <w:tcPr>
            <w:tcW w:w="1134" w:type="dxa"/>
            <w:tcBorders>
              <w:top w:val="nil"/>
              <w:bottom w:val="single" w:sz="4" w:space="0" w:color="B3B3B3"/>
            </w:tcBorders>
            <w:shd w:val="clear" w:color="auto" w:fill="auto"/>
          </w:tcPr>
          <w:p w14:paraId="44B46680" w14:textId="77777777" w:rsidR="009E5D9A" w:rsidRPr="00AB6D01" w:rsidRDefault="009E5D9A" w:rsidP="00AB6D01">
            <w:pPr>
              <w:pStyle w:val="TableBody"/>
              <w:ind w:right="57"/>
              <w:jc w:val="right"/>
              <w:rPr>
                <w:b/>
                <w:bCs/>
                <w:color w:val="265A9A" w:themeColor="background2"/>
              </w:rPr>
            </w:pPr>
            <w:r w:rsidRPr="00AB6D01">
              <w:rPr>
                <w:b/>
                <w:bCs/>
                <w:color w:val="265A9A" w:themeColor="background2"/>
              </w:rPr>
              <w:t>%</w:t>
            </w:r>
          </w:p>
        </w:tc>
        <w:tc>
          <w:tcPr>
            <w:tcW w:w="2126" w:type="dxa"/>
            <w:tcBorders>
              <w:top w:val="nil"/>
              <w:bottom w:val="single" w:sz="4" w:space="0" w:color="B3B3B3"/>
            </w:tcBorders>
            <w:shd w:val="clear" w:color="auto" w:fill="auto"/>
          </w:tcPr>
          <w:p w14:paraId="57CD039B" w14:textId="77777777" w:rsidR="009E5D9A" w:rsidRPr="00AB6D01" w:rsidRDefault="009E5D9A" w:rsidP="00AB6D01">
            <w:pPr>
              <w:pStyle w:val="TableBody"/>
              <w:ind w:right="57"/>
              <w:jc w:val="right"/>
              <w:rPr>
                <w:b/>
                <w:bCs/>
                <w:color w:val="265A9A" w:themeColor="background2"/>
              </w:rPr>
            </w:pPr>
            <w:r w:rsidRPr="00AB6D01">
              <w:rPr>
                <w:b/>
                <w:bCs/>
                <w:color w:val="265A9A" w:themeColor="background2"/>
              </w:rPr>
              <w:t>%</w:t>
            </w:r>
          </w:p>
        </w:tc>
        <w:tc>
          <w:tcPr>
            <w:tcW w:w="2268" w:type="dxa"/>
            <w:tcBorders>
              <w:top w:val="nil"/>
              <w:bottom w:val="single" w:sz="4" w:space="0" w:color="B3B3B3"/>
            </w:tcBorders>
            <w:shd w:val="clear" w:color="auto" w:fill="auto"/>
          </w:tcPr>
          <w:p w14:paraId="6F10399B" w14:textId="77777777" w:rsidR="009E5D9A" w:rsidRPr="00AB6D01" w:rsidRDefault="009E5D9A" w:rsidP="00AB6D01">
            <w:pPr>
              <w:pStyle w:val="TableBody"/>
              <w:ind w:right="57"/>
              <w:jc w:val="right"/>
              <w:rPr>
                <w:b/>
                <w:bCs/>
                <w:color w:val="265A9A" w:themeColor="background2"/>
              </w:rPr>
            </w:pPr>
            <w:r w:rsidRPr="00AB6D01">
              <w:rPr>
                <w:b/>
                <w:bCs/>
                <w:color w:val="265A9A" w:themeColor="background2"/>
              </w:rPr>
              <w:t>%</w:t>
            </w:r>
          </w:p>
        </w:tc>
      </w:tr>
      <w:tr w:rsidR="009E5D9A" w:rsidRPr="00AB6D01" w14:paraId="6A127C7A" w14:textId="77777777" w:rsidTr="00F63871">
        <w:tc>
          <w:tcPr>
            <w:tcW w:w="2977" w:type="dxa"/>
            <w:tcBorders>
              <w:top w:val="single" w:sz="4" w:space="0" w:color="B3B3B3"/>
              <w:bottom w:val="nil"/>
            </w:tcBorders>
            <w:shd w:val="clear" w:color="auto" w:fill="E0F1F7" w:themeFill="text2" w:themeFillTint="33"/>
          </w:tcPr>
          <w:p w14:paraId="0BD150B0" w14:textId="77777777" w:rsidR="009E5D9A" w:rsidRPr="00AB6D01" w:rsidRDefault="009E5D9A" w:rsidP="00551ADF">
            <w:pPr>
              <w:pStyle w:val="TableBody"/>
              <w:rPr>
                <w:b/>
                <w:bCs/>
                <w:color w:val="265A9A" w:themeColor="background2"/>
              </w:rPr>
            </w:pPr>
            <w:r w:rsidRPr="00AB6D01">
              <w:rPr>
                <w:b/>
                <w:bCs/>
                <w:color w:val="265A9A" w:themeColor="background2"/>
              </w:rPr>
              <w:t xml:space="preserve">Whole </w:t>
            </w:r>
            <w:r>
              <w:rPr>
                <w:b/>
                <w:bCs/>
                <w:color w:val="265A9A" w:themeColor="background2"/>
              </w:rPr>
              <w:t>e</w:t>
            </w:r>
            <w:r w:rsidRPr="00AB6D01">
              <w:rPr>
                <w:b/>
                <w:bCs/>
                <w:color w:val="265A9A" w:themeColor="background2"/>
              </w:rPr>
              <w:t>conomy</w:t>
            </w:r>
          </w:p>
        </w:tc>
        <w:tc>
          <w:tcPr>
            <w:tcW w:w="1134" w:type="dxa"/>
            <w:tcBorders>
              <w:top w:val="single" w:sz="4" w:space="0" w:color="B3B3B3"/>
              <w:bottom w:val="nil"/>
            </w:tcBorders>
            <w:shd w:val="clear" w:color="auto" w:fill="E0F1F7" w:themeFill="text2" w:themeFillTint="33"/>
          </w:tcPr>
          <w:p w14:paraId="78111A58" w14:textId="77777777" w:rsidR="009E5D9A" w:rsidRPr="00AB6D01" w:rsidRDefault="009E5D9A" w:rsidP="00AB6D01">
            <w:pPr>
              <w:pStyle w:val="TableBody"/>
              <w:ind w:right="57"/>
              <w:jc w:val="right"/>
              <w:rPr>
                <w:b/>
                <w:bCs/>
              </w:rPr>
            </w:pPr>
          </w:p>
        </w:tc>
        <w:tc>
          <w:tcPr>
            <w:tcW w:w="1134" w:type="dxa"/>
            <w:tcBorders>
              <w:top w:val="single" w:sz="4" w:space="0" w:color="B3B3B3"/>
              <w:bottom w:val="nil"/>
            </w:tcBorders>
            <w:shd w:val="clear" w:color="auto" w:fill="E0F1F7" w:themeFill="text2" w:themeFillTint="33"/>
          </w:tcPr>
          <w:p w14:paraId="432C9AD4" w14:textId="77777777" w:rsidR="009E5D9A" w:rsidRPr="00AB6D01" w:rsidRDefault="009E5D9A" w:rsidP="00AB6D01">
            <w:pPr>
              <w:pStyle w:val="TableBody"/>
              <w:ind w:right="57"/>
              <w:jc w:val="right"/>
              <w:rPr>
                <w:b/>
                <w:bCs/>
              </w:rPr>
            </w:pPr>
          </w:p>
        </w:tc>
        <w:tc>
          <w:tcPr>
            <w:tcW w:w="2126" w:type="dxa"/>
            <w:tcBorders>
              <w:top w:val="single" w:sz="4" w:space="0" w:color="B3B3B3"/>
              <w:bottom w:val="nil"/>
            </w:tcBorders>
            <w:shd w:val="clear" w:color="auto" w:fill="E0F1F7" w:themeFill="text2" w:themeFillTint="33"/>
          </w:tcPr>
          <w:p w14:paraId="213C9068" w14:textId="77777777" w:rsidR="009E5D9A" w:rsidRPr="00AB6D01" w:rsidRDefault="009E5D9A" w:rsidP="00AB6D01">
            <w:pPr>
              <w:pStyle w:val="TableBody"/>
              <w:ind w:right="57"/>
              <w:jc w:val="right"/>
              <w:rPr>
                <w:b/>
                <w:bCs/>
              </w:rPr>
            </w:pPr>
          </w:p>
        </w:tc>
        <w:tc>
          <w:tcPr>
            <w:tcW w:w="2268" w:type="dxa"/>
            <w:tcBorders>
              <w:top w:val="single" w:sz="4" w:space="0" w:color="B3B3B3"/>
              <w:bottom w:val="nil"/>
            </w:tcBorders>
            <w:shd w:val="clear" w:color="auto" w:fill="E0F1F7" w:themeFill="text2" w:themeFillTint="33"/>
          </w:tcPr>
          <w:p w14:paraId="2B7CB402" w14:textId="77777777" w:rsidR="009E5D9A" w:rsidRPr="00AB6D01" w:rsidRDefault="009E5D9A" w:rsidP="00AB6D01">
            <w:pPr>
              <w:pStyle w:val="TableBody"/>
              <w:ind w:right="57"/>
              <w:jc w:val="right"/>
              <w:rPr>
                <w:b/>
                <w:bCs/>
              </w:rPr>
            </w:pPr>
          </w:p>
        </w:tc>
      </w:tr>
      <w:tr w:rsidR="009E5D9A" w:rsidRPr="00030C67" w14:paraId="3E53233D" w14:textId="77777777" w:rsidTr="00F63871">
        <w:tc>
          <w:tcPr>
            <w:tcW w:w="2977" w:type="dxa"/>
            <w:tcBorders>
              <w:top w:val="nil"/>
              <w:bottom w:val="nil"/>
            </w:tcBorders>
            <w:shd w:val="clear" w:color="auto" w:fill="FFFFFF" w:themeFill="background1"/>
          </w:tcPr>
          <w:p w14:paraId="623E46A9" w14:textId="77777777" w:rsidR="009E5D9A" w:rsidRPr="001E0201" w:rsidRDefault="009E5D9A" w:rsidP="00551ADF">
            <w:pPr>
              <w:pStyle w:val="TableBody"/>
            </w:pPr>
            <w:r w:rsidRPr="001E0201">
              <w:t>Output (real GDP)</w:t>
            </w:r>
          </w:p>
        </w:tc>
        <w:tc>
          <w:tcPr>
            <w:tcW w:w="1134" w:type="dxa"/>
            <w:tcBorders>
              <w:top w:val="nil"/>
              <w:bottom w:val="nil"/>
            </w:tcBorders>
            <w:shd w:val="clear" w:color="auto" w:fill="FFFFFF" w:themeFill="background1"/>
          </w:tcPr>
          <w:p w14:paraId="0A29A248" w14:textId="77777777" w:rsidR="009E5D9A" w:rsidRPr="001E0201" w:rsidRDefault="009E5D9A" w:rsidP="0096367C">
            <w:pPr>
              <w:pStyle w:val="TableBody"/>
              <w:ind w:right="57"/>
              <w:jc w:val="right"/>
            </w:pPr>
            <w:r w:rsidRPr="001E0201">
              <w:t>3.6</w:t>
            </w:r>
          </w:p>
        </w:tc>
        <w:tc>
          <w:tcPr>
            <w:tcW w:w="1134" w:type="dxa"/>
            <w:tcBorders>
              <w:top w:val="nil"/>
              <w:bottom w:val="nil"/>
            </w:tcBorders>
            <w:shd w:val="clear" w:color="auto" w:fill="FFFFFF" w:themeFill="background1"/>
          </w:tcPr>
          <w:p w14:paraId="7A43524F" w14:textId="77777777" w:rsidR="009E5D9A" w:rsidRPr="001E0201" w:rsidRDefault="009E5D9A" w:rsidP="0096367C">
            <w:pPr>
              <w:pStyle w:val="TableBody"/>
              <w:ind w:right="57"/>
              <w:jc w:val="right"/>
            </w:pPr>
            <w:r w:rsidRPr="001E0201">
              <w:t>2.2</w:t>
            </w:r>
          </w:p>
        </w:tc>
        <w:tc>
          <w:tcPr>
            <w:tcW w:w="2126" w:type="dxa"/>
            <w:tcBorders>
              <w:top w:val="nil"/>
              <w:bottom w:val="nil"/>
            </w:tcBorders>
            <w:shd w:val="clear" w:color="auto" w:fill="FFFFFF" w:themeFill="background1"/>
          </w:tcPr>
          <w:p w14:paraId="03B99CB6" w14:textId="77777777" w:rsidR="009E5D9A" w:rsidRPr="001E0201" w:rsidRDefault="009E5D9A" w:rsidP="0096367C">
            <w:pPr>
              <w:pStyle w:val="TableBody"/>
              <w:ind w:right="57"/>
              <w:jc w:val="right"/>
            </w:pPr>
            <w:r w:rsidRPr="001E0201">
              <w:t>2.2</w:t>
            </w:r>
          </w:p>
        </w:tc>
        <w:tc>
          <w:tcPr>
            <w:tcW w:w="2268" w:type="dxa"/>
            <w:tcBorders>
              <w:top w:val="nil"/>
              <w:bottom w:val="nil"/>
            </w:tcBorders>
            <w:shd w:val="clear" w:color="auto" w:fill="FFFFFF" w:themeFill="background1"/>
          </w:tcPr>
          <w:p w14:paraId="02BD96E9" w14:textId="77777777" w:rsidR="009E5D9A" w:rsidRPr="001E0201" w:rsidRDefault="009E5D9A" w:rsidP="0096367C">
            <w:pPr>
              <w:pStyle w:val="TableBody"/>
              <w:ind w:right="57"/>
              <w:jc w:val="right"/>
            </w:pPr>
            <w:r w:rsidRPr="001E0201">
              <w:t>3.1</w:t>
            </w:r>
          </w:p>
        </w:tc>
      </w:tr>
      <w:tr w:rsidR="009E5D9A" w:rsidRPr="00030C67" w14:paraId="387A8C3B" w14:textId="77777777" w:rsidTr="00AB6D01">
        <w:tc>
          <w:tcPr>
            <w:tcW w:w="2977" w:type="dxa"/>
            <w:tcBorders>
              <w:top w:val="nil"/>
              <w:bottom w:val="nil"/>
            </w:tcBorders>
            <w:shd w:val="clear" w:color="auto" w:fill="FFFFFF" w:themeFill="background1"/>
          </w:tcPr>
          <w:p w14:paraId="167BB6A7" w14:textId="77777777" w:rsidR="009E5D9A" w:rsidRPr="001E0201" w:rsidRDefault="009E5D9A" w:rsidP="00551ADF">
            <w:pPr>
              <w:pStyle w:val="TableBody"/>
            </w:pPr>
            <w:r w:rsidRPr="001E0201">
              <w:t>GDP per capita</w:t>
            </w:r>
          </w:p>
        </w:tc>
        <w:tc>
          <w:tcPr>
            <w:tcW w:w="1134" w:type="dxa"/>
            <w:tcBorders>
              <w:top w:val="nil"/>
              <w:bottom w:val="nil"/>
            </w:tcBorders>
            <w:shd w:val="clear" w:color="auto" w:fill="FFFFFF" w:themeFill="background1"/>
          </w:tcPr>
          <w:p w14:paraId="231AE6D5" w14:textId="77777777" w:rsidR="009E5D9A" w:rsidRPr="001E0201" w:rsidRDefault="009E5D9A" w:rsidP="0096367C">
            <w:pPr>
              <w:pStyle w:val="TableBody"/>
              <w:ind w:right="57"/>
              <w:jc w:val="right"/>
            </w:pPr>
            <w:r w:rsidRPr="001E0201">
              <w:t>3.1</w:t>
            </w:r>
          </w:p>
        </w:tc>
        <w:tc>
          <w:tcPr>
            <w:tcW w:w="1134" w:type="dxa"/>
            <w:tcBorders>
              <w:top w:val="nil"/>
              <w:bottom w:val="nil"/>
            </w:tcBorders>
            <w:shd w:val="clear" w:color="auto" w:fill="FFFFFF" w:themeFill="background1"/>
          </w:tcPr>
          <w:p w14:paraId="5A163BC4" w14:textId="77777777" w:rsidR="009E5D9A" w:rsidRPr="001E0201" w:rsidRDefault="009E5D9A" w:rsidP="0096367C">
            <w:pPr>
              <w:pStyle w:val="TableBody"/>
              <w:ind w:right="57"/>
              <w:jc w:val="right"/>
            </w:pPr>
            <w:r w:rsidRPr="001E0201">
              <w:t>1.8</w:t>
            </w:r>
          </w:p>
        </w:tc>
        <w:tc>
          <w:tcPr>
            <w:tcW w:w="2126" w:type="dxa"/>
            <w:tcBorders>
              <w:top w:val="nil"/>
              <w:bottom w:val="nil"/>
            </w:tcBorders>
            <w:shd w:val="clear" w:color="auto" w:fill="FFFFFF" w:themeFill="background1"/>
          </w:tcPr>
          <w:p w14:paraId="21FFA57F" w14:textId="77777777" w:rsidR="009E5D9A" w:rsidRPr="001E0201" w:rsidRDefault="009E5D9A" w:rsidP="0096367C">
            <w:pPr>
              <w:pStyle w:val="TableBody"/>
              <w:ind w:right="57"/>
              <w:jc w:val="right"/>
            </w:pPr>
            <w:r w:rsidRPr="001E0201">
              <w:t>1.1</w:t>
            </w:r>
          </w:p>
        </w:tc>
        <w:tc>
          <w:tcPr>
            <w:tcW w:w="2268" w:type="dxa"/>
            <w:tcBorders>
              <w:top w:val="nil"/>
              <w:bottom w:val="nil"/>
            </w:tcBorders>
            <w:shd w:val="clear" w:color="auto" w:fill="FFFFFF" w:themeFill="background1"/>
          </w:tcPr>
          <w:p w14:paraId="677CC410" w14:textId="77777777" w:rsidR="009E5D9A" w:rsidRPr="001E0201" w:rsidRDefault="009E5D9A" w:rsidP="0096367C">
            <w:pPr>
              <w:pStyle w:val="TableBody"/>
              <w:ind w:right="57"/>
              <w:jc w:val="right"/>
            </w:pPr>
            <w:r w:rsidRPr="001E0201">
              <w:t>1.7</w:t>
            </w:r>
          </w:p>
        </w:tc>
      </w:tr>
      <w:tr w:rsidR="009E5D9A" w:rsidRPr="00030C67" w14:paraId="0A1C162A" w14:textId="77777777" w:rsidTr="00AB6D01">
        <w:tc>
          <w:tcPr>
            <w:tcW w:w="2977" w:type="dxa"/>
            <w:tcBorders>
              <w:top w:val="nil"/>
              <w:bottom w:val="nil"/>
            </w:tcBorders>
            <w:shd w:val="clear" w:color="auto" w:fill="FFFFFF" w:themeFill="background1"/>
          </w:tcPr>
          <w:p w14:paraId="506274EC" w14:textId="77777777" w:rsidR="009E5D9A" w:rsidRPr="001E0201" w:rsidRDefault="009E5D9A" w:rsidP="00551ADF">
            <w:pPr>
              <w:pStyle w:val="TableBody"/>
            </w:pPr>
            <w:r w:rsidRPr="001E0201">
              <w:t>Hours worked</w:t>
            </w:r>
          </w:p>
        </w:tc>
        <w:tc>
          <w:tcPr>
            <w:tcW w:w="1134" w:type="dxa"/>
            <w:tcBorders>
              <w:top w:val="nil"/>
              <w:bottom w:val="nil"/>
            </w:tcBorders>
            <w:shd w:val="clear" w:color="auto" w:fill="FFFFFF" w:themeFill="background1"/>
          </w:tcPr>
          <w:p w14:paraId="6C2C5221" w14:textId="77777777" w:rsidR="009E5D9A" w:rsidRPr="001E0201" w:rsidRDefault="009E5D9A" w:rsidP="0096367C">
            <w:pPr>
              <w:pStyle w:val="TableBody"/>
              <w:ind w:right="57"/>
              <w:jc w:val="right"/>
            </w:pPr>
            <w:r w:rsidRPr="001E0201">
              <w:t>2.5</w:t>
            </w:r>
          </w:p>
        </w:tc>
        <w:tc>
          <w:tcPr>
            <w:tcW w:w="1134" w:type="dxa"/>
            <w:tcBorders>
              <w:top w:val="nil"/>
              <w:bottom w:val="nil"/>
            </w:tcBorders>
            <w:shd w:val="clear" w:color="auto" w:fill="FFFFFF" w:themeFill="background1"/>
          </w:tcPr>
          <w:p w14:paraId="7B57B85E" w14:textId="77777777" w:rsidR="009E5D9A" w:rsidRPr="001E0201" w:rsidRDefault="009E5D9A" w:rsidP="0096367C">
            <w:pPr>
              <w:pStyle w:val="TableBody"/>
              <w:ind w:right="57"/>
              <w:jc w:val="right"/>
            </w:pPr>
            <w:r w:rsidRPr="001E0201">
              <w:t>0.3</w:t>
            </w:r>
          </w:p>
        </w:tc>
        <w:tc>
          <w:tcPr>
            <w:tcW w:w="2126" w:type="dxa"/>
            <w:tcBorders>
              <w:top w:val="nil"/>
              <w:bottom w:val="nil"/>
            </w:tcBorders>
            <w:shd w:val="clear" w:color="auto" w:fill="FFFFFF" w:themeFill="background1"/>
          </w:tcPr>
          <w:p w14:paraId="6F48DC11" w14:textId="77777777" w:rsidR="009E5D9A" w:rsidRPr="001E0201" w:rsidRDefault="009E5D9A" w:rsidP="0096367C">
            <w:pPr>
              <w:pStyle w:val="TableBody"/>
              <w:ind w:right="57"/>
              <w:jc w:val="right"/>
            </w:pPr>
            <w:r w:rsidRPr="001E0201">
              <w:t>1.2</w:t>
            </w:r>
          </w:p>
        </w:tc>
        <w:tc>
          <w:tcPr>
            <w:tcW w:w="2268" w:type="dxa"/>
            <w:tcBorders>
              <w:top w:val="nil"/>
              <w:bottom w:val="nil"/>
            </w:tcBorders>
            <w:shd w:val="clear" w:color="auto" w:fill="FFFFFF" w:themeFill="background1"/>
          </w:tcPr>
          <w:p w14:paraId="592F63FF" w14:textId="77777777" w:rsidR="009E5D9A" w:rsidRPr="001E0201" w:rsidRDefault="009E5D9A" w:rsidP="0096367C">
            <w:pPr>
              <w:pStyle w:val="TableBody"/>
              <w:ind w:right="57"/>
              <w:jc w:val="right"/>
            </w:pPr>
            <w:r w:rsidRPr="001E0201">
              <w:t>1.6</w:t>
            </w:r>
          </w:p>
        </w:tc>
      </w:tr>
      <w:tr w:rsidR="009E5D9A" w:rsidRPr="00030C67" w14:paraId="483451A3" w14:textId="77777777" w:rsidTr="00AB6D01">
        <w:tc>
          <w:tcPr>
            <w:tcW w:w="2977" w:type="dxa"/>
            <w:tcBorders>
              <w:top w:val="nil"/>
              <w:bottom w:val="nil"/>
            </w:tcBorders>
            <w:shd w:val="clear" w:color="auto" w:fill="FFFFFF" w:themeFill="background1"/>
          </w:tcPr>
          <w:p w14:paraId="728B0BA4" w14:textId="77777777" w:rsidR="009E5D9A" w:rsidRPr="001E0201" w:rsidRDefault="009E5D9A" w:rsidP="00551ADF">
            <w:pPr>
              <w:pStyle w:val="TableBody"/>
              <w:rPr>
                <w:b/>
                <w:bCs/>
              </w:rPr>
            </w:pPr>
            <w:r w:rsidRPr="001E0201">
              <w:rPr>
                <w:b/>
                <w:bCs/>
              </w:rPr>
              <w:t>Labour Productivity</w:t>
            </w:r>
          </w:p>
        </w:tc>
        <w:tc>
          <w:tcPr>
            <w:tcW w:w="1134" w:type="dxa"/>
            <w:tcBorders>
              <w:top w:val="nil"/>
              <w:bottom w:val="nil"/>
            </w:tcBorders>
            <w:shd w:val="clear" w:color="auto" w:fill="FFFFFF" w:themeFill="background1"/>
          </w:tcPr>
          <w:p w14:paraId="5B4A903B" w14:textId="77777777" w:rsidR="009E5D9A" w:rsidRPr="001E0201" w:rsidRDefault="009E5D9A" w:rsidP="0096367C">
            <w:pPr>
              <w:pStyle w:val="TableBody"/>
              <w:ind w:right="57"/>
              <w:jc w:val="right"/>
              <w:rPr>
                <w:b/>
                <w:bCs/>
              </w:rPr>
            </w:pPr>
            <w:r w:rsidRPr="4E466971">
              <w:rPr>
                <w:b/>
                <w:bCs/>
              </w:rPr>
              <w:t>1.1</w:t>
            </w:r>
          </w:p>
        </w:tc>
        <w:tc>
          <w:tcPr>
            <w:tcW w:w="1134" w:type="dxa"/>
            <w:tcBorders>
              <w:top w:val="nil"/>
              <w:bottom w:val="nil"/>
            </w:tcBorders>
            <w:shd w:val="clear" w:color="auto" w:fill="FFFFFF" w:themeFill="background1"/>
          </w:tcPr>
          <w:p w14:paraId="568C18CD" w14:textId="77777777" w:rsidR="009E5D9A" w:rsidRPr="001E0201" w:rsidRDefault="009E5D9A" w:rsidP="0096367C">
            <w:pPr>
              <w:pStyle w:val="TableBody"/>
              <w:ind w:right="57"/>
              <w:jc w:val="right"/>
              <w:rPr>
                <w:b/>
                <w:bCs/>
              </w:rPr>
            </w:pPr>
            <w:r w:rsidRPr="4E466971">
              <w:rPr>
                <w:b/>
                <w:bCs/>
              </w:rPr>
              <w:t>1.9</w:t>
            </w:r>
          </w:p>
        </w:tc>
        <w:tc>
          <w:tcPr>
            <w:tcW w:w="2126" w:type="dxa"/>
            <w:tcBorders>
              <w:top w:val="nil"/>
              <w:bottom w:val="nil"/>
            </w:tcBorders>
            <w:shd w:val="clear" w:color="auto" w:fill="FFFFFF" w:themeFill="background1"/>
          </w:tcPr>
          <w:p w14:paraId="57A0437E" w14:textId="77777777" w:rsidR="009E5D9A" w:rsidRPr="001E0201" w:rsidRDefault="009E5D9A" w:rsidP="0096367C">
            <w:pPr>
              <w:pStyle w:val="TableBody"/>
              <w:ind w:right="57"/>
              <w:jc w:val="right"/>
              <w:rPr>
                <w:b/>
                <w:bCs/>
              </w:rPr>
            </w:pPr>
            <w:r w:rsidRPr="4E466971">
              <w:rPr>
                <w:b/>
                <w:bCs/>
              </w:rPr>
              <w:t>1.0</w:t>
            </w:r>
          </w:p>
        </w:tc>
        <w:tc>
          <w:tcPr>
            <w:tcW w:w="2268" w:type="dxa"/>
            <w:tcBorders>
              <w:top w:val="nil"/>
              <w:bottom w:val="nil"/>
            </w:tcBorders>
            <w:shd w:val="clear" w:color="auto" w:fill="FFFFFF" w:themeFill="background1"/>
          </w:tcPr>
          <w:p w14:paraId="3A4A1C81" w14:textId="77777777" w:rsidR="009E5D9A" w:rsidRPr="001E0201" w:rsidRDefault="009E5D9A" w:rsidP="0096367C">
            <w:pPr>
              <w:pStyle w:val="TableBody"/>
              <w:ind w:right="57"/>
              <w:jc w:val="right"/>
              <w:rPr>
                <w:b/>
                <w:bCs/>
              </w:rPr>
            </w:pPr>
            <w:r w:rsidRPr="4E466971">
              <w:rPr>
                <w:b/>
                <w:bCs/>
              </w:rPr>
              <w:t>1.5</w:t>
            </w:r>
          </w:p>
        </w:tc>
      </w:tr>
      <w:tr w:rsidR="009E5D9A" w:rsidRPr="00030C67" w14:paraId="25575123" w14:textId="77777777" w:rsidTr="00AB6D01">
        <w:tc>
          <w:tcPr>
            <w:tcW w:w="2977" w:type="dxa"/>
            <w:tcBorders>
              <w:top w:val="nil"/>
              <w:bottom w:val="nil"/>
            </w:tcBorders>
            <w:shd w:val="clear" w:color="auto" w:fill="FFFFFF" w:themeFill="background1"/>
          </w:tcPr>
          <w:p w14:paraId="1A2CACB7" w14:textId="77777777" w:rsidR="009E5D9A" w:rsidRPr="001E0201" w:rsidRDefault="009E5D9A" w:rsidP="00551ADF">
            <w:pPr>
              <w:pStyle w:val="TableBody"/>
            </w:pPr>
            <w:r w:rsidRPr="001E0201">
              <w:t>Terms of trade</w:t>
            </w:r>
          </w:p>
        </w:tc>
        <w:tc>
          <w:tcPr>
            <w:tcW w:w="1134" w:type="dxa"/>
            <w:tcBorders>
              <w:top w:val="nil"/>
              <w:bottom w:val="nil"/>
            </w:tcBorders>
            <w:shd w:val="clear" w:color="auto" w:fill="FFFFFF" w:themeFill="background1"/>
          </w:tcPr>
          <w:p w14:paraId="3EEA9B6F" w14:textId="77777777" w:rsidR="009E5D9A" w:rsidRPr="001E0201" w:rsidRDefault="009E5D9A" w:rsidP="0096367C">
            <w:pPr>
              <w:pStyle w:val="TableBody"/>
              <w:ind w:right="57"/>
              <w:jc w:val="right"/>
            </w:pPr>
            <w:r w:rsidRPr="001E0201">
              <w:t>11.8</w:t>
            </w:r>
          </w:p>
        </w:tc>
        <w:tc>
          <w:tcPr>
            <w:tcW w:w="1134" w:type="dxa"/>
            <w:tcBorders>
              <w:top w:val="nil"/>
              <w:bottom w:val="nil"/>
            </w:tcBorders>
            <w:shd w:val="clear" w:color="auto" w:fill="FFFFFF" w:themeFill="background1"/>
          </w:tcPr>
          <w:p w14:paraId="4959B895" w14:textId="77777777" w:rsidR="009E5D9A" w:rsidRPr="001E0201" w:rsidRDefault="009E5D9A" w:rsidP="0096367C">
            <w:pPr>
              <w:pStyle w:val="TableBody"/>
              <w:ind w:right="57"/>
              <w:jc w:val="right"/>
            </w:pPr>
            <w:r w:rsidRPr="001E0201">
              <w:t>10.2</w:t>
            </w:r>
          </w:p>
        </w:tc>
        <w:tc>
          <w:tcPr>
            <w:tcW w:w="2126" w:type="dxa"/>
            <w:tcBorders>
              <w:top w:val="nil"/>
              <w:bottom w:val="nil"/>
            </w:tcBorders>
            <w:shd w:val="clear" w:color="auto" w:fill="FFFFFF" w:themeFill="background1"/>
          </w:tcPr>
          <w:p w14:paraId="120AFC01" w14:textId="77777777" w:rsidR="009E5D9A" w:rsidRPr="001E0201" w:rsidRDefault="009E5D9A" w:rsidP="0096367C">
            <w:pPr>
              <w:pStyle w:val="TableBody"/>
              <w:ind w:right="57"/>
              <w:jc w:val="right"/>
            </w:pPr>
            <w:r w:rsidRPr="001E0201">
              <w:t>6.1</w:t>
            </w:r>
          </w:p>
        </w:tc>
        <w:tc>
          <w:tcPr>
            <w:tcW w:w="2268" w:type="dxa"/>
            <w:tcBorders>
              <w:top w:val="nil"/>
              <w:bottom w:val="nil"/>
            </w:tcBorders>
            <w:shd w:val="clear" w:color="auto" w:fill="FFFFFF" w:themeFill="background1"/>
          </w:tcPr>
          <w:p w14:paraId="4A727DF7" w14:textId="77777777" w:rsidR="009E5D9A" w:rsidRPr="001E0201" w:rsidRDefault="009E5D9A" w:rsidP="0096367C">
            <w:pPr>
              <w:pStyle w:val="TableBody"/>
              <w:ind w:right="57"/>
              <w:jc w:val="right"/>
            </w:pPr>
            <w:r w:rsidRPr="001E0201">
              <w:t>3.2</w:t>
            </w:r>
          </w:p>
        </w:tc>
      </w:tr>
      <w:tr w:rsidR="009E5D9A" w:rsidRPr="00030C67" w14:paraId="06F76249" w14:textId="77777777" w:rsidTr="00AB6D01">
        <w:tc>
          <w:tcPr>
            <w:tcW w:w="2977" w:type="dxa"/>
            <w:tcBorders>
              <w:top w:val="nil"/>
              <w:bottom w:val="nil"/>
            </w:tcBorders>
            <w:shd w:val="clear" w:color="auto" w:fill="auto"/>
          </w:tcPr>
          <w:p w14:paraId="21D06E7A" w14:textId="77777777" w:rsidR="009E5D9A" w:rsidRPr="001E0201" w:rsidRDefault="009E5D9A" w:rsidP="00551ADF">
            <w:pPr>
              <w:pStyle w:val="TableBody"/>
            </w:pPr>
            <w:r w:rsidRPr="001E0201">
              <w:t>Gross national income per capita</w:t>
            </w:r>
          </w:p>
        </w:tc>
        <w:tc>
          <w:tcPr>
            <w:tcW w:w="1134" w:type="dxa"/>
            <w:tcBorders>
              <w:top w:val="nil"/>
              <w:bottom w:val="nil"/>
            </w:tcBorders>
            <w:shd w:val="clear" w:color="auto" w:fill="auto"/>
          </w:tcPr>
          <w:p w14:paraId="542B1217" w14:textId="77777777" w:rsidR="009E5D9A" w:rsidRPr="001E0201" w:rsidRDefault="009E5D9A" w:rsidP="0096367C">
            <w:pPr>
              <w:pStyle w:val="TableBody"/>
              <w:ind w:right="57"/>
              <w:jc w:val="right"/>
            </w:pPr>
            <w:r w:rsidRPr="001E0201">
              <w:t>3.0</w:t>
            </w:r>
          </w:p>
        </w:tc>
        <w:tc>
          <w:tcPr>
            <w:tcW w:w="1134" w:type="dxa"/>
            <w:tcBorders>
              <w:top w:val="nil"/>
              <w:bottom w:val="nil"/>
            </w:tcBorders>
            <w:shd w:val="clear" w:color="auto" w:fill="auto"/>
          </w:tcPr>
          <w:p w14:paraId="1361D90B" w14:textId="77777777" w:rsidR="009E5D9A" w:rsidRPr="001E0201" w:rsidRDefault="009E5D9A" w:rsidP="0096367C">
            <w:pPr>
              <w:pStyle w:val="TableBody"/>
              <w:ind w:right="57"/>
              <w:jc w:val="right"/>
            </w:pPr>
            <w:r w:rsidRPr="001E0201">
              <w:t>5.2</w:t>
            </w:r>
          </w:p>
        </w:tc>
        <w:tc>
          <w:tcPr>
            <w:tcW w:w="2126" w:type="dxa"/>
            <w:tcBorders>
              <w:top w:val="nil"/>
              <w:bottom w:val="nil"/>
            </w:tcBorders>
            <w:shd w:val="clear" w:color="auto" w:fill="auto"/>
          </w:tcPr>
          <w:p w14:paraId="2BD048EC" w14:textId="77777777" w:rsidR="009E5D9A" w:rsidRPr="001E0201" w:rsidRDefault="009E5D9A" w:rsidP="0096367C">
            <w:pPr>
              <w:pStyle w:val="TableBody"/>
              <w:ind w:right="57"/>
              <w:jc w:val="right"/>
            </w:pPr>
            <w:r w:rsidRPr="001E0201">
              <w:t>2.2</w:t>
            </w:r>
          </w:p>
        </w:tc>
        <w:tc>
          <w:tcPr>
            <w:tcW w:w="2268" w:type="dxa"/>
            <w:tcBorders>
              <w:top w:val="nil"/>
              <w:bottom w:val="nil"/>
            </w:tcBorders>
            <w:shd w:val="clear" w:color="auto" w:fill="auto"/>
          </w:tcPr>
          <w:p w14:paraId="708A5BF9" w14:textId="77777777" w:rsidR="009E5D9A" w:rsidRPr="001E0201" w:rsidRDefault="009E5D9A" w:rsidP="0096367C">
            <w:pPr>
              <w:pStyle w:val="TableBody"/>
              <w:ind w:right="57"/>
              <w:jc w:val="right"/>
            </w:pPr>
            <w:r w:rsidRPr="001E0201">
              <w:t>2.3</w:t>
            </w:r>
          </w:p>
        </w:tc>
      </w:tr>
      <w:tr w:rsidR="009E5D9A" w:rsidRPr="00030C67" w14:paraId="1B247AF9" w14:textId="77777777" w:rsidTr="00AB6D01">
        <w:tc>
          <w:tcPr>
            <w:tcW w:w="2977" w:type="dxa"/>
            <w:tcBorders>
              <w:top w:val="nil"/>
              <w:bottom w:val="nil"/>
            </w:tcBorders>
            <w:shd w:val="clear" w:color="auto" w:fill="auto"/>
          </w:tcPr>
          <w:p w14:paraId="5B8243B0" w14:textId="77777777" w:rsidR="009E5D9A" w:rsidRPr="001E0201" w:rsidRDefault="009E5D9A" w:rsidP="00551ADF">
            <w:pPr>
              <w:pStyle w:val="TableBody"/>
            </w:pPr>
            <w:r w:rsidRPr="001E0201">
              <w:t>Gross domestic income per capita</w:t>
            </w:r>
          </w:p>
        </w:tc>
        <w:tc>
          <w:tcPr>
            <w:tcW w:w="1134" w:type="dxa"/>
            <w:tcBorders>
              <w:top w:val="nil"/>
              <w:bottom w:val="nil"/>
            </w:tcBorders>
            <w:shd w:val="clear" w:color="auto" w:fill="auto"/>
          </w:tcPr>
          <w:p w14:paraId="2F6BA77B" w14:textId="77777777" w:rsidR="009E5D9A" w:rsidRPr="001E0201" w:rsidRDefault="009E5D9A" w:rsidP="0096367C">
            <w:pPr>
              <w:pStyle w:val="TableBody"/>
              <w:ind w:right="57"/>
              <w:jc w:val="right"/>
            </w:pPr>
            <w:r w:rsidRPr="001E0201">
              <w:t>5.7</w:t>
            </w:r>
          </w:p>
        </w:tc>
        <w:tc>
          <w:tcPr>
            <w:tcW w:w="1134" w:type="dxa"/>
            <w:tcBorders>
              <w:top w:val="nil"/>
              <w:bottom w:val="nil"/>
            </w:tcBorders>
            <w:shd w:val="clear" w:color="auto" w:fill="auto"/>
          </w:tcPr>
          <w:p w14:paraId="5004ECC7" w14:textId="77777777" w:rsidR="009E5D9A" w:rsidRPr="001E0201" w:rsidRDefault="009E5D9A" w:rsidP="0096367C">
            <w:pPr>
              <w:pStyle w:val="TableBody"/>
              <w:ind w:right="57"/>
              <w:jc w:val="right"/>
            </w:pPr>
            <w:r w:rsidRPr="001E0201">
              <w:t>4.0</w:t>
            </w:r>
          </w:p>
        </w:tc>
        <w:tc>
          <w:tcPr>
            <w:tcW w:w="2126" w:type="dxa"/>
            <w:tcBorders>
              <w:top w:val="nil"/>
              <w:bottom w:val="nil"/>
            </w:tcBorders>
            <w:shd w:val="clear" w:color="auto" w:fill="auto"/>
          </w:tcPr>
          <w:p w14:paraId="67FC78FD" w14:textId="77777777" w:rsidR="009E5D9A" w:rsidRPr="001E0201" w:rsidRDefault="009E5D9A" w:rsidP="0096367C">
            <w:pPr>
              <w:pStyle w:val="TableBody"/>
              <w:ind w:right="57"/>
              <w:jc w:val="right"/>
            </w:pPr>
            <w:r w:rsidRPr="001E0201">
              <w:t>2.4</w:t>
            </w:r>
          </w:p>
        </w:tc>
        <w:tc>
          <w:tcPr>
            <w:tcW w:w="2268" w:type="dxa"/>
            <w:tcBorders>
              <w:top w:val="nil"/>
              <w:bottom w:val="nil"/>
            </w:tcBorders>
            <w:shd w:val="clear" w:color="auto" w:fill="auto"/>
          </w:tcPr>
          <w:p w14:paraId="5BBA74EC" w14:textId="77777777" w:rsidR="009E5D9A" w:rsidRPr="001E0201" w:rsidRDefault="009E5D9A" w:rsidP="0096367C">
            <w:pPr>
              <w:pStyle w:val="TableBody"/>
              <w:ind w:right="57"/>
              <w:jc w:val="right"/>
            </w:pPr>
            <w:r w:rsidRPr="001E0201">
              <w:t>2.3</w:t>
            </w:r>
          </w:p>
        </w:tc>
      </w:tr>
      <w:tr w:rsidR="009E5D9A" w:rsidRPr="00030C67" w14:paraId="2BE84A7B" w14:textId="77777777" w:rsidTr="00AB6D01">
        <w:tc>
          <w:tcPr>
            <w:tcW w:w="9639" w:type="dxa"/>
            <w:gridSpan w:val="5"/>
            <w:tcBorders>
              <w:top w:val="nil"/>
              <w:bottom w:val="nil"/>
            </w:tcBorders>
            <w:shd w:val="clear" w:color="auto" w:fill="E0F1F7" w:themeFill="text2" w:themeFillTint="33"/>
          </w:tcPr>
          <w:p w14:paraId="618E51E3" w14:textId="77777777" w:rsidR="009E5D9A" w:rsidRPr="001E0201" w:rsidRDefault="009E5D9A">
            <w:pPr>
              <w:pStyle w:val="TableHeading"/>
              <w:rPr>
                <w:rFonts w:ascii="Arial (Body)" w:hAnsi="Arial (Body)"/>
                <w:color w:val="000000"/>
              </w:rPr>
            </w:pPr>
            <w:r w:rsidRPr="001E0201">
              <w:t>Market sector</w:t>
            </w:r>
          </w:p>
        </w:tc>
      </w:tr>
      <w:tr w:rsidR="009E5D9A" w:rsidRPr="00030C67" w14:paraId="3053812A" w14:textId="77777777" w:rsidTr="00AB6D01">
        <w:tc>
          <w:tcPr>
            <w:tcW w:w="2977" w:type="dxa"/>
            <w:tcBorders>
              <w:top w:val="nil"/>
              <w:bottom w:val="nil"/>
            </w:tcBorders>
            <w:shd w:val="clear" w:color="auto" w:fill="auto"/>
          </w:tcPr>
          <w:p w14:paraId="097E226F" w14:textId="77777777" w:rsidR="009E5D9A" w:rsidRPr="001E0201" w:rsidRDefault="009E5D9A" w:rsidP="00551ADF">
            <w:pPr>
              <w:pStyle w:val="TableBody"/>
            </w:pPr>
            <w:r w:rsidRPr="001E0201">
              <w:t>Output (GVA)</w:t>
            </w:r>
          </w:p>
        </w:tc>
        <w:tc>
          <w:tcPr>
            <w:tcW w:w="1134" w:type="dxa"/>
            <w:tcBorders>
              <w:top w:val="nil"/>
              <w:bottom w:val="nil"/>
            </w:tcBorders>
            <w:shd w:val="clear" w:color="auto" w:fill="auto"/>
          </w:tcPr>
          <w:p w14:paraId="46FBB652" w14:textId="77777777" w:rsidR="009E5D9A" w:rsidRPr="001E0201" w:rsidRDefault="009E5D9A" w:rsidP="0096367C">
            <w:pPr>
              <w:pStyle w:val="TableBody"/>
              <w:ind w:right="57"/>
              <w:jc w:val="right"/>
            </w:pPr>
            <w:r w:rsidRPr="001E0201">
              <w:t>4.6</w:t>
            </w:r>
          </w:p>
        </w:tc>
        <w:tc>
          <w:tcPr>
            <w:tcW w:w="1134" w:type="dxa"/>
            <w:tcBorders>
              <w:top w:val="nil"/>
              <w:bottom w:val="nil"/>
            </w:tcBorders>
            <w:shd w:val="clear" w:color="auto" w:fill="auto"/>
          </w:tcPr>
          <w:p w14:paraId="418E31E5" w14:textId="77777777" w:rsidR="009E5D9A" w:rsidRPr="001E0201" w:rsidRDefault="009E5D9A" w:rsidP="0096367C">
            <w:pPr>
              <w:pStyle w:val="TableBody"/>
              <w:ind w:right="57"/>
              <w:jc w:val="right"/>
            </w:pPr>
            <w:r w:rsidRPr="001E0201">
              <w:t>1.4</w:t>
            </w:r>
          </w:p>
        </w:tc>
        <w:tc>
          <w:tcPr>
            <w:tcW w:w="2126" w:type="dxa"/>
            <w:tcBorders>
              <w:top w:val="nil"/>
              <w:bottom w:val="nil"/>
            </w:tcBorders>
            <w:shd w:val="clear" w:color="auto" w:fill="auto"/>
          </w:tcPr>
          <w:p w14:paraId="071CEA53" w14:textId="77777777" w:rsidR="009E5D9A" w:rsidRPr="001E0201" w:rsidRDefault="009E5D9A" w:rsidP="0096367C">
            <w:pPr>
              <w:pStyle w:val="TableBody"/>
              <w:ind w:right="57"/>
              <w:jc w:val="right"/>
            </w:pPr>
            <w:r w:rsidRPr="001E0201">
              <w:t>2.0</w:t>
            </w:r>
          </w:p>
        </w:tc>
        <w:tc>
          <w:tcPr>
            <w:tcW w:w="2268" w:type="dxa"/>
            <w:tcBorders>
              <w:top w:val="nil"/>
              <w:bottom w:val="nil"/>
            </w:tcBorders>
            <w:shd w:val="clear" w:color="auto" w:fill="auto"/>
          </w:tcPr>
          <w:p w14:paraId="7B56143E" w14:textId="77777777" w:rsidR="009E5D9A" w:rsidRPr="001E0201" w:rsidRDefault="009E5D9A" w:rsidP="0096367C">
            <w:pPr>
              <w:pStyle w:val="TableBody"/>
              <w:ind w:right="57"/>
              <w:jc w:val="right"/>
            </w:pPr>
            <w:r w:rsidRPr="001E0201">
              <w:t>3.1</w:t>
            </w:r>
          </w:p>
        </w:tc>
      </w:tr>
      <w:tr w:rsidR="009E5D9A" w:rsidRPr="00030C67" w14:paraId="31B5C244" w14:textId="77777777" w:rsidTr="00AB6D01">
        <w:tc>
          <w:tcPr>
            <w:tcW w:w="2977" w:type="dxa"/>
            <w:tcBorders>
              <w:top w:val="nil"/>
              <w:bottom w:val="nil"/>
            </w:tcBorders>
            <w:shd w:val="clear" w:color="auto" w:fill="auto"/>
          </w:tcPr>
          <w:p w14:paraId="0E8EFECE" w14:textId="77777777" w:rsidR="009E5D9A" w:rsidRPr="001E0201" w:rsidRDefault="009E5D9A" w:rsidP="00551ADF">
            <w:pPr>
              <w:pStyle w:val="TableBody"/>
            </w:pPr>
            <w:r w:rsidRPr="001E0201">
              <w:t>Inputs</w:t>
            </w:r>
          </w:p>
        </w:tc>
        <w:tc>
          <w:tcPr>
            <w:tcW w:w="1134" w:type="dxa"/>
            <w:tcBorders>
              <w:top w:val="nil"/>
              <w:bottom w:val="nil"/>
            </w:tcBorders>
            <w:shd w:val="clear" w:color="auto" w:fill="auto"/>
          </w:tcPr>
          <w:p w14:paraId="1ED1D072" w14:textId="77777777" w:rsidR="009E5D9A" w:rsidRPr="001E0201" w:rsidRDefault="009E5D9A" w:rsidP="0096367C">
            <w:pPr>
              <w:pStyle w:val="TableBody"/>
              <w:ind w:right="57"/>
              <w:jc w:val="right"/>
            </w:pPr>
            <w:r w:rsidRPr="001E0201">
              <w:t>2.3</w:t>
            </w:r>
          </w:p>
        </w:tc>
        <w:tc>
          <w:tcPr>
            <w:tcW w:w="1134" w:type="dxa"/>
            <w:tcBorders>
              <w:top w:val="nil"/>
              <w:bottom w:val="nil"/>
            </w:tcBorders>
            <w:shd w:val="clear" w:color="auto" w:fill="auto"/>
          </w:tcPr>
          <w:p w14:paraId="72367450" w14:textId="77777777" w:rsidR="009E5D9A" w:rsidRPr="001E0201" w:rsidRDefault="009E5D9A" w:rsidP="0096367C">
            <w:pPr>
              <w:pStyle w:val="TableBody"/>
              <w:ind w:right="57"/>
              <w:jc w:val="right"/>
            </w:pPr>
            <w:r w:rsidRPr="001E0201">
              <w:t>0.4</w:t>
            </w:r>
          </w:p>
        </w:tc>
        <w:tc>
          <w:tcPr>
            <w:tcW w:w="2126" w:type="dxa"/>
            <w:tcBorders>
              <w:top w:val="nil"/>
              <w:bottom w:val="nil"/>
            </w:tcBorders>
            <w:shd w:val="clear" w:color="auto" w:fill="auto"/>
          </w:tcPr>
          <w:p w14:paraId="2E19052B" w14:textId="77777777" w:rsidR="009E5D9A" w:rsidRPr="001E0201" w:rsidRDefault="009E5D9A" w:rsidP="0096367C">
            <w:pPr>
              <w:pStyle w:val="TableBody"/>
              <w:ind w:right="57"/>
              <w:jc w:val="right"/>
            </w:pPr>
            <w:r w:rsidRPr="001E0201">
              <w:t>1.2</w:t>
            </w:r>
          </w:p>
        </w:tc>
        <w:tc>
          <w:tcPr>
            <w:tcW w:w="2268" w:type="dxa"/>
            <w:tcBorders>
              <w:top w:val="nil"/>
              <w:bottom w:val="nil"/>
            </w:tcBorders>
            <w:shd w:val="clear" w:color="auto" w:fill="auto"/>
          </w:tcPr>
          <w:p w14:paraId="10E80FE0" w14:textId="77777777" w:rsidR="009E5D9A" w:rsidRPr="001E0201" w:rsidRDefault="009E5D9A" w:rsidP="0096367C">
            <w:pPr>
              <w:pStyle w:val="TableBody"/>
              <w:ind w:right="57"/>
              <w:jc w:val="right"/>
            </w:pPr>
            <w:r w:rsidRPr="001E0201">
              <w:t>2.3</w:t>
            </w:r>
          </w:p>
        </w:tc>
      </w:tr>
      <w:tr w:rsidR="009E5D9A" w:rsidRPr="00030C67" w14:paraId="3C797201" w14:textId="77777777" w:rsidTr="00AB6D01">
        <w:tc>
          <w:tcPr>
            <w:tcW w:w="2977" w:type="dxa"/>
            <w:tcBorders>
              <w:top w:val="nil"/>
              <w:bottom w:val="nil"/>
            </w:tcBorders>
            <w:shd w:val="clear" w:color="auto" w:fill="auto"/>
          </w:tcPr>
          <w:p w14:paraId="24EA85E5" w14:textId="77777777" w:rsidR="009E5D9A" w:rsidRPr="001E0201" w:rsidRDefault="009E5D9A" w:rsidP="00551ADF">
            <w:pPr>
              <w:pStyle w:val="TableBody"/>
            </w:pPr>
            <w:r w:rsidRPr="001E0201">
              <w:t>Hours worked</w:t>
            </w:r>
          </w:p>
        </w:tc>
        <w:tc>
          <w:tcPr>
            <w:tcW w:w="1134" w:type="dxa"/>
            <w:tcBorders>
              <w:top w:val="nil"/>
              <w:bottom w:val="nil"/>
            </w:tcBorders>
            <w:shd w:val="clear" w:color="auto" w:fill="auto"/>
          </w:tcPr>
          <w:p w14:paraId="541F57D7" w14:textId="77777777" w:rsidR="009E5D9A" w:rsidRPr="001E0201" w:rsidRDefault="009E5D9A" w:rsidP="0096367C">
            <w:pPr>
              <w:pStyle w:val="TableBody"/>
              <w:ind w:right="57"/>
              <w:jc w:val="right"/>
            </w:pPr>
            <w:r w:rsidRPr="001E0201">
              <w:t>3.1</w:t>
            </w:r>
          </w:p>
        </w:tc>
        <w:tc>
          <w:tcPr>
            <w:tcW w:w="1134" w:type="dxa"/>
            <w:tcBorders>
              <w:top w:val="nil"/>
              <w:bottom w:val="nil"/>
            </w:tcBorders>
            <w:shd w:val="clear" w:color="auto" w:fill="auto"/>
          </w:tcPr>
          <w:p w14:paraId="5179AF0B" w14:textId="77777777" w:rsidR="009E5D9A" w:rsidRPr="001E0201" w:rsidRDefault="009E5D9A" w:rsidP="0096367C">
            <w:pPr>
              <w:pStyle w:val="TableBody"/>
              <w:ind w:right="57"/>
              <w:jc w:val="right"/>
            </w:pPr>
            <w:r w:rsidRPr="001E0201">
              <w:t>-0.4</w:t>
            </w:r>
          </w:p>
        </w:tc>
        <w:tc>
          <w:tcPr>
            <w:tcW w:w="2126" w:type="dxa"/>
            <w:tcBorders>
              <w:top w:val="nil"/>
              <w:bottom w:val="nil"/>
            </w:tcBorders>
            <w:shd w:val="clear" w:color="auto" w:fill="auto"/>
          </w:tcPr>
          <w:p w14:paraId="443D0DF7" w14:textId="77777777" w:rsidR="009E5D9A" w:rsidRPr="001E0201" w:rsidRDefault="009E5D9A" w:rsidP="0096367C">
            <w:pPr>
              <w:pStyle w:val="TableBody"/>
              <w:ind w:right="57"/>
              <w:jc w:val="right"/>
            </w:pPr>
            <w:r w:rsidRPr="001E0201">
              <w:t>0.9</w:t>
            </w:r>
          </w:p>
        </w:tc>
        <w:tc>
          <w:tcPr>
            <w:tcW w:w="2268" w:type="dxa"/>
            <w:tcBorders>
              <w:top w:val="nil"/>
              <w:bottom w:val="nil"/>
            </w:tcBorders>
            <w:shd w:val="clear" w:color="auto" w:fill="auto"/>
          </w:tcPr>
          <w:p w14:paraId="754D95D1" w14:textId="77777777" w:rsidR="009E5D9A" w:rsidRPr="001E0201" w:rsidRDefault="009E5D9A" w:rsidP="0096367C">
            <w:pPr>
              <w:pStyle w:val="TableBody"/>
              <w:ind w:right="57"/>
              <w:jc w:val="right"/>
            </w:pPr>
            <w:r w:rsidRPr="001E0201">
              <w:t>1.2</w:t>
            </w:r>
          </w:p>
        </w:tc>
      </w:tr>
      <w:tr w:rsidR="009E5D9A" w:rsidRPr="00030C67" w14:paraId="2727D427" w14:textId="77777777" w:rsidTr="00AB6D01">
        <w:tc>
          <w:tcPr>
            <w:tcW w:w="2977" w:type="dxa"/>
            <w:tcBorders>
              <w:top w:val="nil"/>
              <w:bottom w:val="nil"/>
            </w:tcBorders>
            <w:shd w:val="clear" w:color="auto" w:fill="auto"/>
          </w:tcPr>
          <w:p w14:paraId="1A176C9A" w14:textId="77777777" w:rsidR="009E5D9A" w:rsidRPr="001E0201" w:rsidRDefault="009E5D9A" w:rsidP="00551ADF">
            <w:pPr>
              <w:pStyle w:val="TableBody"/>
            </w:pPr>
            <w:r w:rsidRPr="001E0201">
              <w:t>Capital services</w:t>
            </w:r>
          </w:p>
        </w:tc>
        <w:tc>
          <w:tcPr>
            <w:tcW w:w="1134" w:type="dxa"/>
            <w:tcBorders>
              <w:top w:val="nil"/>
              <w:bottom w:val="nil"/>
            </w:tcBorders>
            <w:shd w:val="clear" w:color="auto" w:fill="auto"/>
          </w:tcPr>
          <w:p w14:paraId="0FAE1A6D" w14:textId="77777777" w:rsidR="009E5D9A" w:rsidRPr="001E0201" w:rsidRDefault="009E5D9A" w:rsidP="0096367C">
            <w:pPr>
              <w:pStyle w:val="TableBody"/>
              <w:ind w:right="57"/>
              <w:jc w:val="right"/>
            </w:pPr>
            <w:r w:rsidRPr="001E0201">
              <w:t>1.5</w:t>
            </w:r>
          </w:p>
        </w:tc>
        <w:tc>
          <w:tcPr>
            <w:tcW w:w="1134" w:type="dxa"/>
            <w:tcBorders>
              <w:top w:val="nil"/>
              <w:bottom w:val="nil"/>
            </w:tcBorders>
            <w:shd w:val="clear" w:color="auto" w:fill="auto"/>
          </w:tcPr>
          <w:p w14:paraId="25389035" w14:textId="77777777" w:rsidR="009E5D9A" w:rsidRPr="001E0201" w:rsidRDefault="009E5D9A" w:rsidP="0096367C">
            <w:pPr>
              <w:pStyle w:val="TableBody"/>
              <w:ind w:right="57"/>
              <w:jc w:val="right"/>
            </w:pPr>
            <w:r w:rsidRPr="001E0201">
              <w:t>1.4</w:t>
            </w:r>
          </w:p>
        </w:tc>
        <w:tc>
          <w:tcPr>
            <w:tcW w:w="2126" w:type="dxa"/>
            <w:tcBorders>
              <w:top w:val="nil"/>
              <w:bottom w:val="nil"/>
            </w:tcBorders>
            <w:shd w:val="clear" w:color="auto" w:fill="auto"/>
          </w:tcPr>
          <w:p w14:paraId="0600F51C" w14:textId="77777777" w:rsidR="009E5D9A" w:rsidRPr="001E0201" w:rsidRDefault="009E5D9A" w:rsidP="0096367C">
            <w:pPr>
              <w:pStyle w:val="TableBody"/>
              <w:ind w:right="57"/>
              <w:jc w:val="right"/>
            </w:pPr>
            <w:r w:rsidRPr="001E0201">
              <w:t>1.5</w:t>
            </w:r>
          </w:p>
        </w:tc>
        <w:tc>
          <w:tcPr>
            <w:tcW w:w="2268" w:type="dxa"/>
            <w:tcBorders>
              <w:top w:val="nil"/>
              <w:bottom w:val="nil"/>
            </w:tcBorders>
            <w:shd w:val="clear" w:color="auto" w:fill="auto"/>
          </w:tcPr>
          <w:p w14:paraId="6DC7DAF5" w14:textId="77777777" w:rsidR="009E5D9A" w:rsidRPr="001E0201" w:rsidRDefault="009E5D9A" w:rsidP="0096367C">
            <w:pPr>
              <w:pStyle w:val="TableBody"/>
              <w:ind w:right="57"/>
              <w:jc w:val="right"/>
            </w:pPr>
            <w:r w:rsidRPr="001E0201">
              <w:t>3.9</w:t>
            </w:r>
          </w:p>
        </w:tc>
      </w:tr>
      <w:tr w:rsidR="009E5D9A" w:rsidRPr="00030C67" w14:paraId="47C278D5" w14:textId="77777777" w:rsidTr="00F63871">
        <w:tc>
          <w:tcPr>
            <w:tcW w:w="2977" w:type="dxa"/>
            <w:tcBorders>
              <w:top w:val="nil"/>
              <w:bottom w:val="nil"/>
            </w:tcBorders>
            <w:shd w:val="clear" w:color="auto" w:fill="auto"/>
          </w:tcPr>
          <w:p w14:paraId="3E02AC6B" w14:textId="77777777" w:rsidR="009E5D9A" w:rsidRPr="001E0201" w:rsidRDefault="009E5D9A" w:rsidP="00551ADF">
            <w:pPr>
              <w:pStyle w:val="TableBody"/>
              <w:rPr>
                <w:b/>
                <w:bCs/>
              </w:rPr>
            </w:pPr>
            <w:r w:rsidRPr="001E0201">
              <w:rPr>
                <w:b/>
                <w:bCs/>
              </w:rPr>
              <w:t>Labour productivity</w:t>
            </w:r>
          </w:p>
        </w:tc>
        <w:tc>
          <w:tcPr>
            <w:tcW w:w="1134" w:type="dxa"/>
            <w:tcBorders>
              <w:top w:val="nil"/>
              <w:bottom w:val="nil"/>
            </w:tcBorders>
            <w:shd w:val="clear" w:color="auto" w:fill="auto"/>
          </w:tcPr>
          <w:p w14:paraId="079D4CF5" w14:textId="77777777" w:rsidR="009E5D9A" w:rsidRPr="001E0201" w:rsidRDefault="009E5D9A" w:rsidP="0096367C">
            <w:pPr>
              <w:pStyle w:val="TableBody"/>
              <w:ind w:right="57"/>
              <w:jc w:val="right"/>
              <w:rPr>
                <w:b/>
                <w:bCs/>
              </w:rPr>
            </w:pPr>
            <w:r w:rsidRPr="4E466971">
              <w:rPr>
                <w:b/>
                <w:bCs/>
              </w:rPr>
              <w:t>1.5</w:t>
            </w:r>
          </w:p>
        </w:tc>
        <w:tc>
          <w:tcPr>
            <w:tcW w:w="1134" w:type="dxa"/>
            <w:tcBorders>
              <w:top w:val="nil"/>
              <w:bottom w:val="nil"/>
            </w:tcBorders>
            <w:shd w:val="clear" w:color="auto" w:fill="auto"/>
          </w:tcPr>
          <w:p w14:paraId="389DFC71" w14:textId="77777777" w:rsidR="009E5D9A" w:rsidRPr="001E0201" w:rsidRDefault="009E5D9A" w:rsidP="0096367C">
            <w:pPr>
              <w:pStyle w:val="TableBody"/>
              <w:ind w:right="57"/>
              <w:jc w:val="right"/>
              <w:rPr>
                <w:b/>
                <w:bCs/>
              </w:rPr>
            </w:pPr>
            <w:r w:rsidRPr="4E466971">
              <w:rPr>
                <w:b/>
                <w:bCs/>
              </w:rPr>
              <w:t>1.8</w:t>
            </w:r>
          </w:p>
        </w:tc>
        <w:tc>
          <w:tcPr>
            <w:tcW w:w="2126" w:type="dxa"/>
            <w:tcBorders>
              <w:top w:val="nil"/>
              <w:bottom w:val="nil"/>
            </w:tcBorders>
            <w:shd w:val="clear" w:color="auto" w:fill="auto"/>
          </w:tcPr>
          <w:p w14:paraId="1FEA3FB0" w14:textId="77777777" w:rsidR="009E5D9A" w:rsidRPr="001E0201" w:rsidRDefault="009E5D9A" w:rsidP="0096367C">
            <w:pPr>
              <w:pStyle w:val="TableBody"/>
              <w:ind w:right="57"/>
              <w:jc w:val="right"/>
              <w:rPr>
                <w:b/>
                <w:bCs/>
              </w:rPr>
            </w:pPr>
            <w:r w:rsidRPr="4E466971">
              <w:rPr>
                <w:b/>
                <w:bCs/>
              </w:rPr>
              <w:t>1.1</w:t>
            </w:r>
          </w:p>
        </w:tc>
        <w:tc>
          <w:tcPr>
            <w:tcW w:w="2268" w:type="dxa"/>
            <w:tcBorders>
              <w:top w:val="nil"/>
              <w:bottom w:val="nil"/>
            </w:tcBorders>
            <w:shd w:val="clear" w:color="auto" w:fill="auto"/>
          </w:tcPr>
          <w:p w14:paraId="789A0519" w14:textId="77777777" w:rsidR="009E5D9A" w:rsidRPr="001E0201" w:rsidRDefault="009E5D9A" w:rsidP="0096367C">
            <w:pPr>
              <w:pStyle w:val="TableBody"/>
              <w:ind w:right="57"/>
              <w:jc w:val="right"/>
              <w:rPr>
                <w:b/>
                <w:bCs/>
              </w:rPr>
            </w:pPr>
            <w:r w:rsidRPr="4E466971">
              <w:rPr>
                <w:b/>
                <w:bCs/>
              </w:rPr>
              <w:t>1.9</w:t>
            </w:r>
          </w:p>
        </w:tc>
      </w:tr>
      <w:tr w:rsidR="009E5D9A" w:rsidRPr="00030C67" w14:paraId="796904EA" w14:textId="77777777" w:rsidTr="00F63871">
        <w:tc>
          <w:tcPr>
            <w:tcW w:w="2977" w:type="dxa"/>
            <w:tcBorders>
              <w:top w:val="nil"/>
              <w:bottom w:val="single" w:sz="4" w:space="0" w:color="BFBFBF" w:themeColor="background1" w:themeShade="BF"/>
            </w:tcBorders>
            <w:shd w:val="clear" w:color="auto" w:fill="auto"/>
          </w:tcPr>
          <w:p w14:paraId="0AA25AD3" w14:textId="77777777" w:rsidR="009E5D9A" w:rsidRPr="001E0201" w:rsidRDefault="009E5D9A" w:rsidP="00551ADF">
            <w:pPr>
              <w:pStyle w:val="TableBody"/>
              <w:rPr>
                <w:b/>
                <w:bCs/>
              </w:rPr>
            </w:pPr>
            <w:r w:rsidRPr="001E0201">
              <w:rPr>
                <w:b/>
                <w:bCs/>
              </w:rPr>
              <w:t>MFP</w:t>
            </w:r>
          </w:p>
        </w:tc>
        <w:tc>
          <w:tcPr>
            <w:tcW w:w="1134" w:type="dxa"/>
            <w:tcBorders>
              <w:top w:val="nil"/>
              <w:bottom w:val="single" w:sz="4" w:space="0" w:color="BFBFBF" w:themeColor="background1" w:themeShade="BF"/>
            </w:tcBorders>
            <w:shd w:val="clear" w:color="auto" w:fill="auto"/>
          </w:tcPr>
          <w:p w14:paraId="11830328" w14:textId="77777777" w:rsidR="009E5D9A" w:rsidRPr="001E0201" w:rsidRDefault="009E5D9A" w:rsidP="0096367C">
            <w:pPr>
              <w:pStyle w:val="TableBody"/>
              <w:ind w:right="57"/>
              <w:jc w:val="right"/>
              <w:rPr>
                <w:b/>
                <w:bCs/>
              </w:rPr>
            </w:pPr>
            <w:r w:rsidRPr="4E466971">
              <w:rPr>
                <w:b/>
                <w:bCs/>
              </w:rPr>
              <w:t>2.2</w:t>
            </w:r>
          </w:p>
        </w:tc>
        <w:tc>
          <w:tcPr>
            <w:tcW w:w="1134" w:type="dxa"/>
            <w:tcBorders>
              <w:top w:val="nil"/>
              <w:bottom w:val="single" w:sz="4" w:space="0" w:color="BFBFBF" w:themeColor="background1" w:themeShade="BF"/>
            </w:tcBorders>
            <w:shd w:val="clear" w:color="auto" w:fill="auto"/>
          </w:tcPr>
          <w:p w14:paraId="6A1CD957" w14:textId="77777777" w:rsidR="009E5D9A" w:rsidRPr="001E0201" w:rsidRDefault="009E5D9A" w:rsidP="0096367C">
            <w:pPr>
              <w:pStyle w:val="TableBody"/>
              <w:ind w:right="57"/>
              <w:jc w:val="right"/>
              <w:rPr>
                <w:b/>
                <w:bCs/>
              </w:rPr>
            </w:pPr>
            <w:r w:rsidRPr="4E466971">
              <w:rPr>
                <w:b/>
                <w:bCs/>
              </w:rPr>
              <w:t>1.0</w:t>
            </w:r>
          </w:p>
        </w:tc>
        <w:tc>
          <w:tcPr>
            <w:tcW w:w="2126" w:type="dxa"/>
            <w:tcBorders>
              <w:top w:val="nil"/>
              <w:bottom w:val="single" w:sz="4" w:space="0" w:color="BFBFBF" w:themeColor="background1" w:themeShade="BF"/>
            </w:tcBorders>
            <w:shd w:val="clear" w:color="auto" w:fill="auto"/>
          </w:tcPr>
          <w:p w14:paraId="6FCAC734" w14:textId="77777777" w:rsidR="009E5D9A" w:rsidRPr="001E0201" w:rsidRDefault="009E5D9A" w:rsidP="0096367C">
            <w:pPr>
              <w:pStyle w:val="TableBody"/>
              <w:ind w:right="57"/>
              <w:jc w:val="right"/>
              <w:rPr>
                <w:b/>
                <w:bCs/>
              </w:rPr>
            </w:pPr>
            <w:r w:rsidRPr="4E466971">
              <w:rPr>
                <w:b/>
                <w:bCs/>
              </w:rPr>
              <w:t>0.8</w:t>
            </w:r>
          </w:p>
        </w:tc>
        <w:tc>
          <w:tcPr>
            <w:tcW w:w="2268" w:type="dxa"/>
            <w:tcBorders>
              <w:top w:val="nil"/>
              <w:bottom w:val="single" w:sz="4" w:space="0" w:color="BFBFBF" w:themeColor="background1" w:themeShade="BF"/>
            </w:tcBorders>
            <w:shd w:val="clear" w:color="auto" w:fill="auto"/>
          </w:tcPr>
          <w:p w14:paraId="5149059C" w14:textId="77777777" w:rsidR="009E5D9A" w:rsidRPr="001E0201" w:rsidRDefault="009E5D9A" w:rsidP="0096367C">
            <w:pPr>
              <w:pStyle w:val="TableBody"/>
              <w:ind w:right="57"/>
              <w:jc w:val="right"/>
              <w:rPr>
                <w:b/>
                <w:bCs/>
              </w:rPr>
            </w:pPr>
            <w:r w:rsidRPr="4E466971">
              <w:rPr>
                <w:b/>
                <w:bCs/>
              </w:rPr>
              <w:t>0.8</w:t>
            </w:r>
          </w:p>
        </w:tc>
      </w:tr>
    </w:tbl>
    <w:p w14:paraId="4CEE7DA4" w14:textId="77777777" w:rsidR="009E5D9A" w:rsidRPr="0050192E" w:rsidRDefault="009E5D9A">
      <w:pPr>
        <w:pStyle w:val="Note"/>
        <w:rPr>
          <w:spacing w:val="-2"/>
        </w:rPr>
      </w:pPr>
      <w:r w:rsidRPr="0050192E">
        <w:rPr>
          <w:b/>
          <w:bCs/>
          <w:spacing w:val="-2"/>
        </w:rPr>
        <w:t>a.</w:t>
      </w:r>
      <w:r w:rsidRPr="0050192E">
        <w:rPr>
          <w:spacing w:val="-2"/>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Multifactor productivity growth is the growth in gross value added less the growth of hours worked and capital services, each weighted by their share of total factor income. </w:t>
      </w:r>
      <w:r w:rsidRPr="0050192E">
        <w:rPr>
          <w:b/>
          <w:bCs/>
          <w:spacing w:val="-2"/>
        </w:rPr>
        <w:t>b.</w:t>
      </w:r>
      <w:r w:rsidRPr="0050192E">
        <w:rPr>
          <w:spacing w:val="-2"/>
        </w:rPr>
        <w:t xml:space="preserve"> All values are in real, chain weighted, terms.</w:t>
      </w:r>
    </w:p>
    <w:p w14:paraId="7456E77F" w14:textId="77777777" w:rsidR="009E5D9A" w:rsidRPr="00AB6D01" w:rsidRDefault="009E5D9A" w:rsidP="00103340">
      <w:pPr>
        <w:pStyle w:val="Source"/>
        <w:rPr>
          <w:spacing w:val="-4"/>
        </w:rPr>
      </w:pPr>
      <w:r w:rsidRPr="00AB6D01">
        <w:rPr>
          <w:spacing w:val="-4"/>
        </w:rPr>
        <w:t>Sources: Estimates based on: ABS (2022, Australian System of National Accounts, 2021-22, Cat. no. 5204.0, tables 1 and 13).</w:t>
      </w:r>
    </w:p>
    <w:p w14:paraId="44FBFB0F" w14:textId="3E3AA2CC" w:rsidR="009E5D9A" w:rsidRDefault="009E5D9A" w:rsidP="58EF5442">
      <w:pPr>
        <w:pStyle w:val="FigureTableHeading"/>
      </w:pPr>
      <w:r>
        <w:lastRenderedPageBreak/>
        <w:t>Figure 1</w:t>
      </w:r>
      <w:r w:rsidR="00624B3F">
        <w:t xml:space="preserve"> </w:t>
      </w:r>
      <w:r>
        <w:t xml:space="preserve">– </w:t>
      </w:r>
      <w:r w:rsidRPr="00EA170B">
        <w:t xml:space="preserve">Despite </w:t>
      </w:r>
      <w:r>
        <w:t xml:space="preserve">an uptick during </w:t>
      </w:r>
      <w:r w:rsidRPr="00B57D7A">
        <w:t xml:space="preserve">COVID-19, </w:t>
      </w:r>
      <w:r>
        <w:t xml:space="preserve">labour </w:t>
      </w:r>
      <w:r w:rsidRPr="00B57D7A">
        <w:t xml:space="preserve">productivity </w:t>
      </w:r>
      <w:r>
        <w:t xml:space="preserve">has </w:t>
      </w:r>
      <w:r w:rsidRPr="00B57D7A">
        <w:t>steadily declined</w:t>
      </w:r>
    </w:p>
    <w:p w14:paraId="11DB351C" w14:textId="77777777" w:rsidR="009E5D9A" w:rsidRDefault="009E5D9A" w:rsidP="00AB6D01">
      <w:pPr>
        <w:pStyle w:val="FigureTableSubheading"/>
        <w:rPr>
          <w:noProof/>
        </w:rPr>
      </w:pPr>
      <w:r w:rsidRPr="00887232">
        <w:t xml:space="preserve">Average annual </w:t>
      </w:r>
      <w:r w:rsidRPr="00AB6D01">
        <w:t>labour</w:t>
      </w:r>
      <w:r w:rsidRPr="00887232">
        <w:t xml:space="preserve"> productivity growth in the 1970s, 1990s and 2010s; annual and quarterly labour productivity growth in the 2020s </w:t>
      </w:r>
    </w:p>
    <w:p w14:paraId="219131AA" w14:textId="77777777" w:rsidR="009E5D9A" w:rsidRDefault="009E5D9A" w:rsidP="00822241">
      <w:pPr>
        <w:pStyle w:val="BodyText"/>
      </w:pPr>
      <w:r w:rsidRPr="004633AB">
        <w:rPr>
          <w:noProof/>
        </w:rPr>
        <w:drawing>
          <wp:inline distT="0" distB="0" distL="0" distR="0" wp14:anchorId="2EE0D4AE" wp14:editId="024BE3A4">
            <wp:extent cx="6085840" cy="3411855"/>
            <wp:effectExtent l="0" t="0" r="0" b="0"/>
            <wp:docPr id="648139674" name="Picture 2" descr="This figure is a line chart which shows annual and quarterly labour productivity from 2020 to 2022. It also has horizontal lines which show the average annual labour productivity growth in the 1970s, 1990s and 2010s. The figure shows that labour productivity has declined over time. There was, however, a temporary increase in labour productivity during the COVID-19 pandemic (20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39674" name="Picture 2" descr="This figure is a line chart which shows annual and quarterly labour productivity from 2020 to 2022. It also has horizontal lines which show the average annual labour productivity growth in the 1970s, 1990s and 2010s. The figure shows that labour productivity has declined over time. There was, however, a temporary increase in labour productivity during the COVID-19 pandemic (2020-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85840" cy="3411855"/>
                    </a:xfrm>
                    <a:prstGeom prst="rect">
                      <a:avLst/>
                    </a:prstGeom>
                    <a:noFill/>
                    <a:ln>
                      <a:noFill/>
                    </a:ln>
                  </pic:spPr>
                </pic:pic>
              </a:graphicData>
            </a:graphic>
          </wp:inline>
        </w:drawing>
      </w:r>
      <w:r>
        <w:t xml:space="preserve"> </w:t>
      </w:r>
    </w:p>
    <w:p w14:paraId="5A2B0CF7" w14:textId="77777777" w:rsidR="009E5D9A" w:rsidRDefault="009E5D9A" w:rsidP="003B0D7E">
      <w:pPr>
        <w:pStyle w:val="Source"/>
        <w:spacing w:after="360"/>
      </w:pPr>
      <w:r w:rsidRPr="00F51264">
        <w:t xml:space="preserve">Sources: </w:t>
      </w:r>
      <w:r>
        <w:t>e</w:t>
      </w:r>
      <w:r w:rsidRPr="00F51264">
        <w:t>stimates based on: ABS (20</w:t>
      </w:r>
      <w:r>
        <w:t>22</w:t>
      </w:r>
      <w:r w:rsidRPr="00F51264">
        <w:t xml:space="preserve">, </w:t>
      </w:r>
      <w:r w:rsidRPr="00AB6D01">
        <w:rPr>
          <w:i/>
          <w:iCs/>
        </w:rPr>
        <w:t>Australian System of National Accounts, 2021-22</w:t>
      </w:r>
      <w:r w:rsidRPr="00F51264">
        <w:t>, Cat. no. 5204.0, table</w:t>
      </w:r>
      <w:r>
        <w:t xml:space="preserve"> 1); </w:t>
      </w:r>
      <w:r w:rsidRPr="00F51264">
        <w:t>ABS (20</w:t>
      </w:r>
      <w:r>
        <w:t>23</w:t>
      </w:r>
      <w:r w:rsidRPr="00F51264">
        <w:t xml:space="preserve">, </w:t>
      </w:r>
      <w:r w:rsidRPr="00AB6D01">
        <w:rPr>
          <w:i/>
          <w:iCs/>
        </w:rPr>
        <w:t>Australian National Accounts: National Income, Expenditure and Product</w:t>
      </w:r>
      <w:r w:rsidRPr="00F51264">
        <w:t>, Cat. no. 520</w:t>
      </w:r>
      <w:r>
        <w:t>6</w:t>
      </w:r>
      <w:r w:rsidRPr="00F51264">
        <w:t>.0, table</w:t>
      </w:r>
      <w:r>
        <w:t xml:space="preserve"> 1).</w:t>
      </w:r>
    </w:p>
    <w:tbl>
      <w:tblPr>
        <w:tblStyle w:val="Boxtable"/>
        <w:tblW w:w="0" w:type="auto"/>
        <w:tblLook w:val="04A0" w:firstRow="1" w:lastRow="0" w:firstColumn="1" w:lastColumn="0" w:noHBand="0" w:noVBand="1"/>
      </w:tblPr>
      <w:tblGrid>
        <w:gridCol w:w="9638"/>
      </w:tblGrid>
      <w:tr w:rsidR="009E5D9A" w14:paraId="6BD8BAA6" w14:textId="77777777" w:rsidTr="00BA7647">
        <w:trPr>
          <w:trHeight w:val="300"/>
          <w:tblHeader/>
        </w:trPr>
        <w:tc>
          <w:tcPr>
            <w:tcW w:w="9638" w:type="dxa"/>
            <w:shd w:val="clear" w:color="auto" w:fill="EBEBEB"/>
            <w:tcMar>
              <w:top w:w="170" w:type="dxa"/>
              <w:left w:w="170" w:type="dxa"/>
              <w:bottom w:w="113" w:type="dxa"/>
              <w:right w:w="170" w:type="dxa"/>
            </w:tcMar>
          </w:tcPr>
          <w:p w14:paraId="409D4123" w14:textId="77777777" w:rsidR="009E5D9A" w:rsidRDefault="009E5D9A" w:rsidP="707F278A">
            <w:pPr>
              <w:pStyle w:val="BoxHeading1"/>
              <w:rPr>
                <w:rStyle w:val="cf01"/>
                <w:rFonts w:asciiTheme="minorHAnsi" w:hAnsiTheme="minorHAnsi"/>
              </w:rPr>
            </w:pPr>
            <w:r>
              <w:t>Box 1 – Australia’s economy has changed since 2021-22</w:t>
            </w:r>
          </w:p>
        </w:tc>
      </w:tr>
      <w:tr w:rsidR="009E5D9A" w14:paraId="19BA3803" w14:textId="77777777" w:rsidTr="003155AF">
        <w:trPr>
          <w:trHeight w:val="2326"/>
        </w:trPr>
        <w:tc>
          <w:tcPr>
            <w:tcW w:w="9638" w:type="dxa"/>
            <w:shd w:val="clear" w:color="auto" w:fill="EBEBEB"/>
            <w:tcMar>
              <w:top w:w="170" w:type="dxa"/>
              <w:left w:w="170" w:type="dxa"/>
              <w:bottom w:w="113" w:type="dxa"/>
              <w:right w:w="170" w:type="dxa"/>
            </w:tcMar>
          </w:tcPr>
          <w:p w14:paraId="747D5176" w14:textId="77777777" w:rsidR="009E5D9A" w:rsidRDefault="009E5D9A" w:rsidP="52571A0E">
            <w:pPr>
              <w:pStyle w:val="BodyText"/>
            </w:pPr>
            <w:r>
              <w:t xml:space="preserve">As of June 2022, CPI had </w:t>
            </w:r>
            <w:r w:rsidRPr="52571A0E">
              <w:rPr>
                <w:rStyle w:val="cf01"/>
              </w:rPr>
              <w:t>accelerated to about 6.1% annualised, the cash rate rose by 0.5 percentage points to 0.85%, exports were at a quarterly high, and GDP growth was stable at about 0.9% for the quarter. Since then, Australia’s economy has experienced some notable changes.</w:t>
            </w:r>
          </w:p>
          <w:p w14:paraId="06AB1016" w14:textId="77777777" w:rsidR="009E5D9A" w:rsidRDefault="009E5D9A" w:rsidP="52571A0E">
            <w:pPr>
              <w:pStyle w:val="BoxHeading2"/>
            </w:pPr>
            <w:r>
              <w:t>Consistently high inflation triggered interest rate rises</w:t>
            </w:r>
          </w:p>
          <w:p w14:paraId="6B94C4FA" w14:textId="23D6F4FE" w:rsidR="009E5D9A" w:rsidRDefault="009E5D9A" w:rsidP="52571A0E">
            <w:pPr>
              <w:pStyle w:val="BodyText"/>
            </w:pPr>
            <w:r>
              <w:t xml:space="preserve">Inflation surged due to strong consumer demand, global supply chain disruptions, and the carried-on effects of the COVID-19 pandemic. The upward trend continued in the 2022-23, with the annual inflation rising to 7.8% in the December 2022 quarter and remaining at 7.0% in the March 2023 quarter </w:t>
            </w:r>
            <w:r w:rsidRPr="52571A0E">
              <w:rPr>
                <w:rFonts w:ascii="Arial" w:hAnsi="Arial" w:cs="Arial"/>
              </w:rPr>
              <w:t>(ABS 2023d)</w:t>
            </w:r>
            <w:r>
              <w:t xml:space="preserve">. To address high inflation, the Reserve Bank of Australia (RBA) implemented ten consecutive monthly interest rate increases since May 2022. As of June 2023, the interest rate reached 4.10%, representing a 3.25 percentage point increase compared to June 2022 </w:t>
            </w:r>
            <w:r w:rsidRPr="52571A0E">
              <w:rPr>
                <w:rFonts w:ascii="Arial" w:hAnsi="Arial" w:cs="Arial"/>
              </w:rPr>
              <w:t>(RBA 2023a)</w:t>
            </w:r>
            <w:r>
              <w:t>.</w:t>
            </w:r>
          </w:p>
          <w:p w14:paraId="4555925F" w14:textId="77777777" w:rsidR="009E5D9A" w:rsidRDefault="009E5D9A" w:rsidP="003155AF">
            <w:pPr>
              <w:pStyle w:val="BoxHeading2"/>
            </w:pPr>
            <w:r>
              <w:t>Unemployment stayed low, wages increased but not in real terms</w:t>
            </w:r>
          </w:p>
          <w:p w14:paraId="7EDD218C" w14:textId="1E88D0D2" w:rsidR="009E5D9A" w:rsidRDefault="009E5D9A" w:rsidP="003155AF">
            <w:pPr>
              <w:pStyle w:val="BodyText"/>
            </w:pPr>
            <w:r>
              <w:t xml:space="preserve">The unemployment rate has remained about 3.6% since June 2022, representing a tight labour market </w:t>
            </w:r>
            <w:r w:rsidRPr="707F278A">
              <w:rPr>
                <w:rFonts w:ascii="Arial" w:hAnsi="Arial" w:cs="Arial"/>
              </w:rPr>
              <w:t>(ABS 2023f)</w:t>
            </w:r>
            <w:r>
              <w:t xml:space="preserve">. Wage growth responded to a tight labour market and a higher inflation rate; increasing by 2.3% </w:t>
            </w:r>
            <w:r w:rsidRPr="707F278A">
              <w:rPr>
                <w:rFonts w:ascii="Arial" w:hAnsi="Arial" w:cs="Arial"/>
              </w:rPr>
              <w:t>(ABS 2023a)</w:t>
            </w:r>
            <w:r>
              <w:t>.</w:t>
            </w:r>
          </w:p>
          <w:p w14:paraId="045CEC4D" w14:textId="77777777" w:rsidR="009E5D9A" w:rsidRDefault="009E5D9A" w:rsidP="003155AF">
            <w:pPr>
              <w:pStyle w:val="BoxHeading2"/>
            </w:pPr>
            <w:r>
              <w:lastRenderedPageBreak/>
              <w:t xml:space="preserve">The trade surplus increased as exports strengthened </w:t>
            </w:r>
          </w:p>
          <w:p w14:paraId="7BE203EF" w14:textId="098C3C7D" w:rsidR="009E5D9A" w:rsidRDefault="009E5D9A" w:rsidP="003155AF">
            <w:pPr>
              <w:pStyle w:val="BodyText"/>
            </w:pPr>
            <w:r>
              <w:t xml:space="preserve">Exports of goods and services continued to increase for the fourth consecutive quarter in March 2023 – marking a 10.8% increase in exports since March 2022 </w:t>
            </w:r>
            <w:r w:rsidRPr="707F278A">
              <w:rPr>
                <w:rFonts w:ascii="Arial" w:hAnsi="Arial" w:cs="Arial"/>
              </w:rPr>
              <w:t>(ABS 2023c)</w:t>
            </w:r>
            <w:r>
              <w:t xml:space="preserve">. This was mostly driven by iron ore and traveling services for international students and visitors </w:t>
            </w:r>
            <w:r w:rsidRPr="707F278A">
              <w:rPr>
                <w:rFonts w:ascii="Arial" w:hAnsi="Arial" w:cs="Arial"/>
              </w:rPr>
              <w:t>(ABS 2022c)</w:t>
            </w:r>
            <w:r>
              <w:t xml:space="preserve">. </w:t>
            </w:r>
          </w:p>
          <w:p w14:paraId="28BDF058" w14:textId="49628912" w:rsidR="009E5D9A" w:rsidRDefault="009E5D9A" w:rsidP="003155AF">
            <w:pPr>
              <w:pStyle w:val="BodyText"/>
            </w:pPr>
            <w:r>
              <w:t xml:space="preserve">In contrast, imports of goods and services fluctuated. As a result of stronger exports, the trade surplus reached $40.9 billion in December 2022, the second highest on record, which led to a $14.1 billion surplus in Australia’s current account </w:t>
            </w:r>
            <w:r w:rsidRPr="707F278A">
              <w:rPr>
                <w:rFonts w:ascii="Arial" w:hAnsi="Arial" w:cs="Arial"/>
              </w:rPr>
              <w:t>(ABS 2023b)</w:t>
            </w:r>
            <w:r>
              <w:t>.</w:t>
            </w:r>
          </w:p>
        </w:tc>
      </w:tr>
    </w:tbl>
    <w:p w14:paraId="18038EFA" w14:textId="77777777" w:rsidR="009E5D9A" w:rsidRDefault="009E5D9A" w:rsidP="00D249A9">
      <w:pPr>
        <w:pStyle w:val="Heading3"/>
      </w:pPr>
      <w:r>
        <w:lastRenderedPageBreak/>
        <w:t>Market sector output was driven by strong MFP growth</w:t>
      </w:r>
    </w:p>
    <w:p w14:paraId="5B90D606" w14:textId="77777777" w:rsidR="009E5D9A" w:rsidRDefault="009E5D9A" w:rsidP="00D249A9">
      <w:pPr>
        <w:pStyle w:val="BodyText"/>
      </w:pPr>
      <w:r>
        <w:t xml:space="preserve">Strong MFP growth was the main driver of market sector output; accounting for nearly half of the 4.6% increase in output in 2021-22 (figure 2). Hours worked contributed to about a third of the increase, while capital services growth only contributed to about a fifth. </w:t>
      </w:r>
    </w:p>
    <w:p w14:paraId="5E6F8FC6" w14:textId="77777777" w:rsidR="009E5D9A" w:rsidRDefault="009E5D9A" w:rsidP="420F298E">
      <w:pPr>
        <w:pStyle w:val="FigureTableHeading"/>
      </w:pPr>
      <w:r>
        <w:t>Figure 2</w:t>
      </w:r>
      <w:r w:rsidRPr="420F298E">
        <w:rPr>
          <w:noProof/>
        </w:rPr>
        <w:t xml:space="preserve"> </w:t>
      </w:r>
      <w:r>
        <w:t>– MFP growth drove market sector output</w:t>
      </w:r>
    </w:p>
    <w:p w14:paraId="78EB98D6" w14:textId="77777777" w:rsidR="009E5D9A" w:rsidRDefault="009E5D9A" w:rsidP="420F298E">
      <w:pPr>
        <w:pStyle w:val="FigureTableSubheading"/>
      </w:pPr>
      <w:r>
        <w:t>Contributions to market sector value added (output) growth from hours worked (labour), capital services (capital), and MFP between 2009-10 and 2021-22</w:t>
      </w:r>
    </w:p>
    <w:p w14:paraId="015337E4" w14:textId="77777777" w:rsidR="009E5D9A" w:rsidRDefault="009E5D9A" w:rsidP="420F298E">
      <w:pPr>
        <w:pStyle w:val="FigureTableSubheading"/>
      </w:pPr>
      <w:r w:rsidRPr="00B75752">
        <w:rPr>
          <w:noProof/>
        </w:rPr>
        <w:drawing>
          <wp:inline distT="0" distB="0" distL="0" distR="0" wp14:anchorId="3468C88B" wp14:editId="32E25EA8">
            <wp:extent cx="6119495" cy="2790190"/>
            <wp:effectExtent l="0" t="0" r="0" b="0"/>
            <wp:docPr id="15833050" name="Picture 15833050" descr="This is a column chart which shows how capital, labour, and multifactor productivity contribute to output growth in the market sector from 2009-10 to 2021-22. The chart shows that multifactor productivity growth has driven increases in output in the last two years. It also shows that the capital contribution to growth has steadily declined since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050" name="Picture 15833050" descr="This is a column chart which shows how capital, labour, and multifactor productivity contribute to output growth in the market sector from 2009-10 to 2021-22. The chart shows that multifactor productivity growth has driven increases in output in the last two years. It also shows that the capital contribution to growth has steadily declined since 2011-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19495" cy="2790190"/>
                    </a:xfrm>
                    <a:prstGeom prst="rect">
                      <a:avLst/>
                    </a:prstGeom>
                    <a:noFill/>
                    <a:ln>
                      <a:noFill/>
                    </a:ln>
                  </pic:spPr>
                </pic:pic>
              </a:graphicData>
            </a:graphic>
          </wp:inline>
        </w:drawing>
      </w:r>
    </w:p>
    <w:p w14:paraId="7093D9E7" w14:textId="3233D9FC" w:rsidR="009E5D9A" w:rsidRDefault="009E5D9A" w:rsidP="420F298E">
      <w:pPr>
        <w:pStyle w:val="Source"/>
      </w:pPr>
      <w:r>
        <w:t>Source: ABS (Estimates of Industry Multifactor Productivity, 2021-22, Cat. no. 5260.0.55.002, table 2).</w:t>
      </w:r>
    </w:p>
    <w:p w14:paraId="731B55F9" w14:textId="77777777" w:rsidR="009E5D9A" w:rsidRPr="00AB6D01" w:rsidRDefault="009E5D9A" w:rsidP="00D249A9">
      <w:pPr>
        <w:pStyle w:val="BodyText"/>
        <w:rPr>
          <w:spacing w:val="-2"/>
        </w:rPr>
      </w:pPr>
      <w:r w:rsidRPr="00AB6D01">
        <w:rPr>
          <w:spacing w:val="-2"/>
        </w:rPr>
        <w:t>Further, the long-term decline of capital services contribution to output growth continued (figure 3). In 2021-22, the market sector – only for the second time since data was first recorded in 1994-95 – experienced capital shallowing; a decline in the capital-labour</w:t>
      </w:r>
      <w:r w:rsidRPr="00AB6D01">
        <w:rPr>
          <w:spacing w:val="-2"/>
        </w:rPr>
        <w:noBreakHyphen/>
        <w:t xml:space="preserve"> ratio.</w:t>
      </w:r>
      <w:r w:rsidRPr="007D15B3">
        <w:rPr>
          <w:rStyle w:val="FootnoteReference"/>
        </w:rPr>
        <w:footnoteReference w:id="6"/>
      </w:r>
      <w:r w:rsidRPr="00AB6D01" w:rsidDel="0084496B">
        <w:rPr>
          <w:spacing w:val="-2"/>
        </w:rPr>
        <w:t xml:space="preserve"> </w:t>
      </w:r>
      <w:r w:rsidRPr="00AB6D01">
        <w:rPr>
          <w:spacing w:val="-2"/>
        </w:rPr>
        <w:t xml:space="preserve">This might reflect a dampened capital investment environment </w:t>
      </w:r>
      <w:r w:rsidRPr="00AB6D01">
        <w:rPr>
          <w:spacing w:val="-2"/>
        </w:rPr>
        <w:lastRenderedPageBreak/>
        <w:t>(section 3), or the distortionary effects from COVID-19.</w:t>
      </w:r>
      <w:r w:rsidRPr="007D15B3">
        <w:rPr>
          <w:rStyle w:val="FootnoteReference"/>
        </w:rPr>
        <w:footnoteReference w:id="7"/>
      </w:r>
      <w:r w:rsidRPr="00AB6D01">
        <w:rPr>
          <w:spacing w:val="-2"/>
        </w:rPr>
        <w:t xml:space="preserve"> Capital shallowing also led to a decline in the contribution of capital deepening to market-sector output growth; continuing a trend since 2013 (figure 3). </w:t>
      </w:r>
    </w:p>
    <w:p w14:paraId="7ABE1BC7" w14:textId="77777777" w:rsidR="009E5D9A" w:rsidRPr="00146382" w:rsidRDefault="009E5D9A" w:rsidP="00585350">
      <w:pPr>
        <w:pStyle w:val="FigureTableHeading"/>
      </w:pPr>
      <w:r>
        <w:t>Figure 3</w:t>
      </w:r>
      <w:r>
        <w:rPr>
          <w:noProof/>
        </w:rPr>
        <w:t xml:space="preserve"> </w:t>
      </w:r>
      <w:r>
        <w:t xml:space="preserve">– Capital deepening has continued to stagnate </w:t>
      </w:r>
    </w:p>
    <w:p w14:paraId="6A3C97E7" w14:textId="77777777" w:rsidR="009E5D9A" w:rsidRDefault="009E5D9A" w:rsidP="00B432CF">
      <w:pPr>
        <w:pStyle w:val="FigureTableSubheading"/>
        <w:rPr>
          <w:vertAlign w:val="superscript"/>
        </w:rPr>
      </w:pPr>
      <w:r>
        <w:t>Five-year rolling average growth of hours worked, MFP and capital deepening and their contribution to market sector GVA</w:t>
      </w:r>
      <w:r w:rsidRPr="00066CF5">
        <w:rPr>
          <w:vertAlign w:val="superscript"/>
        </w:rPr>
        <w:t>a</w:t>
      </w:r>
    </w:p>
    <w:p w14:paraId="319C6770" w14:textId="77777777" w:rsidR="009E5D9A" w:rsidRDefault="009E5D9A" w:rsidP="00B432CF">
      <w:pPr>
        <w:pStyle w:val="FigureTableSubheading"/>
        <w:rPr>
          <w:b/>
          <w:bCs/>
        </w:rPr>
      </w:pPr>
      <w:r w:rsidRPr="00DC23CA">
        <w:rPr>
          <w:noProof/>
        </w:rPr>
        <w:drawing>
          <wp:inline distT="0" distB="0" distL="0" distR="0" wp14:anchorId="31561B90" wp14:editId="4F6C368F">
            <wp:extent cx="6119495" cy="2790190"/>
            <wp:effectExtent l="0" t="0" r="0" b="0"/>
            <wp:docPr id="621003407" name="Picture 621003407" descr="This is a column chart which shows how hours worked, capital deepening, and multifactor productivity contributed to output growth in the market sector from 2000 to 2022. The key message of the chart is that capital deepening’s contribution to growth has declined since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03407" name="Picture 621003407" descr="This is a column chart which shows how hours worked, capital deepening, and multifactor productivity contributed to output growth in the market sector from 2000 to 2022. The key message of the chart is that capital deepening’s contribution to growth has declined since 2013.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19495" cy="2790190"/>
                    </a:xfrm>
                    <a:prstGeom prst="rect">
                      <a:avLst/>
                    </a:prstGeom>
                    <a:noFill/>
                    <a:ln>
                      <a:noFill/>
                    </a:ln>
                  </pic:spPr>
                </pic:pic>
              </a:graphicData>
            </a:graphic>
          </wp:inline>
        </w:drawing>
      </w:r>
    </w:p>
    <w:p w14:paraId="58390A74" w14:textId="77777777" w:rsidR="009E5D9A" w:rsidRDefault="009E5D9A" w:rsidP="00585350">
      <w:pPr>
        <w:pStyle w:val="Note"/>
        <w:keepLines/>
      </w:pPr>
      <w:r w:rsidRPr="00180E66">
        <w:rPr>
          <w:b/>
          <w:bCs/>
        </w:rPr>
        <w:t>a.</w:t>
      </w:r>
      <w:r>
        <w:t xml:space="preserve"> GVA = Gross-value added. MFP = multifactor productivity. Capital-deepening is calculated as the difference between labour productivity growth and multifactor productivity growth. Average growth is the geometric average.</w:t>
      </w:r>
    </w:p>
    <w:p w14:paraId="1F52EB05" w14:textId="77777777" w:rsidR="009E5D9A" w:rsidRPr="00E60376" w:rsidRDefault="009E5D9A" w:rsidP="00E60376">
      <w:pPr>
        <w:pStyle w:val="Source"/>
      </w:pPr>
      <w:r w:rsidRPr="00696447">
        <w:t xml:space="preserve">Source: </w:t>
      </w:r>
      <w:r>
        <w:t>ABS (2022, Australian System of National Accounts, 2021-22, Cat. no. 5204.0, table 13).</w:t>
      </w:r>
    </w:p>
    <w:p w14:paraId="4B0EE15A" w14:textId="77777777" w:rsidR="009E5D9A" w:rsidRDefault="009E5D9A" w:rsidP="00B432CF">
      <w:pPr>
        <w:pStyle w:val="Heading3"/>
      </w:pPr>
      <w:r>
        <w:t>Income growth was driven by a stronger terms of trade</w:t>
      </w:r>
    </w:p>
    <w:p w14:paraId="14E81EED" w14:textId="77777777" w:rsidR="009E5D9A" w:rsidRPr="0088039B" w:rsidRDefault="009E5D9A" w:rsidP="00B432CF">
      <w:pPr>
        <w:pStyle w:val="BodyText"/>
      </w:pPr>
      <w:r>
        <w:t>Productivity growth is the main driver of long-term income growth.</w:t>
      </w:r>
      <w:r w:rsidRPr="007D15B3">
        <w:rPr>
          <w:rStyle w:val="FootnoteReference"/>
        </w:rPr>
        <w:footnoteReference w:id="8"/>
      </w:r>
      <w:r>
        <w:t xml:space="preserve"> For context, consider f</w:t>
      </w:r>
      <w:r w:rsidRPr="004252DE">
        <w:t xml:space="preserve">igure </w:t>
      </w:r>
      <w:r>
        <w:t>4</w:t>
      </w:r>
      <w:r w:rsidRPr="004252DE">
        <w:t xml:space="preserve"> which shows that income growth in Australia slowed from 2000-01 to 2015-16</w:t>
      </w:r>
      <w:r>
        <w:t>. I</w:t>
      </w:r>
      <w:r w:rsidRPr="004252DE">
        <w:t xml:space="preserve">t was </w:t>
      </w:r>
      <w:r>
        <w:t>primarily</w:t>
      </w:r>
      <w:r w:rsidRPr="004252DE">
        <w:t xml:space="preserve"> driven by a</w:t>
      </w:r>
      <w:r w:rsidRPr="0088039B">
        <w:t xml:space="preserve"> decline in labour productivity growth. </w:t>
      </w:r>
    </w:p>
    <w:p w14:paraId="27F72CC9" w14:textId="18822E25" w:rsidR="009E5D9A" w:rsidRDefault="009E5D9A" w:rsidP="00B432CF">
      <w:pPr>
        <w:pStyle w:val="BodyText"/>
      </w:pPr>
      <w:r>
        <w:t>Despite relatively weak labour productivity growth in the past five years, income growth still</w:t>
      </w:r>
      <w:r w:rsidRPr="004252DE">
        <w:t xml:space="preserve"> increased</w:t>
      </w:r>
      <w:r>
        <w:t xml:space="preserve"> (figure</w:t>
      </w:r>
      <w:r w:rsidR="002222B1">
        <w:t> </w:t>
      </w:r>
      <w:r>
        <w:t>4);</w:t>
      </w:r>
      <w:r w:rsidRPr="004252DE">
        <w:t xml:space="preserve"> this </w:t>
      </w:r>
      <w:r>
        <w:t>was due to</w:t>
      </w:r>
      <w:r w:rsidRPr="004252DE">
        <w:t xml:space="preserve"> improvements in the terms of trade </w:t>
      </w:r>
      <w:r>
        <w:t>over the past three years.</w:t>
      </w:r>
      <w:r w:rsidRPr="004252DE">
        <w:t xml:space="preserve"> While</w:t>
      </w:r>
      <w:r>
        <w:t xml:space="preserve"> the</w:t>
      </w:r>
      <w:r w:rsidRPr="004252DE">
        <w:t xml:space="preserve"> terms of trade can increase real incomes in the short-term, improvement</w:t>
      </w:r>
      <w:r>
        <w:t>s</w:t>
      </w:r>
      <w:r w:rsidRPr="004252DE">
        <w:t xml:space="preserve"> in labour productivity are important for sustaining </w:t>
      </w:r>
      <w:r>
        <w:t xml:space="preserve">any </w:t>
      </w:r>
      <w:r w:rsidRPr="004252DE">
        <w:t>long-term</w:t>
      </w:r>
      <w:r>
        <w:t xml:space="preserve"> increases in income</w:t>
      </w:r>
      <w:r w:rsidRPr="004252DE">
        <w:t xml:space="preserve"> (box </w:t>
      </w:r>
      <w:r>
        <w:t xml:space="preserve">2). </w:t>
      </w:r>
    </w:p>
    <w:p w14:paraId="507DE7D2" w14:textId="77777777" w:rsidR="009E5D9A" w:rsidRPr="00146382" w:rsidRDefault="009E5D9A" w:rsidP="00FB585C">
      <w:pPr>
        <w:pStyle w:val="FigureTableHeading"/>
      </w:pPr>
      <w:r>
        <w:lastRenderedPageBreak/>
        <w:t>Figure 4</w:t>
      </w:r>
      <w:r>
        <w:rPr>
          <w:noProof/>
        </w:rPr>
        <w:t xml:space="preserve"> </w:t>
      </w:r>
      <w:r>
        <w:t xml:space="preserve">– Strong terms of trade growth is driving faster income growth </w:t>
      </w:r>
    </w:p>
    <w:p w14:paraId="0933441A" w14:textId="77777777" w:rsidR="009E5D9A" w:rsidRPr="008C432B" w:rsidRDefault="009E5D9A" w:rsidP="00613CE2">
      <w:pPr>
        <w:pStyle w:val="FigureTableSubheading"/>
        <w:keepLines/>
        <w:rPr>
          <w:spacing w:val="-8"/>
          <w:vertAlign w:val="superscript"/>
        </w:rPr>
      </w:pPr>
      <w:r w:rsidRPr="008C432B">
        <w:rPr>
          <w:spacing w:val="-8"/>
        </w:rPr>
        <w:t>Five year lagged average growth in gross national income and labour productivity, and the contributions from labour utilisation</w:t>
      </w:r>
      <w:r w:rsidRPr="008C432B">
        <w:rPr>
          <w:spacing w:val="-8"/>
          <w:vertAlign w:val="superscript"/>
        </w:rPr>
        <w:t>a</w:t>
      </w:r>
      <w:r w:rsidRPr="008C432B">
        <w:rPr>
          <w:spacing w:val="-8"/>
        </w:rPr>
        <w:t>, the terms of trade</w:t>
      </w:r>
      <w:r w:rsidRPr="008C432B">
        <w:rPr>
          <w:spacing w:val="-8"/>
          <w:vertAlign w:val="superscript"/>
        </w:rPr>
        <w:t>b</w:t>
      </w:r>
      <w:r w:rsidRPr="008C432B">
        <w:rPr>
          <w:spacing w:val="-8"/>
        </w:rPr>
        <w:t>, and the net inflow of foreign income</w:t>
      </w:r>
      <w:r w:rsidRPr="008C432B">
        <w:rPr>
          <w:spacing w:val="-8"/>
          <w:vertAlign w:val="superscript"/>
        </w:rPr>
        <w:t>c</w:t>
      </w:r>
    </w:p>
    <w:p w14:paraId="0EC840A3" w14:textId="58CDD100" w:rsidR="009E5D9A" w:rsidRDefault="00F161AE" w:rsidP="00231BDD">
      <w:pPr>
        <w:pStyle w:val="Note"/>
        <w:rPr>
          <w:b/>
          <w:bCs/>
        </w:rPr>
      </w:pPr>
      <w:r w:rsidRPr="00F161AE">
        <w:rPr>
          <w:noProof/>
        </w:rPr>
        <w:drawing>
          <wp:inline distT="0" distB="0" distL="0" distR="0" wp14:anchorId="379A6C04" wp14:editId="75A5D8BC">
            <wp:extent cx="5993130" cy="3145790"/>
            <wp:effectExtent l="0" t="0" r="0" b="0"/>
            <wp:docPr id="1398057876" name="Picture 1" descr="This figure is a column chart. The figure shows the components of gross national income (GNI) per capita from 1985 to 2022. Growth in GNI per capita can be decomposed into the contributions from: labour productivity (production per hour); labour utilisation; the terms of trade (which boost the income from production); and the net flow of foreign income (the income from overseas assets owned by Australians minus the income paid to foreigners from domestic assets). &#10;&#10;The figure shows that growth GNI per capita has increased since 2015; this was mainly due to increases in the terms of trade, while labour utilisation and labour productivity remained fairly cons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57876" name="Picture 1" descr="This figure is a column chart. The figure shows the components of gross national income (GNI) per capita from 1985 to 2022. Growth in GNI per capita can be decomposed into the contributions from: labour productivity (production per hour); labour utilisation; the terms of trade (which boost the income from production); and the net flow of foreign income (the income from overseas assets owned by Australians minus the income paid to foreigners from domestic assets). &#10;&#10;The figure shows that growth GNI per capita has increased since 2015; this was mainly due to increases in the terms of trade, while labour utilisation and labour productivity remained fairly constant.  "/>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076"/>
                    <a:stretch/>
                  </pic:blipFill>
                  <pic:spPr bwMode="auto">
                    <a:xfrm>
                      <a:off x="0" y="0"/>
                      <a:ext cx="5993130" cy="3145790"/>
                    </a:xfrm>
                    <a:prstGeom prst="rect">
                      <a:avLst/>
                    </a:prstGeom>
                    <a:noFill/>
                    <a:ln>
                      <a:noFill/>
                    </a:ln>
                    <a:extLst>
                      <a:ext uri="{53640926-AAD7-44D8-BBD7-CCE9431645EC}">
                        <a14:shadowObscured xmlns:a14="http://schemas.microsoft.com/office/drawing/2010/main"/>
                      </a:ext>
                    </a:extLst>
                  </pic:spPr>
                </pic:pic>
              </a:graphicData>
            </a:graphic>
          </wp:inline>
        </w:drawing>
      </w:r>
    </w:p>
    <w:p w14:paraId="3364609E" w14:textId="77777777" w:rsidR="009E5D9A" w:rsidRDefault="009E5D9A" w:rsidP="00231BDD">
      <w:pPr>
        <w:pStyle w:val="Note"/>
      </w:pPr>
      <w:r w:rsidRPr="00180E66">
        <w:rPr>
          <w:b/>
          <w:bCs/>
        </w:rPr>
        <w:t>a.</w:t>
      </w:r>
      <w:r>
        <w:t xml:space="preserve"> The effect of labour utilisation is defined as the difference between GDP per capita growth and labour productivity growth. </w:t>
      </w:r>
      <w:r w:rsidRPr="00180E66">
        <w:rPr>
          <w:b/>
          <w:bCs/>
        </w:rPr>
        <w:t>b.</w:t>
      </w:r>
      <w:r>
        <w:t xml:space="preserve"> The terms of trade effect is defined as the difference between GDI growth and GDP growth</w:t>
      </w:r>
      <w:r>
        <w:rPr>
          <w:b/>
          <w:bCs/>
        </w:rPr>
        <w:t xml:space="preserve">. c. </w:t>
      </w:r>
      <w:r>
        <w:t>The net foreign income effect is defined as the difference between growth in GNI and growth in GDI.</w:t>
      </w:r>
    </w:p>
    <w:p w14:paraId="2CDB581A" w14:textId="77777777" w:rsidR="009E5D9A" w:rsidRPr="00AB6D01" w:rsidRDefault="009E5D9A" w:rsidP="00BE18CF">
      <w:pPr>
        <w:pStyle w:val="Source"/>
        <w:rPr>
          <w:spacing w:val="-4"/>
        </w:rPr>
      </w:pPr>
      <w:r w:rsidRPr="00AB6D01">
        <w:rPr>
          <w:spacing w:val="-4"/>
        </w:rPr>
        <w:t xml:space="preserve">Source: Commission estimates using ABS (2022, </w:t>
      </w:r>
      <w:r w:rsidRPr="00AB6D01">
        <w:rPr>
          <w:i/>
          <w:iCs/>
          <w:spacing w:val="-4"/>
        </w:rPr>
        <w:t>Australian System of National Accounts</w:t>
      </w:r>
      <w:r w:rsidRPr="00AB6D01">
        <w:rPr>
          <w:spacing w:val="-4"/>
        </w:rPr>
        <w:t>, 2021-22, Cat. no. 5204.0, table 1).</w:t>
      </w:r>
    </w:p>
    <w:p w14:paraId="75CFBAF4" w14:textId="77777777" w:rsidR="009E5D9A" w:rsidRPr="00F82BD9" w:rsidRDefault="009E5D9A" w:rsidP="00AB6D01">
      <w:pPr>
        <w:pStyle w:val="NoSpacing"/>
      </w:pPr>
    </w:p>
    <w:tbl>
      <w:tblPr>
        <w:tblStyle w:val="Boxtable"/>
        <w:tblW w:w="5000" w:type="pct"/>
        <w:tblLook w:val="04A0" w:firstRow="1" w:lastRow="0" w:firstColumn="1" w:lastColumn="0" w:noHBand="0" w:noVBand="1"/>
      </w:tblPr>
      <w:tblGrid>
        <w:gridCol w:w="9638"/>
      </w:tblGrid>
      <w:tr w:rsidR="009E5D9A" w14:paraId="782D9EE8" w14:textId="77777777">
        <w:trPr>
          <w:tblHeader/>
        </w:trPr>
        <w:tc>
          <w:tcPr>
            <w:tcW w:w="9638" w:type="dxa"/>
            <w:shd w:val="clear" w:color="auto" w:fill="EBEBEB"/>
            <w:tcMar>
              <w:top w:w="170" w:type="dxa"/>
              <w:left w:w="170" w:type="dxa"/>
              <w:bottom w:w="113" w:type="dxa"/>
              <w:right w:w="170" w:type="dxa"/>
            </w:tcMar>
            <w:hideMark/>
          </w:tcPr>
          <w:p w14:paraId="3D4416DB" w14:textId="77777777" w:rsidR="009E5D9A" w:rsidRDefault="009E5D9A">
            <w:pPr>
              <w:pStyle w:val="BoxHeading1"/>
            </w:pPr>
            <w:r>
              <w:t>Box 2 – The terms of trade and income growth</w:t>
            </w:r>
          </w:p>
        </w:tc>
      </w:tr>
      <w:tr w:rsidR="009E5D9A" w14:paraId="200E79C2" w14:textId="77777777">
        <w:tc>
          <w:tcPr>
            <w:tcW w:w="9638" w:type="dxa"/>
            <w:shd w:val="clear" w:color="auto" w:fill="EBEBEB"/>
            <w:tcMar>
              <w:top w:w="28" w:type="dxa"/>
              <w:left w:w="170" w:type="dxa"/>
              <w:bottom w:w="170" w:type="dxa"/>
              <w:right w:w="170" w:type="dxa"/>
            </w:tcMar>
            <w:hideMark/>
          </w:tcPr>
          <w:p w14:paraId="093611D6" w14:textId="6CD9AB78" w:rsidR="009E5D9A" w:rsidRPr="001348DA" w:rsidRDefault="009E5D9A" w:rsidP="00BE18CF">
            <w:pPr>
              <w:pStyle w:val="BodyText"/>
              <w:rPr>
                <w:spacing w:val="-2"/>
              </w:rPr>
            </w:pPr>
            <w:r w:rsidRPr="001348DA">
              <w:rPr>
                <w:spacing w:val="-2"/>
              </w:rPr>
              <w:t xml:space="preserve">The terms of trade – the price of exports relative to imports – has increased since 2016-17. The terms of trade grew at 11.8% in 2021-22, which was greater than both the five-year and long-term average (table 1). Increases in the terms of trade have been linked to higher commodity prices – prices of coal were elevated over 2021-22, with annual exports of coal exceeding $100 billion for the first time </w:t>
            </w:r>
            <w:r w:rsidRPr="001348DA">
              <w:rPr>
                <w:rFonts w:cs="Arial"/>
                <w:spacing w:val="-2"/>
                <w:szCs w:val="24"/>
              </w:rPr>
              <w:t>(ABS 2022c)</w:t>
            </w:r>
            <w:r w:rsidRPr="001348DA">
              <w:rPr>
                <w:spacing w:val="-2"/>
              </w:rPr>
              <w:t>.</w:t>
            </w:r>
          </w:p>
          <w:p w14:paraId="7A56F36A" w14:textId="2E725602" w:rsidR="009E5D9A" w:rsidRDefault="009E5D9A" w:rsidP="00BE18CF">
            <w:pPr>
              <w:pStyle w:val="BodyText"/>
            </w:pPr>
            <w:r>
              <w:t xml:space="preserve">A rising terms of trade generally raises real income. For example, in the most recent mining investment boom (roughly 2001-02 to 2011-12), gross national income per capita increased almost three times as much as labour productivity </w:t>
            </w:r>
            <w:r w:rsidR="006E6720" w:rsidRPr="006E6720">
              <w:rPr>
                <w:rFonts w:ascii="Arial" w:hAnsi="Arial" w:cs="Arial"/>
                <w:szCs w:val="24"/>
              </w:rPr>
              <w:t>(PC 2022, p. 14)</w:t>
            </w:r>
            <w:r>
              <w:t>.</w:t>
            </w:r>
          </w:p>
          <w:p w14:paraId="74C51DF2" w14:textId="464889F0" w:rsidR="009E5D9A" w:rsidRDefault="009E5D9A" w:rsidP="00BE18CF">
            <w:pPr>
              <w:pStyle w:val="BodyText"/>
            </w:pPr>
            <w:r>
              <w:t xml:space="preserve">But changes in the terms of trade tend to cause only short term deviations between measures of real income growth and productivity growth. As markets respond to supply or demand shocks, there is a strong tendency for the path of real income growth to revert to the longer-term relationship with labour productivity growth </w:t>
            </w:r>
            <w:r w:rsidR="006E6720" w:rsidRPr="006E6720">
              <w:rPr>
                <w:rFonts w:ascii="Arial" w:hAnsi="Arial" w:cs="Arial"/>
                <w:szCs w:val="24"/>
              </w:rPr>
              <w:t>(PC 2022, p. 14)</w:t>
            </w:r>
            <w:r>
              <w:t xml:space="preserve">. </w:t>
            </w:r>
          </w:p>
          <w:p w14:paraId="491AB13E" w14:textId="0EAE8953" w:rsidR="009E5D9A" w:rsidRDefault="009E5D9A" w:rsidP="002A0E03">
            <w:pPr>
              <w:pStyle w:val="BodyText"/>
            </w:pPr>
            <w:r>
              <w:t xml:space="preserve">Thus, in the long term, wage increases are driven almost entirely by productivity growth </w:t>
            </w:r>
            <w:r w:rsidR="006E6720" w:rsidRPr="006E6720">
              <w:rPr>
                <w:rFonts w:ascii="Arial" w:hAnsi="Arial" w:cs="Arial"/>
                <w:szCs w:val="24"/>
              </w:rPr>
              <w:t>(PC 2022, pp. 13–14)</w:t>
            </w:r>
            <w:r>
              <w:t>.</w:t>
            </w:r>
          </w:p>
        </w:tc>
      </w:tr>
      <w:tr w:rsidR="009E5D9A" w14:paraId="4F0E8BA6" w14:textId="77777777">
        <w:trPr>
          <w:hidden/>
        </w:trPr>
        <w:tc>
          <w:tcPr>
            <w:tcW w:w="9638" w:type="dxa"/>
            <w:shd w:val="clear" w:color="auto" w:fill="auto"/>
            <w:tcMar>
              <w:top w:w="0" w:type="dxa"/>
              <w:left w:w="170" w:type="dxa"/>
              <w:bottom w:w="0" w:type="dxa"/>
              <w:right w:w="170" w:type="dxa"/>
            </w:tcMar>
          </w:tcPr>
          <w:p w14:paraId="6661BFF8" w14:textId="77777777" w:rsidR="009E5D9A" w:rsidRPr="00465191" w:rsidRDefault="009E5D9A">
            <w:pPr>
              <w:pStyle w:val="BodyText"/>
              <w:spacing w:before="0" w:after="0" w:line="80" w:lineRule="atLeast"/>
              <w:rPr>
                <w:smallCaps/>
                <w:vanish/>
              </w:rPr>
            </w:pPr>
          </w:p>
        </w:tc>
      </w:tr>
    </w:tbl>
    <w:p w14:paraId="7C10311F" w14:textId="77777777" w:rsidR="009E5D9A" w:rsidRDefault="009E5D9A" w:rsidP="009E5D9A">
      <w:pPr>
        <w:pStyle w:val="Heading2-nonumber"/>
        <w:numPr>
          <w:ilvl w:val="0"/>
          <w:numId w:val="44"/>
        </w:numPr>
      </w:pPr>
      <w:bookmarkStart w:id="3" w:name="_Toc139383198"/>
      <w:r>
        <w:lastRenderedPageBreak/>
        <w:t>Industry-level productivity performance</w:t>
      </w:r>
      <w:bookmarkEnd w:id="3"/>
    </w:p>
    <w:p w14:paraId="14397FF4" w14:textId="77777777" w:rsidR="009E5D9A" w:rsidRDefault="009E5D9A" w:rsidP="003F5C36">
      <w:pPr>
        <w:pStyle w:val="Heading3"/>
      </w:pPr>
      <w:r>
        <w:t xml:space="preserve">Productivity increased in most industries, but some struggled </w:t>
      </w:r>
    </w:p>
    <w:p w14:paraId="7CEE79B2" w14:textId="77777777" w:rsidR="009E5D9A" w:rsidRPr="00EB4715" w:rsidRDefault="009E5D9A" w:rsidP="00EB4715">
      <w:pPr>
        <w:pStyle w:val="BodyText"/>
      </w:pPr>
      <w:r>
        <w:t xml:space="preserve">Although labour productivity increased across the market sector in 2021-22, outcomes varied by industry (table 2 and figure 5). The largest growth in labour productivity was in the agricultural industry at 13.7%. Four out of the 16 market sector industries decreased their productivity, with the largest decrease in mining (an industry that has performed poorly in terms of productivity growth in recent years). </w:t>
      </w:r>
    </w:p>
    <w:p w14:paraId="63BF9B7F" w14:textId="77777777" w:rsidR="009E5D9A" w:rsidRDefault="009E5D9A" w:rsidP="00BD0C3B">
      <w:pPr>
        <w:pStyle w:val="BodyText"/>
      </w:pPr>
      <w:r>
        <w:t>MFP also varied by industry (table 2 and figure 5). I</w:t>
      </w:r>
      <w:r w:rsidRPr="00532AD7">
        <w:t xml:space="preserve">ndustries with high labour productivity </w:t>
      </w:r>
      <w:r>
        <w:t xml:space="preserve">growth </w:t>
      </w:r>
      <w:r w:rsidRPr="00532AD7">
        <w:t xml:space="preserve">also </w:t>
      </w:r>
      <w:r>
        <w:t xml:space="preserve">tended to </w:t>
      </w:r>
      <w:r w:rsidRPr="00532AD7">
        <w:t xml:space="preserve">experience </w:t>
      </w:r>
      <w:r>
        <w:t>relatively high</w:t>
      </w:r>
      <w:r w:rsidRPr="00532AD7">
        <w:t xml:space="preserve"> </w:t>
      </w:r>
      <w:r>
        <w:t xml:space="preserve">MFP </w:t>
      </w:r>
      <w:r w:rsidRPr="00532AD7">
        <w:t>growth</w:t>
      </w:r>
      <w:r>
        <w:t xml:space="preserve">, as exemplified by the particularly strong growth in MFP in the agricultural industry </w:t>
      </w:r>
      <w:r>
        <w:rPr>
          <w:rStyle w:val="cf01"/>
        </w:rPr>
        <w:t xml:space="preserve">– </w:t>
      </w:r>
      <w:r>
        <w:t>the largest growth across all industries. Three out of the 16 market sector industries decreased their MFP, with the largest decrease in mining.</w:t>
      </w:r>
    </w:p>
    <w:p w14:paraId="48BD3E76" w14:textId="77777777" w:rsidR="009E5D9A" w:rsidRDefault="009E5D9A" w:rsidP="00E9708E">
      <w:pPr>
        <w:pStyle w:val="Heading3"/>
      </w:pPr>
      <w:r>
        <w:t>Some industries were outliers</w:t>
      </w:r>
    </w:p>
    <w:p w14:paraId="1F122137" w14:textId="77777777" w:rsidR="009E5D9A" w:rsidRDefault="009E5D9A" w:rsidP="00BD0C3B">
      <w:pPr>
        <w:pStyle w:val="BodyText"/>
      </w:pPr>
      <w:r w:rsidRPr="0029099C">
        <w:rPr>
          <w:b/>
          <w:bCs/>
        </w:rPr>
        <w:t>The agricultural, forestry and fishing</w:t>
      </w:r>
      <w:r>
        <w:t xml:space="preserve"> sector experienced the largest growth in productivity and output (table 2), while </w:t>
      </w:r>
      <w:r w:rsidRPr="00A412B3">
        <w:rPr>
          <w:b/>
          <w:bCs/>
        </w:rPr>
        <w:t>the mining</w:t>
      </w:r>
      <w:r>
        <w:t xml:space="preserve"> sector recorded a fall in productivity and output for the second consecutive year. These two industries are discussed in section 3. </w:t>
      </w:r>
    </w:p>
    <w:p w14:paraId="1591077C" w14:textId="21C718AA" w:rsidR="009E5D9A" w:rsidRDefault="009E5D9A" w:rsidP="00E73D6B">
      <w:pPr>
        <w:pStyle w:val="BodyText"/>
      </w:pPr>
      <w:r w:rsidRPr="00B227F8">
        <w:rPr>
          <w:b/>
          <w:bCs/>
        </w:rPr>
        <w:t>The transport, postal and warehousing</w:t>
      </w:r>
      <w:r>
        <w:t xml:space="preserve"> sector recorded solid growth in output and productivity, reversing the declining trend from the previous five years.</w:t>
      </w:r>
      <w:r w:rsidRPr="007D15B3">
        <w:rPr>
          <w:rStyle w:val="FootnoteReference"/>
        </w:rPr>
        <w:footnoteReference w:id="9"/>
      </w:r>
      <w:r>
        <w:t xml:space="preserve"> Gross value added (GVA) rose by 9.3%, reflecting a strong recovery from the COVID-19-induced output falls in previous years (table 2); this included increased travel and freight services from strong online sales and a bumper grain harvest </w:t>
      </w:r>
      <w:r w:rsidRPr="00E7364D">
        <w:rPr>
          <w:rFonts w:ascii="Arial" w:hAnsi="Arial" w:cs="Arial"/>
          <w:szCs w:val="24"/>
        </w:rPr>
        <w:t>(ABS 2022b)</w:t>
      </w:r>
      <w:r>
        <w:t>. GVA growth was driven by both a balanced increase in</w:t>
      </w:r>
      <w:r w:rsidDel="002A4B16">
        <w:t xml:space="preserve"> </w:t>
      </w:r>
      <w:r>
        <w:t xml:space="preserve">inputs (hours worked and capital services) and general productivity (labour productivity and MFP). </w:t>
      </w:r>
    </w:p>
    <w:p w14:paraId="77D8E4FA" w14:textId="41CDEE44" w:rsidR="009E5D9A" w:rsidRDefault="009E5D9A" w:rsidP="00BD0C3B">
      <w:pPr>
        <w:pStyle w:val="BodyText"/>
      </w:pPr>
      <w:r w:rsidRPr="003919C8">
        <w:rPr>
          <w:b/>
          <w:bCs/>
        </w:rPr>
        <w:t xml:space="preserve">The information, media and telecommunication </w:t>
      </w:r>
      <w:r>
        <w:t>sector continued to maintain strong productivity growth in 2021-22. The GVA</w:t>
      </w:r>
      <w:r w:rsidDel="009E4D8B">
        <w:t xml:space="preserve"> </w:t>
      </w:r>
      <w:r>
        <w:t xml:space="preserve">grew by 7.9%, supported by the completion of telecommunications infrastructure, the easing of COVID-19 restrictions, and increased remote working arrangements </w:t>
      </w:r>
      <w:r w:rsidRPr="00E7364D">
        <w:rPr>
          <w:rFonts w:ascii="Arial" w:hAnsi="Arial" w:cs="Arial"/>
          <w:szCs w:val="24"/>
        </w:rPr>
        <w:t>(ABS 2022b)</w:t>
      </w:r>
      <w:r>
        <w:t xml:space="preserve">. A rise in GVA was accompanied by minimal growth in inputs </w:t>
      </w:r>
      <w:r>
        <w:rPr>
          <w:rStyle w:val="cf01"/>
        </w:rPr>
        <w:t xml:space="preserve">– </w:t>
      </w:r>
      <w:r>
        <w:t>only a 1.8% increase in capital services and a 3.1% decrease in hours worked. This translated to a 7.5% increase in MFP and an 11.3% increase in labour productivity (table 2).</w:t>
      </w:r>
      <w:r>
        <w:br w:type="page"/>
      </w:r>
    </w:p>
    <w:p w14:paraId="56D54F38" w14:textId="77777777" w:rsidR="009E5D9A" w:rsidRDefault="009E5D9A" w:rsidP="00CE4F48">
      <w:pPr>
        <w:pStyle w:val="FigureTableHeading"/>
      </w:pPr>
      <w:r>
        <w:lastRenderedPageBreak/>
        <w:t>Table 2</w:t>
      </w:r>
      <w:r>
        <w:rPr>
          <w:noProof/>
        </w:rPr>
        <w:t xml:space="preserve"> – </w:t>
      </w:r>
      <w:r>
        <w:t>Industry productivity growth, 2021-22</w:t>
      </w:r>
      <w:r w:rsidRPr="00EC0C27">
        <w:rPr>
          <w:vertAlign w:val="superscript"/>
        </w:rPr>
        <w:t>a</w:t>
      </w:r>
    </w:p>
    <w:tbl>
      <w:tblPr>
        <w:tblpPr w:leftFromText="180" w:rightFromText="180" w:vertAnchor="text" w:horzAnchor="margin" w:tblpY="99"/>
        <w:tblW w:w="4975" w:type="pct"/>
        <w:tblBorders>
          <w:bottom w:val="single" w:sz="4" w:space="0" w:color="B3B3B3"/>
        </w:tblBorders>
        <w:tblCellMar>
          <w:left w:w="0" w:type="dxa"/>
          <w:right w:w="0" w:type="dxa"/>
        </w:tblCellMar>
        <w:tblLook w:val="04A0" w:firstRow="1" w:lastRow="0" w:firstColumn="1" w:lastColumn="0" w:noHBand="0" w:noVBand="1"/>
      </w:tblPr>
      <w:tblGrid>
        <w:gridCol w:w="3689"/>
        <w:gridCol w:w="1249"/>
        <w:gridCol w:w="1249"/>
        <w:gridCol w:w="1249"/>
        <w:gridCol w:w="1251"/>
        <w:gridCol w:w="903"/>
      </w:tblGrid>
      <w:tr w:rsidR="009E5D9A" w:rsidRPr="00547198" w14:paraId="7D032706" w14:textId="77777777" w:rsidTr="001348DA">
        <w:trPr>
          <w:trHeight w:val="428"/>
          <w:tblHeader/>
        </w:trPr>
        <w:tc>
          <w:tcPr>
            <w:tcW w:w="1924" w:type="pct"/>
            <w:tcBorders>
              <w:bottom w:val="nil"/>
            </w:tcBorders>
            <w:shd w:val="clear" w:color="auto" w:fill="auto"/>
            <w:vAlign w:val="bottom"/>
          </w:tcPr>
          <w:p w14:paraId="504CEFAF" w14:textId="77777777" w:rsidR="009E5D9A" w:rsidRPr="00547198" w:rsidRDefault="009E5D9A" w:rsidP="00DF2CB8">
            <w:pPr>
              <w:spacing w:before="45" w:after="45"/>
              <w:ind w:left="57" w:right="108"/>
              <w:jc w:val="right"/>
              <w:rPr>
                <w:rFonts w:ascii="Arial (Body)" w:hAnsi="Arial (Body)"/>
                <w:b/>
                <w:sz w:val="18"/>
              </w:rPr>
            </w:pPr>
          </w:p>
        </w:tc>
        <w:tc>
          <w:tcPr>
            <w:tcW w:w="651" w:type="pct"/>
            <w:tcBorders>
              <w:bottom w:val="nil"/>
            </w:tcBorders>
            <w:vAlign w:val="bottom"/>
          </w:tcPr>
          <w:p w14:paraId="3293EC55" w14:textId="77777777" w:rsidR="009E5D9A" w:rsidRPr="00547198" w:rsidRDefault="009E5D9A" w:rsidP="00DF2CB8">
            <w:pPr>
              <w:pStyle w:val="TableHeading"/>
              <w:ind w:right="57"/>
              <w:jc w:val="right"/>
            </w:pPr>
            <w:r w:rsidRPr="00547198">
              <w:t>Labour productivity</w:t>
            </w:r>
          </w:p>
        </w:tc>
        <w:tc>
          <w:tcPr>
            <w:tcW w:w="651" w:type="pct"/>
            <w:tcBorders>
              <w:bottom w:val="nil"/>
            </w:tcBorders>
            <w:vAlign w:val="bottom"/>
          </w:tcPr>
          <w:p w14:paraId="6FDE57F6" w14:textId="77777777" w:rsidR="009E5D9A" w:rsidRPr="00547198" w:rsidRDefault="009E5D9A" w:rsidP="00DF2CB8">
            <w:pPr>
              <w:pStyle w:val="TableHeading"/>
              <w:ind w:right="57"/>
              <w:jc w:val="right"/>
            </w:pPr>
            <w:r w:rsidRPr="00547198">
              <w:t>MFP</w:t>
            </w:r>
          </w:p>
        </w:tc>
        <w:tc>
          <w:tcPr>
            <w:tcW w:w="651" w:type="pct"/>
            <w:tcBorders>
              <w:bottom w:val="nil"/>
            </w:tcBorders>
            <w:shd w:val="clear" w:color="auto" w:fill="auto"/>
            <w:vAlign w:val="bottom"/>
          </w:tcPr>
          <w:p w14:paraId="3FE16577" w14:textId="77777777" w:rsidR="009E5D9A" w:rsidRDefault="009E5D9A" w:rsidP="00DF2CB8">
            <w:pPr>
              <w:pStyle w:val="TableHeading"/>
              <w:ind w:right="57"/>
              <w:jc w:val="right"/>
            </w:pPr>
            <w:r w:rsidRPr="00547198">
              <w:t xml:space="preserve">Hours </w:t>
            </w:r>
          </w:p>
          <w:p w14:paraId="44FE4BB0" w14:textId="77777777" w:rsidR="009E5D9A" w:rsidRPr="00547198" w:rsidRDefault="009E5D9A" w:rsidP="00DF2CB8">
            <w:pPr>
              <w:pStyle w:val="TableHeading"/>
              <w:ind w:right="57"/>
              <w:jc w:val="right"/>
            </w:pPr>
            <w:r w:rsidRPr="00547198">
              <w:t>worked</w:t>
            </w:r>
          </w:p>
        </w:tc>
        <w:tc>
          <w:tcPr>
            <w:tcW w:w="652" w:type="pct"/>
            <w:tcBorders>
              <w:bottom w:val="nil"/>
            </w:tcBorders>
            <w:shd w:val="clear" w:color="auto" w:fill="auto"/>
            <w:vAlign w:val="bottom"/>
          </w:tcPr>
          <w:p w14:paraId="6AAA8763" w14:textId="77777777" w:rsidR="009E5D9A" w:rsidRPr="00547198" w:rsidRDefault="009E5D9A" w:rsidP="00DF2CB8">
            <w:pPr>
              <w:pStyle w:val="TableHeading"/>
              <w:ind w:right="57"/>
              <w:jc w:val="right"/>
            </w:pPr>
            <w:r w:rsidRPr="00547198">
              <w:t>Capital Services</w:t>
            </w:r>
          </w:p>
        </w:tc>
        <w:tc>
          <w:tcPr>
            <w:tcW w:w="470" w:type="pct"/>
            <w:tcBorders>
              <w:bottom w:val="nil"/>
            </w:tcBorders>
            <w:vAlign w:val="bottom"/>
          </w:tcPr>
          <w:p w14:paraId="2B18C2BF" w14:textId="77777777" w:rsidR="009E5D9A" w:rsidRDefault="009E5D9A" w:rsidP="00DF2CB8">
            <w:pPr>
              <w:pStyle w:val="TableHeading"/>
              <w:ind w:right="57"/>
              <w:jc w:val="right"/>
            </w:pPr>
            <w:r w:rsidRPr="00547198">
              <w:t xml:space="preserve">Output </w:t>
            </w:r>
          </w:p>
          <w:p w14:paraId="6FF3F4CC" w14:textId="77777777" w:rsidR="009E5D9A" w:rsidRPr="00547198" w:rsidRDefault="009E5D9A" w:rsidP="00DF2CB8">
            <w:pPr>
              <w:pStyle w:val="TableHeading"/>
              <w:ind w:right="57"/>
              <w:jc w:val="right"/>
            </w:pPr>
            <w:r w:rsidRPr="00547198">
              <w:t>(GVA)</w:t>
            </w:r>
          </w:p>
        </w:tc>
      </w:tr>
      <w:tr w:rsidR="009E5D9A" w:rsidRPr="00547198" w14:paraId="0A946017" w14:textId="77777777" w:rsidTr="00CC56D1">
        <w:trPr>
          <w:trHeight w:val="233"/>
          <w:tblHeader/>
        </w:trPr>
        <w:tc>
          <w:tcPr>
            <w:tcW w:w="1924" w:type="pct"/>
            <w:tcBorders>
              <w:bottom w:val="single" w:sz="4" w:space="0" w:color="B3B3B3"/>
            </w:tcBorders>
            <w:shd w:val="clear" w:color="auto" w:fill="auto"/>
            <w:vAlign w:val="bottom"/>
          </w:tcPr>
          <w:p w14:paraId="7CFD0730" w14:textId="77777777" w:rsidR="009E5D9A" w:rsidRPr="00547198" w:rsidRDefault="009E5D9A" w:rsidP="00CC56D1">
            <w:pPr>
              <w:spacing w:before="40" w:after="40"/>
              <w:ind w:left="57" w:right="108"/>
              <w:jc w:val="right"/>
              <w:rPr>
                <w:rFonts w:ascii="Arial (Body)" w:hAnsi="Arial (Body)"/>
                <w:b/>
                <w:sz w:val="18"/>
              </w:rPr>
            </w:pPr>
          </w:p>
        </w:tc>
        <w:tc>
          <w:tcPr>
            <w:tcW w:w="651" w:type="pct"/>
            <w:tcBorders>
              <w:bottom w:val="single" w:sz="4" w:space="0" w:color="B3B3B3"/>
            </w:tcBorders>
            <w:vAlign w:val="bottom"/>
          </w:tcPr>
          <w:p w14:paraId="1209BFF1" w14:textId="77777777" w:rsidR="009E5D9A" w:rsidRPr="00547198" w:rsidRDefault="009E5D9A" w:rsidP="00CC56D1">
            <w:pPr>
              <w:pStyle w:val="TableHeading"/>
              <w:spacing w:before="40" w:after="40"/>
              <w:ind w:right="57"/>
              <w:jc w:val="right"/>
            </w:pPr>
            <w:r>
              <w:t>%</w:t>
            </w:r>
          </w:p>
        </w:tc>
        <w:tc>
          <w:tcPr>
            <w:tcW w:w="651" w:type="pct"/>
            <w:tcBorders>
              <w:bottom w:val="single" w:sz="4" w:space="0" w:color="B3B3B3"/>
            </w:tcBorders>
            <w:vAlign w:val="bottom"/>
          </w:tcPr>
          <w:p w14:paraId="1B152BA3" w14:textId="77777777" w:rsidR="009E5D9A" w:rsidRPr="00547198" w:rsidRDefault="009E5D9A" w:rsidP="00CC56D1">
            <w:pPr>
              <w:pStyle w:val="TableHeading"/>
              <w:spacing w:before="40" w:after="40"/>
              <w:ind w:right="57"/>
              <w:jc w:val="right"/>
            </w:pPr>
            <w:r>
              <w:t>%</w:t>
            </w:r>
          </w:p>
        </w:tc>
        <w:tc>
          <w:tcPr>
            <w:tcW w:w="651" w:type="pct"/>
            <w:tcBorders>
              <w:bottom w:val="single" w:sz="4" w:space="0" w:color="B3B3B3"/>
            </w:tcBorders>
            <w:shd w:val="clear" w:color="auto" w:fill="auto"/>
            <w:vAlign w:val="bottom"/>
          </w:tcPr>
          <w:p w14:paraId="1637D0B4" w14:textId="77777777" w:rsidR="009E5D9A" w:rsidRPr="00547198" w:rsidRDefault="009E5D9A" w:rsidP="00CC56D1">
            <w:pPr>
              <w:pStyle w:val="TableHeading"/>
              <w:spacing w:before="40" w:after="40"/>
              <w:ind w:right="57"/>
              <w:jc w:val="right"/>
            </w:pPr>
            <w:r>
              <w:t>%</w:t>
            </w:r>
          </w:p>
        </w:tc>
        <w:tc>
          <w:tcPr>
            <w:tcW w:w="652" w:type="pct"/>
            <w:tcBorders>
              <w:bottom w:val="single" w:sz="4" w:space="0" w:color="B3B3B3"/>
            </w:tcBorders>
            <w:shd w:val="clear" w:color="auto" w:fill="auto"/>
            <w:vAlign w:val="bottom"/>
          </w:tcPr>
          <w:p w14:paraId="764E3D9D" w14:textId="77777777" w:rsidR="009E5D9A" w:rsidRPr="00547198" w:rsidRDefault="009E5D9A" w:rsidP="00CC56D1">
            <w:pPr>
              <w:pStyle w:val="TableHeading"/>
              <w:spacing w:before="40" w:after="40"/>
              <w:ind w:right="57"/>
              <w:jc w:val="right"/>
            </w:pPr>
            <w:r>
              <w:t>%</w:t>
            </w:r>
          </w:p>
        </w:tc>
        <w:tc>
          <w:tcPr>
            <w:tcW w:w="470" w:type="pct"/>
            <w:tcBorders>
              <w:bottom w:val="single" w:sz="4" w:space="0" w:color="B3B3B3"/>
            </w:tcBorders>
            <w:vAlign w:val="bottom"/>
          </w:tcPr>
          <w:p w14:paraId="329EA107" w14:textId="77777777" w:rsidR="009E5D9A" w:rsidRPr="00547198" w:rsidRDefault="009E5D9A" w:rsidP="00CC56D1">
            <w:pPr>
              <w:pStyle w:val="TableHeading"/>
              <w:spacing w:before="40" w:after="40"/>
              <w:ind w:right="57"/>
              <w:jc w:val="right"/>
            </w:pPr>
            <w:r>
              <w:t>%</w:t>
            </w:r>
          </w:p>
        </w:tc>
      </w:tr>
      <w:tr w:rsidR="009E5D9A" w:rsidRPr="004C7145" w14:paraId="4DB9BBA1" w14:textId="77777777" w:rsidTr="00AB6D01">
        <w:trPr>
          <w:trHeight w:val="334"/>
        </w:trPr>
        <w:tc>
          <w:tcPr>
            <w:tcW w:w="5000" w:type="pct"/>
            <w:gridSpan w:val="6"/>
            <w:tcBorders>
              <w:top w:val="single" w:sz="4" w:space="0" w:color="B3B3B3"/>
              <w:bottom w:val="nil"/>
            </w:tcBorders>
            <w:shd w:val="clear" w:color="auto" w:fill="E0F1F7" w:themeFill="text2" w:themeFillTint="33"/>
            <w:vAlign w:val="bottom"/>
          </w:tcPr>
          <w:p w14:paraId="7936FDF6" w14:textId="77777777" w:rsidR="009E5D9A" w:rsidRPr="002B0C0B" w:rsidRDefault="009E5D9A" w:rsidP="00AB6D01">
            <w:pPr>
              <w:pStyle w:val="TableBody"/>
              <w:ind w:right="57"/>
              <w:rPr>
                <w:b/>
                <w:bCs/>
                <w:color w:val="000000"/>
              </w:rPr>
            </w:pPr>
            <w:r w:rsidRPr="00AB6D01">
              <w:rPr>
                <w:b/>
                <w:bCs/>
                <w:color w:val="265A9A" w:themeColor="background2"/>
              </w:rPr>
              <w:t>Market sector (16 industries)</w:t>
            </w:r>
          </w:p>
        </w:tc>
      </w:tr>
      <w:tr w:rsidR="009E5D9A" w:rsidRPr="004C7145" w14:paraId="6598A6C3" w14:textId="77777777" w:rsidTr="00B07EC6">
        <w:trPr>
          <w:trHeight w:val="334"/>
        </w:trPr>
        <w:tc>
          <w:tcPr>
            <w:tcW w:w="1924" w:type="pct"/>
            <w:tcBorders>
              <w:top w:val="nil"/>
              <w:bottom w:val="nil"/>
            </w:tcBorders>
            <w:shd w:val="clear" w:color="auto" w:fill="F2F2F2" w:themeFill="background1" w:themeFillShade="F2"/>
            <w:vAlign w:val="bottom"/>
          </w:tcPr>
          <w:p w14:paraId="695FF3AA" w14:textId="77777777" w:rsidR="009E5D9A" w:rsidRPr="00B227F8" w:rsidRDefault="009E5D9A" w:rsidP="00060E04">
            <w:pPr>
              <w:pStyle w:val="TableBody"/>
            </w:pPr>
            <w:r w:rsidRPr="00B227F8">
              <w:t>Agriculture, forestry and fishing</w:t>
            </w:r>
          </w:p>
        </w:tc>
        <w:tc>
          <w:tcPr>
            <w:tcW w:w="651" w:type="pct"/>
            <w:tcBorders>
              <w:top w:val="nil"/>
              <w:bottom w:val="nil"/>
            </w:tcBorders>
            <w:shd w:val="clear" w:color="auto" w:fill="F2F2F2" w:themeFill="background1" w:themeFillShade="F2"/>
            <w:vAlign w:val="bottom"/>
          </w:tcPr>
          <w:p w14:paraId="2113BB58" w14:textId="77777777" w:rsidR="009E5D9A" w:rsidRPr="00B227F8" w:rsidRDefault="009E5D9A" w:rsidP="00AB6D01">
            <w:pPr>
              <w:pStyle w:val="TableBody"/>
              <w:ind w:right="57"/>
              <w:jc w:val="right"/>
            </w:pPr>
            <w:r w:rsidRPr="00B227F8">
              <w:t>13.7</w:t>
            </w:r>
          </w:p>
        </w:tc>
        <w:tc>
          <w:tcPr>
            <w:tcW w:w="651" w:type="pct"/>
            <w:tcBorders>
              <w:top w:val="nil"/>
              <w:bottom w:val="nil"/>
            </w:tcBorders>
            <w:shd w:val="clear" w:color="auto" w:fill="F2F2F2" w:themeFill="background1" w:themeFillShade="F2"/>
            <w:vAlign w:val="bottom"/>
          </w:tcPr>
          <w:p w14:paraId="0D06D8BE" w14:textId="77777777" w:rsidR="009E5D9A" w:rsidRPr="00B227F8" w:rsidRDefault="009E5D9A" w:rsidP="00AB6D01">
            <w:pPr>
              <w:pStyle w:val="TableBody"/>
              <w:ind w:right="57"/>
              <w:jc w:val="right"/>
            </w:pPr>
            <w:r w:rsidRPr="00B227F8">
              <w:t>21.2</w:t>
            </w:r>
          </w:p>
        </w:tc>
        <w:tc>
          <w:tcPr>
            <w:tcW w:w="651" w:type="pct"/>
            <w:tcBorders>
              <w:top w:val="nil"/>
              <w:bottom w:val="nil"/>
            </w:tcBorders>
            <w:shd w:val="clear" w:color="auto" w:fill="F2F2F2" w:themeFill="background1" w:themeFillShade="F2"/>
            <w:vAlign w:val="bottom"/>
          </w:tcPr>
          <w:p w14:paraId="5AB5A639" w14:textId="77777777" w:rsidR="009E5D9A" w:rsidRPr="00B227F8" w:rsidRDefault="009E5D9A" w:rsidP="00AB6D01">
            <w:pPr>
              <w:pStyle w:val="TableBody"/>
              <w:ind w:right="57"/>
              <w:jc w:val="right"/>
            </w:pPr>
            <w:r w:rsidRPr="00B227F8">
              <w:t>8.5</w:t>
            </w:r>
          </w:p>
        </w:tc>
        <w:tc>
          <w:tcPr>
            <w:tcW w:w="652" w:type="pct"/>
            <w:tcBorders>
              <w:top w:val="nil"/>
              <w:bottom w:val="nil"/>
            </w:tcBorders>
            <w:shd w:val="clear" w:color="auto" w:fill="F2F2F2" w:themeFill="background1" w:themeFillShade="F2"/>
            <w:vAlign w:val="bottom"/>
          </w:tcPr>
          <w:p w14:paraId="05B6B134" w14:textId="77777777" w:rsidR="009E5D9A" w:rsidRPr="00B227F8" w:rsidRDefault="009E5D9A" w:rsidP="00AB6D01">
            <w:pPr>
              <w:pStyle w:val="TableBody"/>
              <w:ind w:right="57"/>
              <w:jc w:val="right"/>
            </w:pPr>
            <w:r w:rsidRPr="00B227F8">
              <w:t>-0.3</w:t>
            </w:r>
          </w:p>
        </w:tc>
        <w:tc>
          <w:tcPr>
            <w:tcW w:w="470" w:type="pct"/>
            <w:tcBorders>
              <w:top w:val="nil"/>
              <w:bottom w:val="nil"/>
            </w:tcBorders>
            <w:shd w:val="clear" w:color="auto" w:fill="F2F2F2" w:themeFill="background1" w:themeFillShade="F2"/>
            <w:vAlign w:val="bottom"/>
          </w:tcPr>
          <w:p w14:paraId="4CB8B8DC" w14:textId="77777777" w:rsidR="009E5D9A" w:rsidRPr="00B227F8" w:rsidRDefault="009E5D9A" w:rsidP="00AB6D01">
            <w:pPr>
              <w:pStyle w:val="TableBody"/>
              <w:ind w:right="57"/>
              <w:jc w:val="right"/>
            </w:pPr>
            <w:r w:rsidRPr="00B227F8">
              <w:t>23.4</w:t>
            </w:r>
          </w:p>
        </w:tc>
      </w:tr>
      <w:tr w:rsidR="009E5D9A" w:rsidRPr="004C7145" w14:paraId="2DE6427B" w14:textId="77777777" w:rsidTr="00B07EC6">
        <w:trPr>
          <w:trHeight w:val="334"/>
        </w:trPr>
        <w:tc>
          <w:tcPr>
            <w:tcW w:w="1924" w:type="pct"/>
            <w:tcBorders>
              <w:top w:val="nil"/>
              <w:bottom w:val="nil"/>
            </w:tcBorders>
            <w:shd w:val="clear" w:color="auto" w:fill="auto"/>
            <w:vAlign w:val="bottom"/>
          </w:tcPr>
          <w:p w14:paraId="2C4274B0" w14:textId="77777777" w:rsidR="009E5D9A" w:rsidRPr="00B227F8" w:rsidRDefault="009E5D9A" w:rsidP="00060E04">
            <w:pPr>
              <w:pStyle w:val="TableBody"/>
            </w:pPr>
            <w:r w:rsidRPr="00445B68">
              <w:t>Information, media and telecommunications</w:t>
            </w:r>
          </w:p>
        </w:tc>
        <w:tc>
          <w:tcPr>
            <w:tcW w:w="651" w:type="pct"/>
            <w:tcBorders>
              <w:top w:val="nil"/>
              <w:bottom w:val="nil"/>
            </w:tcBorders>
            <w:vAlign w:val="bottom"/>
          </w:tcPr>
          <w:p w14:paraId="0C83425B" w14:textId="77777777" w:rsidR="009E5D9A" w:rsidRPr="00445B68" w:rsidRDefault="009E5D9A" w:rsidP="00AB6D01">
            <w:pPr>
              <w:pStyle w:val="TableBody"/>
              <w:ind w:right="57"/>
              <w:jc w:val="right"/>
            </w:pPr>
            <w:r w:rsidRPr="00445B68">
              <w:t>11.3</w:t>
            </w:r>
          </w:p>
        </w:tc>
        <w:tc>
          <w:tcPr>
            <w:tcW w:w="651" w:type="pct"/>
            <w:tcBorders>
              <w:top w:val="nil"/>
              <w:bottom w:val="nil"/>
            </w:tcBorders>
            <w:shd w:val="clear" w:color="auto" w:fill="auto"/>
            <w:vAlign w:val="bottom"/>
          </w:tcPr>
          <w:p w14:paraId="22955C4D" w14:textId="77777777" w:rsidR="009E5D9A" w:rsidRPr="00B227F8" w:rsidRDefault="009E5D9A" w:rsidP="00AB6D01">
            <w:pPr>
              <w:pStyle w:val="TableBody"/>
              <w:ind w:right="57"/>
              <w:jc w:val="right"/>
            </w:pPr>
            <w:r w:rsidRPr="00445B68">
              <w:t>7.5</w:t>
            </w:r>
          </w:p>
        </w:tc>
        <w:tc>
          <w:tcPr>
            <w:tcW w:w="651" w:type="pct"/>
            <w:tcBorders>
              <w:top w:val="nil"/>
              <w:bottom w:val="nil"/>
            </w:tcBorders>
            <w:shd w:val="clear" w:color="auto" w:fill="auto"/>
            <w:vAlign w:val="bottom"/>
          </w:tcPr>
          <w:p w14:paraId="5702B523" w14:textId="77777777" w:rsidR="009E5D9A" w:rsidRPr="00B227F8" w:rsidRDefault="009E5D9A" w:rsidP="00AB6D01">
            <w:pPr>
              <w:pStyle w:val="TableBody"/>
              <w:ind w:right="57"/>
              <w:jc w:val="right"/>
            </w:pPr>
            <w:r w:rsidRPr="00445B68">
              <w:t>-3.1</w:t>
            </w:r>
          </w:p>
        </w:tc>
        <w:tc>
          <w:tcPr>
            <w:tcW w:w="652" w:type="pct"/>
            <w:tcBorders>
              <w:top w:val="nil"/>
              <w:bottom w:val="nil"/>
            </w:tcBorders>
            <w:shd w:val="clear" w:color="auto" w:fill="auto"/>
            <w:vAlign w:val="bottom"/>
          </w:tcPr>
          <w:p w14:paraId="1DEBDE47" w14:textId="77777777" w:rsidR="009E5D9A" w:rsidRPr="00B227F8" w:rsidRDefault="009E5D9A" w:rsidP="00AB6D01">
            <w:pPr>
              <w:pStyle w:val="TableBody"/>
              <w:ind w:right="57"/>
              <w:jc w:val="right"/>
            </w:pPr>
            <w:r w:rsidRPr="00445B68">
              <w:t>1.8</w:t>
            </w:r>
          </w:p>
        </w:tc>
        <w:tc>
          <w:tcPr>
            <w:tcW w:w="470" w:type="pct"/>
            <w:tcBorders>
              <w:top w:val="nil"/>
              <w:bottom w:val="nil"/>
            </w:tcBorders>
            <w:vAlign w:val="bottom"/>
          </w:tcPr>
          <w:p w14:paraId="7CBB061B" w14:textId="77777777" w:rsidR="009E5D9A" w:rsidRPr="00B227F8" w:rsidRDefault="009E5D9A" w:rsidP="00AB6D01">
            <w:pPr>
              <w:pStyle w:val="TableBody"/>
              <w:ind w:right="57"/>
              <w:jc w:val="right"/>
            </w:pPr>
            <w:r w:rsidRPr="00445B68">
              <w:t>7.9</w:t>
            </w:r>
          </w:p>
        </w:tc>
      </w:tr>
      <w:tr w:rsidR="009E5D9A" w:rsidRPr="004C7145" w14:paraId="58D95812" w14:textId="77777777" w:rsidTr="00B07EC6">
        <w:trPr>
          <w:trHeight w:val="334"/>
        </w:trPr>
        <w:tc>
          <w:tcPr>
            <w:tcW w:w="1924" w:type="pct"/>
            <w:tcBorders>
              <w:bottom w:val="nil"/>
            </w:tcBorders>
            <w:shd w:val="clear" w:color="auto" w:fill="F2F2F2"/>
            <w:vAlign w:val="bottom"/>
          </w:tcPr>
          <w:p w14:paraId="75912825" w14:textId="77777777" w:rsidR="009E5D9A" w:rsidRPr="00CE59E8" w:rsidRDefault="009E5D9A" w:rsidP="00060E04">
            <w:pPr>
              <w:pStyle w:val="TableBody"/>
            </w:pPr>
            <w:r w:rsidRPr="00445B68">
              <w:t>Wholesale trade</w:t>
            </w:r>
          </w:p>
        </w:tc>
        <w:tc>
          <w:tcPr>
            <w:tcW w:w="651" w:type="pct"/>
            <w:tcBorders>
              <w:bottom w:val="nil"/>
            </w:tcBorders>
            <w:shd w:val="clear" w:color="auto" w:fill="F2F2F2"/>
            <w:vAlign w:val="bottom"/>
          </w:tcPr>
          <w:p w14:paraId="5CBE0DDF" w14:textId="77777777" w:rsidR="009E5D9A" w:rsidRPr="00445B68" w:rsidRDefault="009E5D9A" w:rsidP="00AB6D01">
            <w:pPr>
              <w:pStyle w:val="TableBody"/>
              <w:ind w:right="57"/>
              <w:jc w:val="right"/>
            </w:pPr>
            <w:r w:rsidRPr="00445B68">
              <w:t>8.6</w:t>
            </w:r>
          </w:p>
        </w:tc>
        <w:tc>
          <w:tcPr>
            <w:tcW w:w="651" w:type="pct"/>
            <w:tcBorders>
              <w:bottom w:val="nil"/>
            </w:tcBorders>
            <w:shd w:val="clear" w:color="auto" w:fill="F2F2F2"/>
            <w:vAlign w:val="bottom"/>
          </w:tcPr>
          <w:p w14:paraId="02271CBA" w14:textId="77777777" w:rsidR="009E5D9A" w:rsidRPr="00CE59E8" w:rsidRDefault="009E5D9A" w:rsidP="00AB6D01">
            <w:pPr>
              <w:pStyle w:val="TableBody"/>
              <w:ind w:right="57"/>
              <w:jc w:val="right"/>
            </w:pPr>
            <w:r w:rsidRPr="00445B68">
              <w:t>4.8</w:t>
            </w:r>
          </w:p>
        </w:tc>
        <w:tc>
          <w:tcPr>
            <w:tcW w:w="651" w:type="pct"/>
            <w:tcBorders>
              <w:bottom w:val="nil"/>
            </w:tcBorders>
            <w:shd w:val="clear" w:color="auto" w:fill="F2F2F2"/>
            <w:vAlign w:val="bottom"/>
          </w:tcPr>
          <w:p w14:paraId="3185B096" w14:textId="77777777" w:rsidR="009E5D9A" w:rsidRPr="00CE59E8" w:rsidRDefault="009E5D9A" w:rsidP="00AB6D01">
            <w:pPr>
              <w:pStyle w:val="TableBody"/>
              <w:ind w:right="57"/>
              <w:jc w:val="right"/>
            </w:pPr>
            <w:r w:rsidRPr="00445B68">
              <w:t>-6.8</w:t>
            </w:r>
          </w:p>
        </w:tc>
        <w:tc>
          <w:tcPr>
            <w:tcW w:w="652" w:type="pct"/>
            <w:tcBorders>
              <w:bottom w:val="nil"/>
            </w:tcBorders>
            <w:shd w:val="clear" w:color="auto" w:fill="F2F2F2"/>
            <w:vAlign w:val="bottom"/>
          </w:tcPr>
          <w:p w14:paraId="70D439FE" w14:textId="77777777" w:rsidR="009E5D9A" w:rsidRPr="00CE59E8" w:rsidRDefault="009E5D9A" w:rsidP="00AB6D01">
            <w:pPr>
              <w:pStyle w:val="TableBody"/>
              <w:ind w:right="57"/>
              <w:jc w:val="right"/>
            </w:pPr>
            <w:r w:rsidRPr="00445B68">
              <w:t>2.5</w:t>
            </w:r>
          </w:p>
        </w:tc>
        <w:tc>
          <w:tcPr>
            <w:tcW w:w="470" w:type="pct"/>
            <w:tcBorders>
              <w:bottom w:val="nil"/>
            </w:tcBorders>
            <w:shd w:val="clear" w:color="auto" w:fill="F2F2F2"/>
            <w:vAlign w:val="bottom"/>
          </w:tcPr>
          <w:p w14:paraId="18C1AB67" w14:textId="77777777" w:rsidR="009E5D9A" w:rsidRPr="00CE59E8" w:rsidRDefault="009E5D9A" w:rsidP="00AB6D01">
            <w:pPr>
              <w:pStyle w:val="TableBody"/>
              <w:ind w:right="57"/>
              <w:jc w:val="right"/>
            </w:pPr>
            <w:r w:rsidRPr="00445B68">
              <w:t>1.3</w:t>
            </w:r>
          </w:p>
        </w:tc>
      </w:tr>
      <w:tr w:rsidR="009E5D9A" w:rsidRPr="004C7145" w14:paraId="18B8316F" w14:textId="77777777" w:rsidTr="00B07EC6">
        <w:trPr>
          <w:trHeight w:val="334"/>
        </w:trPr>
        <w:tc>
          <w:tcPr>
            <w:tcW w:w="1924" w:type="pct"/>
            <w:tcBorders>
              <w:bottom w:val="nil"/>
            </w:tcBorders>
            <w:shd w:val="clear" w:color="auto" w:fill="auto"/>
            <w:vAlign w:val="bottom"/>
          </w:tcPr>
          <w:p w14:paraId="25149996" w14:textId="77777777" w:rsidR="009E5D9A" w:rsidRPr="00CE59E8" w:rsidRDefault="009E5D9A" w:rsidP="00060E04">
            <w:pPr>
              <w:pStyle w:val="TableBody"/>
            </w:pPr>
            <w:r w:rsidRPr="00445B68">
              <w:t>Transport, postal and warehousing</w:t>
            </w:r>
          </w:p>
        </w:tc>
        <w:tc>
          <w:tcPr>
            <w:tcW w:w="651" w:type="pct"/>
            <w:tcBorders>
              <w:bottom w:val="nil"/>
            </w:tcBorders>
            <w:vAlign w:val="bottom"/>
          </w:tcPr>
          <w:p w14:paraId="2254CA50" w14:textId="77777777" w:rsidR="009E5D9A" w:rsidRPr="00445B68" w:rsidRDefault="009E5D9A" w:rsidP="00AB6D01">
            <w:pPr>
              <w:pStyle w:val="TableBody"/>
              <w:ind w:right="57"/>
              <w:jc w:val="right"/>
            </w:pPr>
            <w:r w:rsidRPr="00445B68">
              <w:t>6.3</w:t>
            </w:r>
          </w:p>
        </w:tc>
        <w:tc>
          <w:tcPr>
            <w:tcW w:w="651" w:type="pct"/>
            <w:tcBorders>
              <w:bottom w:val="nil"/>
            </w:tcBorders>
            <w:shd w:val="clear" w:color="auto" w:fill="auto"/>
            <w:vAlign w:val="bottom"/>
          </w:tcPr>
          <w:p w14:paraId="29E22918" w14:textId="77777777" w:rsidR="009E5D9A" w:rsidRPr="00CE59E8" w:rsidRDefault="009E5D9A" w:rsidP="00AB6D01">
            <w:pPr>
              <w:pStyle w:val="TableBody"/>
              <w:ind w:right="57"/>
              <w:jc w:val="right"/>
            </w:pPr>
            <w:r w:rsidRPr="00445B68">
              <w:t>6.3</w:t>
            </w:r>
          </w:p>
        </w:tc>
        <w:tc>
          <w:tcPr>
            <w:tcW w:w="651" w:type="pct"/>
            <w:tcBorders>
              <w:bottom w:val="nil"/>
            </w:tcBorders>
            <w:shd w:val="clear" w:color="auto" w:fill="auto"/>
            <w:vAlign w:val="bottom"/>
          </w:tcPr>
          <w:p w14:paraId="644F42E0" w14:textId="77777777" w:rsidR="009E5D9A" w:rsidRPr="00CE59E8" w:rsidRDefault="009E5D9A" w:rsidP="00AB6D01">
            <w:pPr>
              <w:pStyle w:val="TableBody"/>
              <w:ind w:right="57"/>
              <w:jc w:val="right"/>
            </w:pPr>
            <w:r w:rsidRPr="00445B68">
              <w:t>2.9</w:t>
            </w:r>
          </w:p>
        </w:tc>
        <w:tc>
          <w:tcPr>
            <w:tcW w:w="652" w:type="pct"/>
            <w:tcBorders>
              <w:bottom w:val="nil"/>
            </w:tcBorders>
            <w:shd w:val="clear" w:color="auto" w:fill="auto"/>
            <w:vAlign w:val="bottom"/>
          </w:tcPr>
          <w:p w14:paraId="4FC57E50" w14:textId="77777777" w:rsidR="009E5D9A" w:rsidRPr="00CE59E8" w:rsidRDefault="009E5D9A" w:rsidP="00AB6D01">
            <w:pPr>
              <w:pStyle w:val="TableBody"/>
              <w:ind w:right="57"/>
              <w:jc w:val="right"/>
            </w:pPr>
            <w:r w:rsidRPr="00445B68">
              <w:t>2.9</w:t>
            </w:r>
          </w:p>
        </w:tc>
        <w:tc>
          <w:tcPr>
            <w:tcW w:w="470" w:type="pct"/>
            <w:tcBorders>
              <w:bottom w:val="nil"/>
            </w:tcBorders>
            <w:shd w:val="clear" w:color="auto" w:fill="auto"/>
            <w:vAlign w:val="bottom"/>
          </w:tcPr>
          <w:p w14:paraId="668BB553" w14:textId="77777777" w:rsidR="009E5D9A" w:rsidRPr="00CE59E8" w:rsidRDefault="009E5D9A" w:rsidP="00AB6D01">
            <w:pPr>
              <w:pStyle w:val="TableBody"/>
              <w:ind w:right="57"/>
              <w:jc w:val="right"/>
            </w:pPr>
            <w:r w:rsidRPr="00445B68">
              <w:t>9.3</w:t>
            </w:r>
          </w:p>
        </w:tc>
      </w:tr>
      <w:tr w:rsidR="009E5D9A" w:rsidRPr="004C7145" w14:paraId="5118AA88" w14:textId="77777777" w:rsidTr="00B07EC6">
        <w:trPr>
          <w:trHeight w:val="334"/>
        </w:trPr>
        <w:tc>
          <w:tcPr>
            <w:tcW w:w="1924" w:type="pct"/>
            <w:tcBorders>
              <w:bottom w:val="nil"/>
            </w:tcBorders>
            <w:shd w:val="clear" w:color="auto" w:fill="F2F2F2"/>
            <w:vAlign w:val="bottom"/>
          </w:tcPr>
          <w:p w14:paraId="6D4D2199" w14:textId="77777777" w:rsidR="009E5D9A" w:rsidRPr="00CE59E8" w:rsidRDefault="009E5D9A" w:rsidP="00060E04">
            <w:pPr>
              <w:pStyle w:val="TableBody"/>
            </w:pPr>
            <w:r w:rsidRPr="00445B68">
              <w:t>Arts and recreation services</w:t>
            </w:r>
          </w:p>
        </w:tc>
        <w:tc>
          <w:tcPr>
            <w:tcW w:w="651" w:type="pct"/>
            <w:tcBorders>
              <w:bottom w:val="nil"/>
            </w:tcBorders>
            <w:shd w:val="clear" w:color="auto" w:fill="F2F2F2"/>
            <w:vAlign w:val="bottom"/>
          </w:tcPr>
          <w:p w14:paraId="430EE637" w14:textId="77777777" w:rsidR="009E5D9A" w:rsidRPr="00445B68" w:rsidRDefault="009E5D9A" w:rsidP="00AB6D01">
            <w:pPr>
              <w:pStyle w:val="TableBody"/>
              <w:ind w:right="57"/>
              <w:jc w:val="right"/>
            </w:pPr>
            <w:r w:rsidRPr="00445B68">
              <w:t>5.5</w:t>
            </w:r>
          </w:p>
        </w:tc>
        <w:tc>
          <w:tcPr>
            <w:tcW w:w="651" w:type="pct"/>
            <w:tcBorders>
              <w:bottom w:val="nil"/>
            </w:tcBorders>
            <w:shd w:val="clear" w:color="auto" w:fill="F2F2F2"/>
            <w:vAlign w:val="bottom"/>
          </w:tcPr>
          <w:p w14:paraId="2DA29ABB" w14:textId="77777777" w:rsidR="009E5D9A" w:rsidRPr="00CE59E8" w:rsidRDefault="009E5D9A" w:rsidP="00AB6D01">
            <w:pPr>
              <w:pStyle w:val="TableBody"/>
              <w:ind w:right="57"/>
              <w:jc w:val="right"/>
            </w:pPr>
            <w:r w:rsidRPr="00445B68">
              <w:t>5.2</w:t>
            </w:r>
          </w:p>
        </w:tc>
        <w:tc>
          <w:tcPr>
            <w:tcW w:w="651" w:type="pct"/>
            <w:tcBorders>
              <w:bottom w:val="nil"/>
            </w:tcBorders>
            <w:shd w:val="clear" w:color="auto" w:fill="F2F2F2"/>
            <w:vAlign w:val="bottom"/>
          </w:tcPr>
          <w:p w14:paraId="5216CE1A" w14:textId="77777777" w:rsidR="009E5D9A" w:rsidRPr="00CE59E8" w:rsidRDefault="009E5D9A" w:rsidP="00AB6D01">
            <w:pPr>
              <w:pStyle w:val="TableBody"/>
              <w:ind w:right="57"/>
              <w:jc w:val="right"/>
            </w:pPr>
            <w:r w:rsidRPr="00445B68">
              <w:t>2.2</w:t>
            </w:r>
          </w:p>
        </w:tc>
        <w:tc>
          <w:tcPr>
            <w:tcW w:w="652" w:type="pct"/>
            <w:tcBorders>
              <w:bottom w:val="nil"/>
            </w:tcBorders>
            <w:shd w:val="clear" w:color="auto" w:fill="F2F2F2"/>
            <w:vAlign w:val="bottom"/>
          </w:tcPr>
          <w:p w14:paraId="4FED90F0" w14:textId="77777777" w:rsidR="009E5D9A" w:rsidRPr="00CE59E8" w:rsidRDefault="009E5D9A" w:rsidP="00AB6D01">
            <w:pPr>
              <w:pStyle w:val="TableBody"/>
              <w:ind w:right="57"/>
              <w:jc w:val="right"/>
            </w:pPr>
            <w:r w:rsidRPr="00445B68">
              <w:t>3.3</w:t>
            </w:r>
          </w:p>
        </w:tc>
        <w:tc>
          <w:tcPr>
            <w:tcW w:w="470" w:type="pct"/>
            <w:tcBorders>
              <w:bottom w:val="nil"/>
            </w:tcBorders>
            <w:shd w:val="clear" w:color="auto" w:fill="F2F2F2"/>
            <w:vAlign w:val="bottom"/>
          </w:tcPr>
          <w:p w14:paraId="67DE2AB1" w14:textId="77777777" w:rsidR="009E5D9A" w:rsidRPr="00CE59E8" w:rsidRDefault="009E5D9A" w:rsidP="00AB6D01">
            <w:pPr>
              <w:pStyle w:val="TableBody"/>
              <w:ind w:right="57"/>
              <w:jc w:val="right"/>
            </w:pPr>
            <w:r w:rsidRPr="00445B68">
              <w:t>7.9</w:t>
            </w:r>
          </w:p>
        </w:tc>
      </w:tr>
      <w:tr w:rsidR="009E5D9A" w:rsidRPr="004C7145" w14:paraId="3620A7A3" w14:textId="77777777" w:rsidTr="00B07EC6">
        <w:trPr>
          <w:trHeight w:val="334"/>
        </w:trPr>
        <w:tc>
          <w:tcPr>
            <w:tcW w:w="1924" w:type="pct"/>
            <w:tcBorders>
              <w:bottom w:val="nil"/>
            </w:tcBorders>
            <w:shd w:val="clear" w:color="auto" w:fill="auto"/>
            <w:vAlign w:val="bottom"/>
          </w:tcPr>
          <w:p w14:paraId="3A530244" w14:textId="77777777" w:rsidR="009E5D9A" w:rsidRPr="00CE59E8" w:rsidRDefault="009E5D9A" w:rsidP="00060E04">
            <w:pPr>
              <w:pStyle w:val="TableBody"/>
            </w:pPr>
            <w:r w:rsidRPr="00445B68">
              <w:t>Administrative and support services</w:t>
            </w:r>
          </w:p>
        </w:tc>
        <w:tc>
          <w:tcPr>
            <w:tcW w:w="651" w:type="pct"/>
            <w:tcBorders>
              <w:bottom w:val="nil"/>
            </w:tcBorders>
            <w:vAlign w:val="bottom"/>
          </w:tcPr>
          <w:p w14:paraId="1D8AC2E5" w14:textId="77777777" w:rsidR="009E5D9A" w:rsidRPr="00445B68" w:rsidRDefault="009E5D9A" w:rsidP="00AB6D01">
            <w:pPr>
              <w:pStyle w:val="TableBody"/>
              <w:ind w:right="57"/>
              <w:jc w:val="right"/>
            </w:pPr>
            <w:r w:rsidRPr="00445B68">
              <w:t>4.9</w:t>
            </w:r>
          </w:p>
        </w:tc>
        <w:tc>
          <w:tcPr>
            <w:tcW w:w="651" w:type="pct"/>
            <w:tcBorders>
              <w:bottom w:val="nil"/>
            </w:tcBorders>
            <w:shd w:val="clear" w:color="auto" w:fill="auto"/>
            <w:vAlign w:val="bottom"/>
          </w:tcPr>
          <w:p w14:paraId="6F639D03" w14:textId="77777777" w:rsidR="009E5D9A" w:rsidRPr="00CE59E8" w:rsidRDefault="009E5D9A" w:rsidP="00AB6D01">
            <w:pPr>
              <w:pStyle w:val="TableBody"/>
              <w:ind w:right="57"/>
              <w:jc w:val="right"/>
            </w:pPr>
            <w:r w:rsidRPr="00CE59E8">
              <w:t>4.8</w:t>
            </w:r>
          </w:p>
        </w:tc>
        <w:tc>
          <w:tcPr>
            <w:tcW w:w="651" w:type="pct"/>
            <w:tcBorders>
              <w:bottom w:val="nil"/>
            </w:tcBorders>
            <w:shd w:val="clear" w:color="auto" w:fill="auto"/>
            <w:vAlign w:val="bottom"/>
          </w:tcPr>
          <w:p w14:paraId="5B8B636A" w14:textId="77777777" w:rsidR="009E5D9A" w:rsidRPr="00CE59E8" w:rsidRDefault="009E5D9A" w:rsidP="00AB6D01">
            <w:pPr>
              <w:pStyle w:val="TableBody"/>
              <w:ind w:right="57"/>
              <w:jc w:val="right"/>
            </w:pPr>
            <w:r w:rsidRPr="00445B68">
              <w:t>7</w:t>
            </w:r>
          </w:p>
        </w:tc>
        <w:tc>
          <w:tcPr>
            <w:tcW w:w="652" w:type="pct"/>
            <w:tcBorders>
              <w:bottom w:val="nil"/>
            </w:tcBorders>
            <w:shd w:val="clear" w:color="auto" w:fill="auto"/>
            <w:vAlign w:val="bottom"/>
          </w:tcPr>
          <w:p w14:paraId="0D71C5EF" w14:textId="77777777" w:rsidR="009E5D9A" w:rsidRPr="00CE59E8" w:rsidRDefault="009E5D9A" w:rsidP="00AB6D01">
            <w:pPr>
              <w:pStyle w:val="TableBody"/>
              <w:ind w:right="57"/>
              <w:jc w:val="right"/>
            </w:pPr>
            <w:r w:rsidRPr="00445B68">
              <w:t>1.</w:t>
            </w:r>
            <w:r w:rsidRPr="00CE59E8">
              <w:t>5</w:t>
            </w:r>
          </w:p>
        </w:tc>
        <w:tc>
          <w:tcPr>
            <w:tcW w:w="470" w:type="pct"/>
            <w:tcBorders>
              <w:bottom w:val="nil"/>
            </w:tcBorders>
            <w:shd w:val="clear" w:color="auto" w:fill="auto"/>
            <w:vAlign w:val="bottom"/>
          </w:tcPr>
          <w:p w14:paraId="60C30EEE" w14:textId="77777777" w:rsidR="009E5D9A" w:rsidRPr="00CE59E8" w:rsidRDefault="009E5D9A" w:rsidP="00AB6D01">
            <w:pPr>
              <w:pStyle w:val="TableBody"/>
              <w:ind w:right="57"/>
              <w:jc w:val="right"/>
            </w:pPr>
            <w:r w:rsidRPr="00445B68">
              <w:t>12.2</w:t>
            </w:r>
          </w:p>
        </w:tc>
      </w:tr>
      <w:tr w:rsidR="009E5D9A" w:rsidRPr="004C7145" w14:paraId="74E73EEC" w14:textId="77777777" w:rsidTr="00B07EC6">
        <w:trPr>
          <w:trHeight w:val="334"/>
        </w:trPr>
        <w:tc>
          <w:tcPr>
            <w:tcW w:w="1924" w:type="pct"/>
            <w:tcBorders>
              <w:bottom w:val="nil"/>
            </w:tcBorders>
            <w:shd w:val="clear" w:color="auto" w:fill="F2F2F2"/>
            <w:vAlign w:val="bottom"/>
          </w:tcPr>
          <w:p w14:paraId="1DCBF6A0" w14:textId="77777777" w:rsidR="009E5D9A" w:rsidRPr="00CE59E8" w:rsidRDefault="009E5D9A" w:rsidP="00060E04">
            <w:pPr>
              <w:pStyle w:val="TableBody"/>
            </w:pPr>
            <w:r w:rsidRPr="00445B68">
              <w:t>Professional, scientific and technical services</w:t>
            </w:r>
          </w:p>
        </w:tc>
        <w:tc>
          <w:tcPr>
            <w:tcW w:w="651" w:type="pct"/>
            <w:tcBorders>
              <w:bottom w:val="nil"/>
            </w:tcBorders>
            <w:shd w:val="clear" w:color="auto" w:fill="F2F2F2"/>
            <w:vAlign w:val="bottom"/>
          </w:tcPr>
          <w:p w14:paraId="34C12CDF" w14:textId="77777777" w:rsidR="009E5D9A" w:rsidRPr="00445B68" w:rsidRDefault="009E5D9A" w:rsidP="00AB6D01">
            <w:pPr>
              <w:pStyle w:val="TableBody"/>
              <w:ind w:right="57"/>
              <w:jc w:val="right"/>
            </w:pPr>
            <w:r w:rsidRPr="00445B68">
              <w:t>3.8</w:t>
            </w:r>
          </w:p>
        </w:tc>
        <w:tc>
          <w:tcPr>
            <w:tcW w:w="651" w:type="pct"/>
            <w:tcBorders>
              <w:bottom w:val="nil"/>
            </w:tcBorders>
            <w:shd w:val="clear" w:color="auto" w:fill="F2F2F2"/>
            <w:vAlign w:val="bottom"/>
          </w:tcPr>
          <w:p w14:paraId="71E32B32" w14:textId="77777777" w:rsidR="009E5D9A" w:rsidRPr="00CE59E8" w:rsidRDefault="009E5D9A" w:rsidP="00AB6D01">
            <w:pPr>
              <w:pStyle w:val="TableBody"/>
              <w:ind w:right="57"/>
              <w:jc w:val="right"/>
            </w:pPr>
            <w:r w:rsidRPr="00445B68">
              <w:t>3.5</w:t>
            </w:r>
          </w:p>
        </w:tc>
        <w:tc>
          <w:tcPr>
            <w:tcW w:w="651" w:type="pct"/>
            <w:tcBorders>
              <w:bottom w:val="nil"/>
            </w:tcBorders>
            <w:shd w:val="clear" w:color="auto" w:fill="F2F2F2"/>
            <w:vAlign w:val="bottom"/>
          </w:tcPr>
          <w:p w14:paraId="32FD023E" w14:textId="77777777" w:rsidR="009E5D9A" w:rsidRPr="00CE59E8" w:rsidRDefault="009E5D9A" w:rsidP="00AB6D01">
            <w:pPr>
              <w:pStyle w:val="TableBody"/>
              <w:ind w:right="57"/>
              <w:jc w:val="right"/>
            </w:pPr>
            <w:r w:rsidRPr="00445B68">
              <w:t>3.</w:t>
            </w:r>
            <w:r w:rsidRPr="00CE59E8">
              <w:t>6</w:t>
            </w:r>
          </w:p>
        </w:tc>
        <w:tc>
          <w:tcPr>
            <w:tcW w:w="652" w:type="pct"/>
            <w:tcBorders>
              <w:bottom w:val="nil"/>
            </w:tcBorders>
            <w:shd w:val="clear" w:color="auto" w:fill="F2F2F2"/>
            <w:vAlign w:val="bottom"/>
          </w:tcPr>
          <w:p w14:paraId="2F4BDFB6" w14:textId="77777777" w:rsidR="009E5D9A" w:rsidRPr="00CE59E8" w:rsidRDefault="009E5D9A" w:rsidP="00AB6D01">
            <w:pPr>
              <w:pStyle w:val="TableBody"/>
              <w:ind w:right="57"/>
              <w:jc w:val="right"/>
            </w:pPr>
            <w:r w:rsidRPr="00445B68">
              <w:t>5.9</w:t>
            </w:r>
          </w:p>
        </w:tc>
        <w:tc>
          <w:tcPr>
            <w:tcW w:w="470" w:type="pct"/>
            <w:tcBorders>
              <w:bottom w:val="nil"/>
            </w:tcBorders>
            <w:shd w:val="clear" w:color="auto" w:fill="F2F2F2"/>
            <w:vAlign w:val="bottom"/>
          </w:tcPr>
          <w:p w14:paraId="0CD22522" w14:textId="77777777" w:rsidR="009E5D9A" w:rsidRPr="00CE59E8" w:rsidRDefault="009E5D9A" w:rsidP="00AB6D01">
            <w:pPr>
              <w:pStyle w:val="TableBody"/>
              <w:ind w:right="57"/>
              <w:jc w:val="right"/>
            </w:pPr>
            <w:r w:rsidRPr="00445B68">
              <w:t>7.5</w:t>
            </w:r>
          </w:p>
        </w:tc>
      </w:tr>
      <w:tr w:rsidR="009E5D9A" w:rsidRPr="004C7145" w14:paraId="77C9A6DC" w14:textId="77777777" w:rsidTr="00B07EC6">
        <w:trPr>
          <w:trHeight w:val="334"/>
        </w:trPr>
        <w:tc>
          <w:tcPr>
            <w:tcW w:w="1924" w:type="pct"/>
            <w:tcBorders>
              <w:bottom w:val="nil"/>
            </w:tcBorders>
            <w:shd w:val="clear" w:color="auto" w:fill="auto"/>
            <w:vAlign w:val="bottom"/>
          </w:tcPr>
          <w:p w14:paraId="6665DF10" w14:textId="77777777" w:rsidR="009E5D9A" w:rsidRPr="00CE59E8" w:rsidRDefault="009E5D9A" w:rsidP="00060E04">
            <w:pPr>
              <w:pStyle w:val="TableBody"/>
            </w:pPr>
            <w:r w:rsidRPr="00445B68">
              <w:t xml:space="preserve">Electricity, gas, water and waste </w:t>
            </w:r>
            <w:r w:rsidRPr="00CE59E8">
              <w:t>services</w:t>
            </w:r>
          </w:p>
        </w:tc>
        <w:tc>
          <w:tcPr>
            <w:tcW w:w="651" w:type="pct"/>
            <w:tcBorders>
              <w:bottom w:val="nil"/>
            </w:tcBorders>
            <w:vAlign w:val="bottom"/>
          </w:tcPr>
          <w:p w14:paraId="6D2B686A" w14:textId="77777777" w:rsidR="009E5D9A" w:rsidRPr="00445B68" w:rsidRDefault="009E5D9A" w:rsidP="00AB6D01">
            <w:pPr>
              <w:pStyle w:val="TableBody"/>
              <w:ind w:right="57"/>
              <w:jc w:val="right"/>
            </w:pPr>
            <w:r w:rsidRPr="00445B68">
              <w:t>3.</w:t>
            </w:r>
            <w:r w:rsidRPr="00CE59E8">
              <w:t>2</w:t>
            </w:r>
          </w:p>
        </w:tc>
        <w:tc>
          <w:tcPr>
            <w:tcW w:w="651" w:type="pct"/>
            <w:tcBorders>
              <w:bottom w:val="nil"/>
            </w:tcBorders>
            <w:shd w:val="clear" w:color="auto" w:fill="auto"/>
            <w:vAlign w:val="bottom"/>
          </w:tcPr>
          <w:p w14:paraId="35519129" w14:textId="77777777" w:rsidR="009E5D9A" w:rsidRPr="00CE59E8" w:rsidRDefault="009E5D9A" w:rsidP="00AB6D01">
            <w:pPr>
              <w:pStyle w:val="TableBody"/>
              <w:ind w:right="57"/>
              <w:jc w:val="right"/>
            </w:pPr>
            <w:r w:rsidRPr="00445B68">
              <w:t>1.1</w:t>
            </w:r>
          </w:p>
        </w:tc>
        <w:tc>
          <w:tcPr>
            <w:tcW w:w="651" w:type="pct"/>
            <w:tcBorders>
              <w:bottom w:val="nil"/>
            </w:tcBorders>
            <w:shd w:val="clear" w:color="auto" w:fill="auto"/>
            <w:vAlign w:val="bottom"/>
          </w:tcPr>
          <w:p w14:paraId="153AA60B" w14:textId="77777777" w:rsidR="009E5D9A" w:rsidRPr="00CE59E8" w:rsidRDefault="009E5D9A" w:rsidP="00AB6D01">
            <w:pPr>
              <w:pStyle w:val="TableBody"/>
              <w:ind w:right="57"/>
              <w:jc w:val="right"/>
            </w:pPr>
            <w:r w:rsidRPr="00445B68">
              <w:t>-0.1</w:t>
            </w:r>
          </w:p>
        </w:tc>
        <w:tc>
          <w:tcPr>
            <w:tcW w:w="652" w:type="pct"/>
            <w:tcBorders>
              <w:bottom w:val="nil"/>
            </w:tcBorders>
            <w:shd w:val="clear" w:color="auto" w:fill="auto"/>
            <w:vAlign w:val="bottom"/>
          </w:tcPr>
          <w:p w14:paraId="0600A6CD" w14:textId="77777777" w:rsidR="009E5D9A" w:rsidRPr="00CE59E8" w:rsidRDefault="009E5D9A" w:rsidP="00AB6D01">
            <w:pPr>
              <w:pStyle w:val="TableBody"/>
              <w:ind w:right="57"/>
              <w:jc w:val="right"/>
            </w:pPr>
            <w:r w:rsidRPr="00445B68">
              <w:t>2.6</w:t>
            </w:r>
          </w:p>
        </w:tc>
        <w:tc>
          <w:tcPr>
            <w:tcW w:w="470" w:type="pct"/>
            <w:tcBorders>
              <w:bottom w:val="nil"/>
            </w:tcBorders>
            <w:shd w:val="clear" w:color="auto" w:fill="auto"/>
            <w:vAlign w:val="bottom"/>
          </w:tcPr>
          <w:p w14:paraId="620BBFCB" w14:textId="77777777" w:rsidR="009E5D9A" w:rsidRPr="00CE59E8" w:rsidRDefault="009E5D9A" w:rsidP="00AB6D01">
            <w:pPr>
              <w:pStyle w:val="TableBody"/>
              <w:ind w:right="57"/>
              <w:jc w:val="right"/>
            </w:pPr>
            <w:r w:rsidRPr="00CE59E8">
              <w:t>2</w:t>
            </w:r>
            <w:r w:rsidRPr="00445B68">
              <w:t>.5</w:t>
            </w:r>
          </w:p>
        </w:tc>
      </w:tr>
      <w:tr w:rsidR="009E5D9A" w:rsidRPr="004C7145" w14:paraId="437F0563" w14:textId="77777777" w:rsidTr="00B07EC6">
        <w:trPr>
          <w:trHeight w:val="334"/>
        </w:trPr>
        <w:tc>
          <w:tcPr>
            <w:tcW w:w="1924" w:type="pct"/>
            <w:tcBorders>
              <w:bottom w:val="nil"/>
            </w:tcBorders>
            <w:shd w:val="clear" w:color="auto" w:fill="F2F2F2"/>
            <w:vAlign w:val="bottom"/>
          </w:tcPr>
          <w:p w14:paraId="0E133724" w14:textId="77777777" w:rsidR="009E5D9A" w:rsidRPr="00B227F8" w:rsidRDefault="009E5D9A" w:rsidP="00060E04">
            <w:pPr>
              <w:pStyle w:val="TableBody"/>
            </w:pPr>
            <w:r w:rsidRPr="00445B68">
              <w:t>Rental, hiring and real estate services</w:t>
            </w:r>
          </w:p>
        </w:tc>
        <w:tc>
          <w:tcPr>
            <w:tcW w:w="651" w:type="pct"/>
            <w:tcBorders>
              <w:bottom w:val="nil"/>
            </w:tcBorders>
            <w:shd w:val="clear" w:color="auto" w:fill="F2F2F2"/>
            <w:vAlign w:val="bottom"/>
          </w:tcPr>
          <w:p w14:paraId="1237253D" w14:textId="77777777" w:rsidR="009E5D9A" w:rsidRPr="00445B68" w:rsidRDefault="009E5D9A" w:rsidP="00AB6D01">
            <w:pPr>
              <w:pStyle w:val="TableBody"/>
              <w:ind w:right="57"/>
              <w:jc w:val="right"/>
            </w:pPr>
            <w:r w:rsidRPr="00445B68">
              <w:t>2.2</w:t>
            </w:r>
          </w:p>
        </w:tc>
        <w:tc>
          <w:tcPr>
            <w:tcW w:w="651" w:type="pct"/>
            <w:tcBorders>
              <w:bottom w:val="nil"/>
            </w:tcBorders>
            <w:shd w:val="clear" w:color="auto" w:fill="F2F2F2"/>
            <w:vAlign w:val="bottom"/>
          </w:tcPr>
          <w:p w14:paraId="689C61BC" w14:textId="77777777" w:rsidR="009E5D9A" w:rsidRPr="00B227F8" w:rsidRDefault="009E5D9A" w:rsidP="00AB6D01">
            <w:pPr>
              <w:pStyle w:val="TableBody"/>
              <w:ind w:right="57"/>
              <w:jc w:val="right"/>
            </w:pPr>
            <w:r w:rsidRPr="00445B68">
              <w:t>3.1</w:t>
            </w:r>
          </w:p>
        </w:tc>
        <w:tc>
          <w:tcPr>
            <w:tcW w:w="651" w:type="pct"/>
            <w:tcBorders>
              <w:bottom w:val="nil"/>
            </w:tcBorders>
            <w:shd w:val="clear" w:color="auto" w:fill="F2F2F2"/>
            <w:vAlign w:val="bottom"/>
          </w:tcPr>
          <w:p w14:paraId="525E5B90" w14:textId="77777777" w:rsidR="009E5D9A" w:rsidRPr="00B227F8" w:rsidRDefault="009E5D9A" w:rsidP="00AB6D01">
            <w:pPr>
              <w:pStyle w:val="TableBody"/>
              <w:ind w:right="57"/>
              <w:jc w:val="right"/>
            </w:pPr>
            <w:r w:rsidRPr="00445B68">
              <w:t>4.2</w:t>
            </w:r>
          </w:p>
        </w:tc>
        <w:tc>
          <w:tcPr>
            <w:tcW w:w="652" w:type="pct"/>
            <w:tcBorders>
              <w:bottom w:val="nil"/>
            </w:tcBorders>
            <w:shd w:val="clear" w:color="auto" w:fill="F2F2F2"/>
            <w:vAlign w:val="bottom"/>
          </w:tcPr>
          <w:p w14:paraId="08EB7D3B" w14:textId="77777777" w:rsidR="009E5D9A" w:rsidRPr="00B227F8" w:rsidRDefault="009E5D9A" w:rsidP="00AB6D01">
            <w:pPr>
              <w:pStyle w:val="TableBody"/>
              <w:ind w:right="57"/>
              <w:jc w:val="right"/>
            </w:pPr>
            <w:r w:rsidRPr="00445B68">
              <w:t>2.6</w:t>
            </w:r>
          </w:p>
        </w:tc>
        <w:tc>
          <w:tcPr>
            <w:tcW w:w="470" w:type="pct"/>
            <w:tcBorders>
              <w:bottom w:val="nil"/>
            </w:tcBorders>
            <w:shd w:val="clear" w:color="auto" w:fill="F2F2F2"/>
            <w:vAlign w:val="bottom"/>
          </w:tcPr>
          <w:p w14:paraId="4D2FF2B6" w14:textId="77777777" w:rsidR="009E5D9A" w:rsidRPr="00B227F8" w:rsidRDefault="009E5D9A" w:rsidP="00AB6D01">
            <w:pPr>
              <w:pStyle w:val="TableBody"/>
              <w:ind w:right="57"/>
              <w:jc w:val="right"/>
            </w:pPr>
            <w:r w:rsidRPr="00445B68">
              <w:t>6.5</w:t>
            </w:r>
          </w:p>
        </w:tc>
      </w:tr>
      <w:tr w:rsidR="009E5D9A" w:rsidRPr="004C7145" w14:paraId="6C354510" w14:textId="77777777" w:rsidTr="00B07EC6">
        <w:trPr>
          <w:trHeight w:val="334"/>
        </w:trPr>
        <w:tc>
          <w:tcPr>
            <w:tcW w:w="1924" w:type="pct"/>
            <w:tcBorders>
              <w:bottom w:val="nil"/>
            </w:tcBorders>
            <w:shd w:val="clear" w:color="auto" w:fill="auto"/>
            <w:vAlign w:val="bottom"/>
          </w:tcPr>
          <w:p w14:paraId="7AFE7590" w14:textId="77777777" w:rsidR="009E5D9A" w:rsidRPr="00B227F8" w:rsidRDefault="009E5D9A" w:rsidP="00060E04">
            <w:pPr>
              <w:pStyle w:val="TableBody"/>
            </w:pPr>
            <w:r w:rsidRPr="00445B68">
              <w:t>Financial and insurance services</w:t>
            </w:r>
          </w:p>
        </w:tc>
        <w:tc>
          <w:tcPr>
            <w:tcW w:w="651" w:type="pct"/>
            <w:tcBorders>
              <w:bottom w:val="nil"/>
            </w:tcBorders>
            <w:vAlign w:val="bottom"/>
          </w:tcPr>
          <w:p w14:paraId="0EF103E9" w14:textId="77777777" w:rsidR="009E5D9A" w:rsidRPr="00445B68" w:rsidRDefault="009E5D9A" w:rsidP="00AB6D01">
            <w:pPr>
              <w:pStyle w:val="TableBody"/>
              <w:ind w:right="57"/>
              <w:jc w:val="right"/>
            </w:pPr>
            <w:r w:rsidRPr="00445B68">
              <w:t>1.6</w:t>
            </w:r>
          </w:p>
        </w:tc>
        <w:tc>
          <w:tcPr>
            <w:tcW w:w="651" w:type="pct"/>
            <w:tcBorders>
              <w:bottom w:val="nil"/>
            </w:tcBorders>
            <w:shd w:val="clear" w:color="auto" w:fill="auto"/>
            <w:vAlign w:val="bottom"/>
          </w:tcPr>
          <w:p w14:paraId="4F2FB904" w14:textId="77777777" w:rsidR="009E5D9A" w:rsidRPr="00B227F8" w:rsidRDefault="009E5D9A" w:rsidP="00AB6D01">
            <w:pPr>
              <w:pStyle w:val="TableBody"/>
              <w:ind w:right="57"/>
              <w:jc w:val="right"/>
            </w:pPr>
            <w:r w:rsidRPr="00445B68">
              <w:t>2.3</w:t>
            </w:r>
          </w:p>
        </w:tc>
        <w:tc>
          <w:tcPr>
            <w:tcW w:w="651" w:type="pct"/>
            <w:tcBorders>
              <w:bottom w:val="nil"/>
            </w:tcBorders>
            <w:shd w:val="clear" w:color="auto" w:fill="auto"/>
            <w:vAlign w:val="bottom"/>
          </w:tcPr>
          <w:p w14:paraId="74D9B135" w14:textId="77777777" w:rsidR="009E5D9A" w:rsidRPr="00B227F8" w:rsidRDefault="009E5D9A" w:rsidP="00AB6D01">
            <w:pPr>
              <w:pStyle w:val="TableBody"/>
              <w:ind w:right="57"/>
              <w:jc w:val="right"/>
            </w:pPr>
            <w:r w:rsidRPr="00445B68">
              <w:t>0.8</w:t>
            </w:r>
          </w:p>
        </w:tc>
        <w:tc>
          <w:tcPr>
            <w:tcW w:w="652" w:type="pct"/>
            <w:tcBorders>
              <w:bottom w:val="nil"/>
            </w:tcBorders>
            <w:shd w:val="clear" w:color="auto" w:fill="auto"/>
            <w:vAlign w:val="bottom"/>
          </w:tcPr>
          <w:p w14:paraId="5E702787" w14:textId="77777777" w:rsidR="009E5D9A" w:rsidRPr="00B227F8" w:rsidRDefault="009E5D9A" w:rsidP="00AB6D01">
            <w:pPr>
              <w:pStyle w:val="TableBody"/>
              <w:ind w:right="57"/>
              <w:jc w:val="right"/>
            </w:pPr>
            <w:r w:rsidRPr="00445B68">
              <w:t>-0.3</w:t>
            </w:r>
          </w:p>
        </w:tc>
        <w:tc>
          <w:tcPr>
            <w:tcW w:w="470" w:type="pct"/>
            <w:tcBorders>
              <w:bottom w:val="nil"/>
            </w:tcBorders>
            <w:shd w:val="clear" w:color="auto" w:fill="auto"/>
            <w:vAlign w:val="bottom"/>
          </w:tcPr>
          <w:p w14:paraId="0FA947D4" w14:textId="77777777" w:rsidR="009E5D9A" w:rsidRPr="00B227F8" w:rsidRDefault="009E5D9A" w:rsidP="00AB6D01">
            <w:pPr>
              <w:pStyle w:val="TableBody"/>
              <w:ind w:right="57"/>
              <w:jc w:val="right"/>
            </w:pPr>
            <w:r w:rsidRPr="00445B68">
              <w:t>2.4</w:t>
            </w:r>
          </w:p>
        </w:tc>
      </w:tr>
      <w:tr w:rsidR="009E5D9A" w:rsidRPr="004C7145" w14:paraId="0E6AAB84" w14:textId="77777777" w:rsidTr="00B07EC6">
        <w:trPr>
          <w:trHeight w:val="334"/>
        </w:trPr>
        <w:tc>
          <w:tcPr>
            <w:tcW w:w="1924" w:type="pct"/>
            <w:tcBorders>
              <w:bottom w:val="nil"/>
            </w:tcBorders>
            <w:shd w:val="clear" w:color="auto" w:fill="F2F2F2"/>
            <w:vAlign w:val="bottom"/>
          </w:tcPr>
          <w:p w14:paraId="52A767BB" w14:textId="77777777" w:rsidR="009E5D9A" w:rsidRPr="00CE59E8" w:rsidRDefault="009E5D9A" w:rsidP="00060E04">
            <w:pPr>
              <w:pStyle w:val="TableBody"/>
            </w:pPr>
            <w:r w:rsidRPr="00445B68">
              <w:t xml:space="preserve">Accommodation and food </w:t>
            </w:r>
            <w:r w:rsidRPr="00CE59E8">
              <w:t>services</w:t>
            </w:r>
          </w:p>
        </w:tc>
        <w:tc>
          <w:tcPr>
            <w:tcW w:w="651" w:type="pct"/>
            <w:tcBorders>
              <w:bottom w:val="nil"/>
            </w:tcBorders>
            <w:shd w:val="clear" w:color="auto" w:fill="F2F2F2"/>
            <w:vAlign w:val="bottom"/>
          </w:tcPr>
          <w:p w14:paraId="7B434094" w14:textId="77777777" w:rsidR="009E5D9A" w:rsidRPr="00445B68" w:rsidRDefault="009E5D9A" w:rsidP="00AB6D01">
            <w:pPr>
              <w:pStyle w:val="TableBody"/>
              <w:ind w:right="57"/>
              <w:jc w:val="right"/>
            </w:pPr>
            <w:r w:rsidRPr="00445B68">
              <w:t>1.2</w:t>
            </w:r>
          </w:p>
        </w:tc>
        <w:tc>
          <w:tcPr>
            <w:tcW w:w="651" w:type="pct"/>
            <w:tcBorders>
              <w:bottom w:val="nil"/>
            </w:tcBorders>
            <w:shd w:val="clear" w:color="auto" w:fill="F2F2F2"/>
            <w:vAlign w:val="bottom"/>
          </w:tcPr>
          <w:p w14:paraId="5E117130" w14:textId="77777777" w:rsidR="009E5D9A" w:rsidRPr="00CE59E8" w:rsidRDefault="009E5D9A" w:rsidP="00AB6D01">
            <w:pPr>
              <w:pStyle w:val="TableBody"/>
              <w:ind w:right="57"/>
              <w:jc w:val="right"/>
            </w:pPr>
            <w:r w:rsidRPr="00445B68">
              <w:t>0.5</w:t>
            </w:r>
          </w:p>
        </w:tc>
        <w:tc>
          <w:tcPr>
            <w:tcW w:w="651" w:type="pct"/>
            <w:tcBorders>
              <w:bottom w:val="nil"/>
            </w:tcBorders>
            <w:shd w:val="clear" w:color="auto" w:fill="F2F2F2"/>
            <w:vAlign w:val="bottom"/>
          </w:tcPr>
          <w:p w14:paraId="5E302F5A" w14:textId="77777777" w:rsidR="009E5D9A" w:rsidRPr="00CE59E8" w:rsidRDefault="009E5D9A" w:rsidP="00AB6D01">
            <w:pPr>
              <w:pStyle w:val="TableBody"/>
              <w:ind w:right="57"/>
              <w:jc w:val="right"/>
            </w:pPr>
            <w:r w:rsidRPr="00445B68">
              <w:t>-1.9</w:t>
            </w:r>
          </w:p>
        </w:tc>
        <w:tc>
          <w:tcPr>
            <w:tcW w:w="652" w:type="pct"/>
            <w:tcBorders>
              <w:bottom w:val="nil"/>
            </w:tcBorders>
            <w:shd w:val="clear" w:color="auto" w:fill="F2F2F2"/>
            <w:vAlign w:val="bottom"/>
          </w:tcPr>
          <w:p w14:paraId="799585A1" w14:textId="77777777" w:rsidR="009E5D9A" w:rsidRPr="00CE59E8" w:rsidRDefault="009E5D9A" w:rsidP="00AB6D01">
            <w:pPr>
              <w:pStyle w:val="TableBody"/>
              <w:ind w:right="57"/>
              <w:jc w:val="right"/>
            </w:pPr>
            <w:r w:rsidRPr="00445B68">
              <w:t>0.8</w:t>
            </w:r>
          </w:p>
        </w:tc>
        <w:tc>
          <w:tcPr>
            <w:tcW w:w="470" w:type="pct"/>
            <w:tcBorders>
              <w:bottom w:val="nil"/>
            </w:tcBorders>
            <w:shd w:val="clear" w:color="auto" w:fill="F2F2F2"/>
            <w:vAlign w:val="bottom"/>
          </w:tcPr>
          <w:p w14:paraId="78346DF1" w14:textId="77777777" w:rsidR="009E5D9A" w:rsidRPr="00CE59E8" w:rsidRDefault="009E5D9A" w:rsidP="00AB6D01">
            <w:pPr>
              <w:pStyle w:val="TableBody"/>
              <w:ind w:right="57"/>
              <w:jc w:val="right"/>
            </w:pPr>
            <w:r w:rsidRPr="00445B68">
              <w:t>-0.8</w:t>
            </w:r>
          </w:p>
        </w:tc>
      </w:tr>
      <w:tr w:rsidR="009E5D9A" w:rsidRPr="004C7145" w14:paraId="43C87821" w14:textId="77777777" w:rsidTr="00B07EC6">
        <w:trPr>
          <w:trHeight w:val="334"/>
        </w:trPr>
        <w:tc>
          <w:tcPr>
            <w:tcW w:w="1924" w:type="pct"/>
            <w:tcBorders>
              <w:bottom w:val="nil"/>
            </w:tcBorders>
            <w:shd w:val="clear" w:color="auto" w:fill="auto"/>
            <w:vAlign w:val="bottom"/>
          </w:tcPr>
          <w:p w14:paraId="2D42AF43" w14:textId="77777777" w:rsidR="009E5D9A" w:rsidRPr="00CE59E8" w:rsidRDefault="009E5D9A" w:rsidP="00060E04">
            <w:pPr>
              <w:pStyle w:val="TableBody"/>
            </w:pPr>
            <w:r w:rsidRPr="00445B68">
              <w:t>Retail trade</w:t>
            </w:r>
          </w:p>
        </w:tc>
        <w:tc>
          <w:tcPr>
            <w:tcW w:w="651" w:type="pct"/>
            <w:tcBorders>
              <w:bottom w:val="nil"/>
            </w:tcBorders>
            <w:vAlign w:val="bottom"/>
          </w:tcPr>
          <w:p w14:paraId="724A5BAD" w14:textId="77777777" w:rsidR="009E5D9A" w:rsidRPr="00445B68" w:rsidRDefault="009E5D9A" w:rsidP="00AB6D01">
            <w:pPr>
              <w:pStyle w:val="TableBody"/>
              <w:ind w:right="57"/>
              <w:jc w:val="right"/>
            </w:pPr>
            <w:r w:rsidRPr="00445B68">
              <w:t>0.4</w:t>
            </w:r>
          </w:p>
        </w:tc>
        <w:tc>
          <w:tcPr>
            <w:tcW w:w="651" w:type="pct"/>
            <w:tcBorders>
              <w:bottom w:val="nil"/>
            </w:tcBorders>
            <w:shd w:val="clear" w:color="auto" w:fill="auto"/>
            <w:vAlign w:val="bottom"/>
          </w:tcPr>
          <w:p w14:paraId="29AC00D9" w14:textId="77777777" w:rsidR="009E5D9A" w:rsidRPr="00CE59E8" w:rsidRDefault="009E5D9A" w:rsidP="00AB6D01">
            <w:pPr>
              <w:pStyle w:val="TableBody"/>
              <w:ind w:right="57"/>
              <w:jc w:val="right"/>
            </w:pPr>
            <w:r w:rsidRPr="00445B68">
              <w:t>0.</w:t>
            </w:r>
            <w:r w:rsidRPr="00CE59E8">
              <w:t>1</w:t>
            </w:r>
          </w:p>
        </w:tc>
        <w:tc>
          <w:tcPr>
            <w:tcW w:w="651" w:type="pct"/>
            <w:tcBorders>
              <w:bottom w:val="nil"/>
            </w:tcBorders>
            <w:shd w:val="clear" w:color="auto" w:fill="auto"/>
            <w:vAlign w:val="bottom"/>
          </w:tcPr>
          <w:p w14:paraId="46A94831" w14:textId="77777777" w:rsidR="009E5D9A" w:rsidRPr="00CE59E8" w:rsidRDefault="009E5D9A" w:rsidP="00AB6D01">
            <w:pPr>
              <w:pStyle w:val="TableBody"/>
              <w:ind w:right="57"/>
              <w:jc w:val="right"/>
            </w:pPr>
            <w:r w:rsidRPr="00445B68">
              <w:t>2.6</w:t>
            </w:r>
          </w:p>
        </w:tc>
        <w:tc>
          <w:tcPr>
            <w:tcW w:w="652" w:type="pct"/>
            <w:tcBorders>
              <w:bottom w:val="nil"/>
            </w:tcBorders>
            <w:shd w:val="clear" w:color="auto" w:fill="auto"/>
            <w:vAlign w:val="bottom"/>
          </w:tcPr>
          <w:p w14:paraId="674364F4" w14:textId="77777777" w:rsidR="009E5D9A" w:rsidRPr="00CE59E8" w:rsidRDefault="009E5D9A" w:rsidP="00AB6D01">
            <w:pPr>
              <w:pStyle w:val="TableBody"/>
              <w:ind w:right="57"/>
              <w:jc w:val="right"/>
            </w:pPr>
            <w:r w:rsidRPr="00445B68">
              <w:t>3.4</w:t>
            </w:r>
          </w:p>
        </w:tc>
        <w:tc>
          <w:tcPr>
            <w:tcW w:w="470" w:type="pct"/>
            <w:tcBorders>
              <w:bottom w:val="nil"/>
            </w:tcBorders>
            <w:shd w:val="clear" w:color="auto" w:fill="auto"/>
            <w:vAlign w:val="bottom"/>
          </w:tcPr>
          <w:p w14:paraId="1F84C6B9" w14:textId="77777777" w:rsidR="009E5D9A" w:rsidRPr="00CE59E8" w:rsidRDefault="009E5D9A" w:rsidP="00AB6D01">
            <w:pPr>
              <w:pStyle w:val="TableBody"/>
              <w:ind w:right="57"/>
              <w:jc w:val="right"/>
            </w:pPr>
            <w:r w:rsidRPr="00445B68">
              <w:t>3</w:t>
            </w:r>
          </w:p>
        </w:tc>
      </w:tr>
      <w:tr w:rsidR="009E5D9A" w:rsidRPr="004C7145" w14:paraId="642DC447" w14:textId="77777777" w:rsidTr="00B07EC6">
        <w:trPr>
          <w:trHeight w:val="334"/>
        </w:trPr>
        <w:tc>
          <w:tcPr>
            <w:tcW w:w="1924" w:type="pct"/>
            <w:tcBorders>
              <w:bottom w:val="nil"/>
            </w:tcBorders>
            <w:shd w:val="clear" w:color="auto" w:fill="F2F2F2"/>
            <w:vAlign w:val="bottom"/>
          </w:tcPr>
          <w:p w14:paraId="7CB56A6B" w14:textId="77777777" w:rsidR="009E5D9A" w:rsidRDefault="009E5D9A" w:rsidP="00060E04">
            <w:pPr>
              <w:pStyle w:val="TableBody"/>
            </w:pPr>
            <w:r w:rsidRPr="00445B68">
              <w:t>Construction</w:t>
            </w:r>
          </w:p>
        </w:tc>
        <w:tc>
          <w:tcPr>
            <w:tcW w:w="651" w:type="pct"/>
            <w:tcBorders>
              <w:bottom w:val="nil"/>
            </w:tcBorders>
            <w:shd w:val="clear" w:color="auto" w:fill="F2F2F2"/>
            <w:vAlign w:val="bottom"/>
          </w:tcPr>
          <w:p w14:paraId="56C0824E" w14:textId="77777777" w:rsidR="009E5D9A" w:rsidRPr="00445B68" w:rsidRDefault="009E5D9A" w:rsidP="00AB6D01">
            <w:pPr>
              <w:pStyle w:val="TableBody"/>
              <w:ind w:right="57"/>
              <w:jc w:val="right"/>
            </w:pPr>
            <w:r w:rsidRPr="00445B68">
              <w:t>-0.9</w:t>
            </w:r>
          </w:p>
        </w:tc>
        <w:tc>
          <w:tcPr>
            <w:tcW w:w="651" w:type="pct"/>
            <w:tcBorders>
              <w:bottom w:val="nil"/>
            </w:tcBorders>
            <w:shd w:val="clear" w:color="auto" w:fill="F2F2F2"/>
            <w:vAlign w:val="bottom"/>
          </w:tcPr>
          <w:p w14:paraId="3253D8DB" w14:textId="77777777" w:rsidR="009E5D9A" w:rsidRPr="004C7145" w:rsidRDefault="009E5D9A" w:rsidP="00AB6D01">
            <w:pPr>
              <w:pStyle w:val="TableBody"/>
              <w:ind w:right="57"/>
              <w:jc w:val="right"/>
            </w:pPr>
            <w:r w:rsidRPr="00445B68">
              <w:t>0.3</w:t>
            </w:r>
          </w:p>
        </w:tc>
        <w:tc>
          <w:tcPr>
            <w:tcW w:w="651" w:type="pct"/>
            <w:tcBorders>
              <w:bottom w:val="nil"/>
            </w:tcBorders>
            <w:shd w:val="clear" w:color="auto" w:fill="F2F2F2"/>
            <w:vAlign w:val="bottom"/>
          </w:tcPr>
          <w:p w14:paraId="55B32053" w14:textId="77777777" w:rsidR="009E5D9A" w:rsidRPr="004C7145" w:rsidRDefault="009E5D9A" w:rsidP="00AB6D01">
            <w:pPr>
              <w:pStyle w:val="TableBody"/>
              <w:ind w:right="57"/>
              <w:jc w:val="right"/>
            </w:pPr>
            <w:r w:rsidRPr="00445B68">
              <w:t>6.3</w:t>
            </w:r>
          </w:p>
        </w:tc>
        <w:tc>
          <w:tcPr>
            <w:tcW w:w="652" w:type="pct"/>
            <w:tcBorders>
              <w:bottom w:val="nil"/>
            </w:tcBorders>
            <w:shd w:val="clear" w:color="auto" w:fill="F2F2F2"/>
            <w:vAlign w:val="bottom"/>
          </w:tcPr>
          <w:p w14:paraId="53EBF707" w14:textId="77777777" w:rsidR="009E5D9A" w:rsidRPr="004C7145" w:rsidRDefault="009E5D9A" w:rsidP="00AB6D01">
            <w:pPr>
              <w:pStyle w:val="TableBody"/>
              <w:ind w:right="57"/>
              <w:jc w:val="right"/>
            </w:pPr>
            <w:r w:rsidRPr="00445B68">
              <w:t>2.6</w:t>
            </w:r>
          </w:p>
        </w:tc>
        <w:tc>
          <w:tcPr>
            <w:tcW w:w="470" w:type="pct"/>
            <w:tcBorders>
              <w:bottom w:val="nil"/>
            </w:tcBorders>
            <w:shd w:val="clear" w:color="auto" w:fill="F2F2F2"/>
            <w:vAlign w:val="bottom"/>
          </w:tcPr>
          <w:p w14:paraId="1E70B072" w14:textId="77777777" w:rsidR="009E5D9A" w:rsidRPr="004C7145" w:rsidRDefault="009E5D9A" w:rsidP="00AB6D01">
            <w:pPr>
              <w:pStyle w:val="TableBody"/>
              <w:ind w:right="57"/>
              <w:jc w:val="right"/>
            </w:pPr>
            <w:r w:rsidRPr="00445B68">
              <w:t>5.3</w:t>
            </w:r>
          </w:p>
        </w:tc>
      </w:tr>
      <w:tr w:rsidR="009E5D9A" w:rsidRPr="004C7145" w14:paraId="350D606C" w14:textId="77777777" w:rsidTr="00B07EC6">
        <w:trPr>
          <w:trHeight w:val="334"/>
        </w:trPr>
        <w:tc>
          <w:tcPr>
            <w:tcW w:w="1924" w:type="pct"/>
            <w:tcBorders>
              <w:bottom w:val="nil"/>
            </w:tcBorders>
            <w:shd w:val="clear" w:color="auto" w:fill="auto"/>
            <w:vAlign w:val="bottom"/>
          </w:tcPr>
          <w:p w14:paraId="4ACFC0D8" w14:textId="77777777" w:rsidR="009E5D9A" w:rsidRDefault="009E5D9A" w:rsidP="00060E04">
            <w:pPr>
              <w:pStyle w:val="TableBody"/>
            </w:pPr>
            <w:r w:rsidRPr="00445B68">
              <w:t>Other services</w:t>
            </w:r>
          </w:p>
        </w:tc>
        <w:tc>
          <w:tcPr>
            <w:tcW w:w="651" w:type="pct"/>
            <w:tcBorders>
              <w:bottom w:val="nil"/>
            </w:tcBorders>
            <w:vAlign w:val="bottom"/>
          </w:tcPr>
          <w:p w14:paraId="1F25EB46" w14:textId="77777777" w:rsidR="009E5D9A" w:rsidRPr="00445B68" w:rsidRDefault="009E5D9A" w:rsidP="00AB6D01">
            <w:pPr>
              <w:pStyle w:val="TableBody"/>
              <w:ind w:right="57"/>
              <w:jc w:val="right"/>
            </w:pPr>
            <w:r w:rsidRPr="00445B68">
              <w:t>-1.</w:t>
            </w:r>
            <w:r>
              <w:t>9</w:t>
            </w:r>
          </w:p>
        </w:tc>
        <w:tc>
          <w:tcPr>
            <w:tcW w:w="651" w:type="pct"/>
            <w:tcBorders>
              <w:bottom w:val="nil"/>
            </w:tcBorders>
            <w:shd w:val="clear" w:color="auto" w:fill="auto"/>
            <w:vAlign w:val="bottom"/>
          </w:tcPr>
          <w:p w14:paraId="0CBF96E1" w14:textId="77777777" w:rsidR="009E5D9A" w:rsidRPr="004C7145" w:rsidRDefault="009E5D9A" w:rsidP="00AB6D01">
            <w:pPr>
              <w:pStyle w:val="TableBody"/>
              <w:ind w:right="57"/>
              <w:jc w:val="right"/>
            </w:pPr>
            <w:r w:rsidRPr="00445B68">
              <w:t>-1.</w:t>
            </w:r>
            <w:r w:rsidRPr="009159E4">
              <w:t>8</w:t>
            </w:r>
          </w:p>
        </w:tc>
        <w:tc>
          <w:tcPr>
            <w:tcW w:w="651" w:type="pct"/>
            <w:tcBorders>
              <w:bottom w:val="nil"/>
            </w:tcBorders>
            <w:shd w:val="clear" w:color="auto" w:fill="auto"/>
            <w:vAlign w:val="bottom"/>
          </w:tcPr>
          <w:p w14:paraId="2D0BDCED" w14:textId="77777777" w:rsidR="009E5D9A" w:rsidRPr="004C7145" w:rsidRDefault="009E5D9A" w:rsidP="00AB6D01">
            <w:pPr>
              <w:pStyle w:val="TableBody"/>
              <w:ind w:right="57"/>
              <w:jc w:val="right"/>
            </w:pPr>
            <w:r w:rsidRPr="00445B68">
              <w:t>6.3</w:t>
            </w:r>
          </w:p>
        </w:tc>
        <w:tc>
          <w:tcPr>
            <w:tcW w:w="652" w:type="pct"/>
            <w:tcBorders>
              <w:bottom w:val="nil"/>
            </w:tcBorders>
            <w:shd w:val="clear" w:color="auto" w:fill="auto"/>
            <w:vAlign w:val="bottom"/>
          </w:tcPr>
          <w:p w14:paraId="3B2749DD" w14:textId="77777777" w:rsidR="009E5D9A" w:rsidRPr="004C7145" w:rsidRDefault="009E5D9A" w:rsidP="00AB6D01">
            <w:pPr>
              <w:pStyle w:val="TableBody"/>
              <w:ind w:right="57"/>
              <w:jc w:val="right"/>
            </w:pPr>
            <w:r w:rsidRPr="00445B68">
              <w:t>6.1</w:t>
            </w:r>
          </w:p>
        </w:tc>
        <w:tc>
          <w:tcPr>
            <w:tcW w:w="470" w:type="pct"/>
            <w:tcBorders>
              <w:bottom w:val="nil"/>
            </w:tcBorders>
            <w:shd w:val="clear" w:color="auto" w:fill="auto"/>
            <w:vAlign w:val="bottom"/>
          </w:tcPr>
          <w:p w14:paraId="6D496DFC" w14:textId="77777777" w:rsidR="009E5D9A" w:rsidRPr="004C7145" w:rsidRDefault="009E5D9A" w:rsidP="00AB6D01">
            <w:pPr>
              <w:pStyle w:val="TableBody"/>
              <w:ind w:right="57"/>
              <w:jc w:val="right"/>
            </w:pPr>
            <w:r w:rsidRPr="00445B68">
              <w:t>4.3</w:t>
            </w:r>
          </w:p>
        </w:tc>
      </w:tr>
      <w:tr w:rsidR="009E5D9A" w:rsidRPr="004C7145" w14:paraId="51A82289" w14:textId="77777777" w:rsidTr="00B07EC6">
        <w:trPr>
          <w:trHeight w:val="334"/>
        </w:trPr>
        <w:tc>
          <w:tcPr>
            <w:tcW w:w="1924" w:type="pct"/>
            <w:tcBorders>
              <w:bottom w:val="nil"/>
            </w:tcBorders>
            <w:shd w:val="clear" w:color="auto" w:fill="F2F2F2"/>
            <w:vAlign w:val="bottom"/>
          </w:tcPr>
          <w:p w14:paraId="5D38DD15" w14:textId="77777777" w:rsidR="009E5D9A" w:rsidRDefault="009E5D9A" w:rsidP="00060E04">
            <w:pPr>
              <w:pStyle w:val="TableBody"/>
            </w:pPr>
            <w:r w:rsidRPr="00445B68">
              <w:t>Manufacturing</w:t>
            </w:r>
          </w:p>
        </w:tc>
        <w:tc>
          <w:tcPr>
            <w:tcW w:w="651" w:type="pct"/>
            <w:tcBorders>
              <w:bottom w:val="nil"/>
            </w:tcBorders>
            <w:shd w:val="clear" w:color="auto" w:fill="F2F2F2"/>
            <w:vAlign w:val="bottom"/>
          </w:tcPr>
          <w:p w14:paraId="69866444" w14:textId="77777777" w:rsidR="009E5D9A" w:rsidRPr="00445B68" w:rsidRDefault="009E5D9A" w:rsidP="00AB6D01">
            <w:pPr>
              <w:pStyle w:val="TableBody"/>
              <w:ind w:right="57"/>
              <w:jc w:val="right"/>
            </w:pPr>
            <w:r w:rsidRPr="00445B68">
              <w:t>-2.1</w:t>
            </w:r>
          </w:p>
        </w:tc>
        <w:tc>
          <w:tcPr>
            <w:tcW w:w="651" w:type="pct"/>
            <w:tcBorders>
              <w:bottom w:val="nil"/>
            </w:tcBorders>
            <w:shd w:val="clear" w:color="auto" w:fill="F2F2F2"/>
            <w:vAlign w:val="bottom"/>
          </w:tcPr>
          <w:p w14:paraId="63C16549" w14:textId="77777777" w:rsidR="009E5D9A" w:rsidRPr="004C7145" w:rsidRDefault="009E5D9A" w:rsidP="00AB6D01">
            <w:pPr>
              <w:pStyle w:val="TableBody"/>
              <w:ind w:right="57"/>
              <w:jc w:val="right"/>
            </w:pPr>
            <w:r w:rsidRPr="00445B68">
              <w:t>-0.5</w:t>
            </w:r>
          </w:p>
        </w:tc>
        <w:tc>
          <w:tcPr>
            <w:tcW w:w="651" w:type="pct"/>
            <w:tcBorders>
              <w:bottom w:val="nil"/>
            </w:tcBorders>
            <w:shd w:val="clear" w:color="auto" w:fill="F2F2F2"/>
            <w:vAlign w:val="bottom"/>
          </w:tcPr>
          <w:p w14:paraId="0D578088" w14:textId="77777777" w:rsidR="009E5D9A" w:rsidRPr="004C7145" w:rsidRDefault="009E5D9A" w:rsidP="00AB6D01">
            <w:pPr>
              <w:pStyle w:val="TableBody"/>
              <w:ind w:right="57"/>
              <w:jc w:val="right"/>
            </w:pPr>
            <w:r w:rsidRPr="00445B68">
              <w:t>5</w:t>
            </w:r>
          </w:p>
        </w:tc>
        <w:tc>
          <w:tcPr>
            <w:tcW w:w="652" w:type="pct"/>
            <w:tcBorders>
              <w:bottom w:val="nil"/>
            </w:tcBorders>
            <w:shd w:val="clear" w:color="auto" w:fill="F2F2F2"/>
            <w:vAlign w:val="bottom"/>
          </w:tcPr>
          <w:p w14:paraId="70EAA12B" w14:textId="77777777" w:rsidR="009E5D9A" w:rsidRPr="004C7145" w:rsidRDefault="009E5D9A" w:rsidP="00AB6D01">
            <w:pPr>
              <w:pStyle w:val="TableBody"/>
              <w:ind w:right="57"/>
              <w:jc w:val="right"/>
            </w:pPr>
            <w:r w:rsidRPr="00445B68">
              <w:t>0.4</w:t>
            </w:r>
          </w:p>
        </w:tc>
        <w:tc>
          <w:tcPr>
            <w:tcW w:w="470" w:type="pct"/>
            <w:tcBorders>
              <w:bottom w:val="nil"/>
            </w:tcBorders>
            <w:shd w:val="clear" w:color="auto" w:fill="F2F2F2"/>
            <w:vAlign w:val="bottom"/>
          </w:tcPr>
          <w:p w14:paraId="7435DE90" w14:textId="77777777" w:rsidR="009E5D9A" w:rsidRPr="004C7145" w:rsidRDefault="009E5D9A" w:rsidP="00AB6D01">
            <w:pPr>
              <w:pStyle w:val="TableBody"/>
              <w:ind w:right="57"/>
              <w:jc w:val="right"/>
            </w:pPr>
            <w:r w:rsidRPr="00445B68">
              <w:t>2.5</w:t>
            </w:r>
          </w:p>
        </w:tc>
      </w:tr>
      <w:tr w:rsidR="009E5D9A" w:rsidRPr="004C7145" w14:paraId="04484F00" w14:textId="77777777" w:rsidTr="00B07EC6">
        <w:trPr>
          <w:trHeight w:val="334"/>
        </w:trPr>
        <w:tc>
          <w:tcPr>
            <w:tcW w:w="1924" w:type="pct"/>
            <w:tcBorders>
              <w:bottom w:val="nil"/>
            </w:tcBorders>
            <w:shd w:val="clear" w:color="auto" w:fill="auto"/>
            <w:vAlign w:val="bottom"/>
          </w:tcPr>
          <w:p w14:paraId="3A41D516" w14:textId="77777777" w:rsidR="009E5D9A" w:rsidRDefault="009E5D9A" w:rsidP="00060E04">
            <w:pPr>
              <w:pStyle w:val="TableBody"/>
            </w:pPr>
            <w:r w:rsidRPr="00445B68">
              <w:t>Mining</w:t>
            </w:r>
          </w:p>
        </w:tc>
        <w:tc>
          <w:tcPr>
            <w:tcW w:w="651" w:type="pct"/>
            <w:tcBorders>
              <w:bottom w:val="nil"/>
            </w:tcBorders>
            <w:vAlign w:val="bottom"/>
          </w:tcPr>
          <w:p w14:paraId="0A987560" w14:textId="77777777" w:rsidR="009E5D9A" w:rsidRPr="00445B68" w:rsidRDefault="009E5D9A" w:rsidP="00AB6D01">
            <w:pPr>
              <w:pStyle w:val="TableBody"/>
              <w:ind w:right="57"/>
              <w:jc w:val="right"/>
            </w:pPr>
            <w:r w:rsidRPr="00445B68">
              <w:t>-5</w:t>
            </w:r>
          </w:p>
        </w:tc>
        <w:tc>
          <w:tcPr>
            <w:tcW w:w="651" w:type="pct"/>
            <w:tcBorders>
              <w:bottom w:val="nil"/>
            </w:tcBorders>
            <w:shd w:val="clear" w:color="auto" w:fill="auto"/>
            <w:vAlign w:val="bottom"/>
          </w:tcPr>
          <w:p w14:paraId="15DBA930" w14:textId="77777777" w:rsidR="009E5D9A" w:rsidRPr="004C7145" w:rsidRDefault="009E5D9A" w:rsidP="00AB6D01">
            <w:pPr>
              <w:pStyle w:val="TableBody"/>
              <w:ind w:right="57"/>
              <w:jc w:val="right"/>
            </w:pPr>
            <w:r w:rsidRPr="00445B68">
              <w:t>-2.8</w:t>
            </w:r>
          </w:p>
        </w:tc>
        <w:tc>
          <w:tcPr>
            <w:tcW w:w="651" w:type="pct"/>
            <w:tcBorders>
              <w:bottom w:val="nil"/>
            </w:tcBorders>
            <w:shd w:val="clear" w:color="auto" w:fill="auto"/>
            <w:vAlign w:val="bottom"/>
          </w:tcPr>
          <w:p w14:paraId="26F64A97" w14:textId="77777777" w:rsidR="009E5D9A" w:rsidRPr="004C7145" w:rsidRDefault="009E5D9A" w:rsidP="00AB6D01">
            <w:pPr>
              <w:pStyle w:val="TableBody"/>
              <w:ind w:right="57"/>
              <w:jc w:val="right"/>
            </w:pPr>
            <w:r w:rsidRPr="00445B68">
              <w:t>3.9</w:t>
            </w:r>
          </w:p>
        </w:tc>
        <w:tc>
          <w:tcPr>
            <w:tcW w:w="652" w:type="pct"/>
            <w:tcBorders>
              <w:bottom w:val="nil"/>
            </w:tcBorders>
            <w:shd w:val="clear" w:color="auto" w:fill="auto"/>
            <w:vAlign w:val="bottom"/>
          </w:tcPr>
          <w:p w14:paraId="51984684" w14:textId="77777777" w:rsidR="009E5D9A" w:rsidRPr="004C7145" w:rsidRDefault="009E5D9A" w:rsidP="00AB6D01">
            <w:pPr>
              <w:pStyle w:val="TableBody"/>
              <w:ind w:right="57"/>
              <w:jc w:val="right"/>
            </w:pPr>
            <w:r w:rsidRPr="00445B68">
              <w:t>1.2</w:t>
            </w:r>
          </w:p>
        </w:tc>
        <w:tc>
          <w:tcPr>
            <w:tcW w:w="470" w:type="pct"/>
            <w:tcBorders>
              <w:bottom w:val="nil"/>
            </w:tcBorders>
            <w:shd w:val="clear" w:color="auto" w:fill="auto"/>
            <w:vAlign w:val="bottom"/>
          </w:tcPr>
          <w:p w14:paraId="59D6109D" w14:textId="77777777" w:rsidR="009E5D9A" w:rsidRPr="004C7145" w:rsidRDefault="009E5D9A" w:rsidP="00AB6D01">
            <w:pPr>
              <w:pStyle w:val="TableBody"/>
              <w:ind w:right="57"/>
              <w:jc w:val="right"/>
            </w:pPr>
            <w:r w:rsidRPr="00445B68">
              <w:t>-1.</w:t>
            </w:r>
            <w:r>
              <w:t>3</w:t>
            </w:r>
          </w:p>
        </w:tc>
      </w:tr>
      <w:tr w:rsidR="009E5D9A" w:rsidRPr="004C7145" w14:paraId="004A94CD" w14:textId="77777777" w:rsidTr="00AB6D01">
        <w:trPr>
          <w:trHeight w:val="334"/>
        </w:trPr>
        <w:tc>
          <w:tcPr>
            <w:tcW w:w="5000" w:type="pct"/>
            <w:gridSpan w:val="6"/>
            <w:tcBorders>
              <w:bottom w:val="nil"/>
            </w:tcBorders>
            <w:shd w:val="clear" w:color="auto" w:fill="E0F1F7" w:themeFill="text2" w:themeFillTint="33"/>
            <w:vAlign w:val="bottom"/>
          </w:tcPr>
          <w:p w14:paraId="650B5F0E" w14:textId="77777777" w:rsidR="009E5D9A" w:rsidRPr="004C7145" w:rsidRDefault="009E5D9A" w:rsidP="00AB6D01">
            <w:pPr>
              <w:pStyle w:val="TableBody"/>
              <w:ind w:right="57"/>
              <w:rPr>
                <w:rFonts w:ascii="Arial (Body)" w:hAnsi="Arial (Body)"/>
                <w:color w:val="000000"/>
              </w:rPr>
            </w:pPr>
            <w:r w:rsidRPr="00AB6D01">
              <w:rPr>
                <w:rFonts w:ascii="Arial (Body)" w:hAnsi="Arial (Body)"/>
                <w:b/>
                <w:bCs/>
                <w:color w:val="265A9A" w:themeColor="background2"/>
              </w:rPr>
              <w:t>Non-market sector</w:t>
            </w:r>
          </w:p>
        </w:tc>
      </w:tr>
      <w:tr w:rsidR="009E5D9A" w:rsidRPr="004C7145" w14:paraId="0BD18FC2" w14:textId="77777777" w:rsidTr="00B07EC6">
        <w:trPr>
          <w:trHeight w:val="334"/>
        </w:trPr>
        <w:tc>
          <w:tcPr>
            <w:tcW w:w="1924" w:type="pct"/>
            <w:tcBorders>
              <w:bottom w:val="nil"/>
            </w:tcBorders>
            <w:shd w:val="clear" w:color="auto" w:fill="F2F2F2"/>
            <w:vAlign w:val="bottom"/>
          </w:tcPr>
          <w:p w14:paraId="483B217D" w14:textId="77777777" w:rsidR="009E5D9A" w:rsidRPr="007972C5" w:rsidRDefault="009E5D9A" w:rsidP="00060E04">
            <w:pPr>
              <w:pStyle w:val="TableBody"/>
            </w:pPr>
            <w:r w:rsidRPr="007972C5">
              <w:t>Public administration and safety</w:t>
            </w:r>
          </w:p>
        </w:tc>
        <w:tc>
          <w:tcPr>
            <w:tcW w:w="651" w:type="pct"/>
            <w:tcBorders>
              <w:bottom w:val="nil"/>
            </w:tcBorders>
            <w:shd w:val="clear" w:color="auto" w:fill="F2F2F2"/>
            <w:vAlign w:val="center"/>
          </w:tcPr>
          <w:p w14:paraId="1F8087EA" w14:textId="77777777" w:rsidR="009E5D9A" w:rsidRPr="007972C5" w:rsidRDefault="009E5D9A" w:rsidP="00AB6D01">
            <w:pPr>
              <w:pStyle w:val="TableBody"/>
              <w:ind w:right="57"/>
              <w:jc w:val="right"/>
            </w:pPr>
            <w:r w:rsidRPr="007972C5">
              <w:t>0.8</w:t>
            </w:r>
          </w:p>
        </w:tc>
        <w:tc>
          <w:tcPr>
            <w:tcW w:w="651" w:type="pct"/>
            <w:tcBorders>
              <w:bottom w:val="nil"/>
            </w:tcBorders>
            <w:shd w:val="clear" w:color="auto" w:fill="F2F2F2"/>
            <w:vAlign w:val="center"/>
          </w:tcPr>
          <w:p w14:paraId="20EAD328" w14:textId="77777777" w:rsidR="009E5D9A" w:rsidRPr="007972C5" w:rsidRDefault="009E5D9A" w:rsidP="00AB6D01">
            <w:pPr>
              <w:pStyle w:val="TableBody"/>
              <w:ind w:right="57"/>
              <w:jc w:val="right"/>
            </w:pPr>
            <w:r w:rsidRPr="007972C5">
              <w:t>NA</w:t>
            </w:r>
          </w:p>
        </w:tc>
        <w:tc>
          <w:tcPr>
            <w:tcW w:w="651" w:type="pct"/>
            <w:tcBorders>
              <w:bottom w:val="nil"/>
            </w:tcBorders>
            <w:shd w:val="clear" w:color="auto" w:fill="F2F2F2"/>
            <w:vAlign w:val="center"/>
          </w:tcPr>
          <w:p w14:paraId="6BB37361" w14:textId="77777777" w:rsidR="009E5D9A" w:rsidRPr="007972C5" w:rsidRDefault="009E5D9A" w:rsidP="00AB6D01">
            <w:pPr>
              <w:pStyle w:val="TableBody"/>
              <w:ind w:right="57"/>
              <w:jc w:val="right"/>
            </w:pPr>
            <w:r w:rsidRPr="007972C5">
              <w:t>0.1</w:t>
            </w:r>
          </w:p>
        </w:tc>
        <w:tc>
          <w:tcPr>
            <w:tcW w:w="652" w:type="pct"/>
            <w:tcBorders>
              <w:bottom w:val="nil"/>
            </w:tcBorders>
            <w:shd w:val="clear" w:color="auto" w:fill="F2F2F2"/>
            <w:vAlign w:val="center"/>
          </w:tcPr>
          <w:p w14:paraId="5E5E45E0" w14:textId="77777777" w:rsidR="009E5D9A" w:rsidRPr="007972C5" w:rsidRDefault="009E5D9A" w:rsidP="00AB6D01">
            <w:pPr>
              <w:pStyle w:val="TableBody"/>
              <w:ind w:right="57"/>
              <w:jc w:val="right"/>
            </w:pPr>
            <w:r w:rsidRPr="007972C5">
              <w:t>NA</w:t>
            </w:r>
          </w:p>
        </w:tc>
        <w:tc>
          <w:tcPr>
            <w:tcW w:w="470" w:type="pct"/>
            <w:tcBorders>
              <w:bottom w:val="nil"/>
            </w:tcBorders>
            <w:shd w:val="clear" w:color="auto" w:fill="F2F2F2"/>
            <w:vAlign w:val="center"/>
          </w:tcPr>
          <w:p w14:paraId="61AB831B" w14:textId="77777777" w:rsidR="009E5D9A" w:rsidRPr="007972C5" w:rsidRDefault="009E5D9A" w:rsidP="00AB6D01">
            <w:pPr>
              <w:pStyle w:val="TableBody"/>
              <w:ind w:right="57"/>
              <w:jc w:val="right"/>
            </w:pPr>
            <w:r w:rsidRPr="007972C5">
              <w:t>0.9</w:t>
            </w:r>
          </w:p>
        </w:tc>
      </w:tr>
      <w:tr w:rsidR="009E5D9A" w:rsidRPr="004C7145" w14:paraId="1DCFCF71" w14:textId="77777777" w:rsidTr="00B07EC6">
        <w:trPr>
          <w:trHeight w:val="334"/>
        </w:trPr>
        <w:tc>
          <w:tcPr>
            <w:tcW w:w="1924" w:type="pct"/>
            <w:tcBorders>
              <w:bottom w:val="nil"/>
            </w:tcBorders>
            <w:shd w:val="clear" w:color="auto" w:fill="auto"/>
            <w:vAlign w:val="bottom"/>
          </w:tcPr>
          <w:p w14:paraId="0184BD01" w14:textId="77777777" w:rsidR="009E5D9A" w:rsidRPr="007972C5" w:rsidRDefault="009E5D9A" w:rsidP="00060E04">
            <w:pPr>
              <w:pStyle w:val="TableBody"/>
            </w:pPr>
            <w:r w:rsidRPr="007972C5">
              <w:t>Education and training</w:t>
            </w:r>
          </w:p>
        </w:tc>
        <w:tc>
          <w:tcPr>
            <w:tcW w:w="651" w:type="pct"/>
            <w:tcBorders>
              <w:bottom w:val="nil"/>
            </w:tcBorders>
            <w:vAlign w:val="center"/>
          </w:tcPr>
          <w:p w14:paraId="5C537354" w14:textId="77777777" w:rsidR="009E5D9A" w:rsidRPr="007972C5" w:rsidRDefault="009E5D9A" w:rsidP="00AB6D01">
            <w:pPr>
              <w:pStyle w:val="TableBody"/>
              <w:ind w:right="57"/>
              <w:jc w:val="right"/>
            </w:pPr>
            <w:r w:rsidRPr="007972C5">
              <w:t>-0.3</w:t>
            </w:r>
          </w:p>
        </w:tc>
        <w:tc>
          <w:tcPr>
            <w:tcW w:w="651" w:type="pct"/>
            <w:tcBorders>
              <w:bottom w:val="nil"/>
            </w:tcBorders>
            <w:shd w:val="clear" w:color="auto" w:fill="auto"/>
            <w:vAlign w:val="center"/>
          </w:tcPr>
          <w:p w14:paraId="087C3E8D" w14:textId="77777777" w:rsidR="009E5D9A" w:rsidRPr="007972C5" w:rsidRDefault="009E5D9A" w:rsidP="00AB6D01">
            <w:pPr>
              <w:pStyle w:val="TableBody"/>
              <w:ind w:right="57"/>
              <w:jc w:val="right"/>
            </w:pPr>
            <w:r w:rsidRPr="007972C5">
              <w:t>NA</w:t>
            </w:r>
          </w:p>
        </w:tc>
        <w:tc>
          <w:tcPr>
            <w:tcW w:w="651" w:type="pct"/>
            <w:tcBorders>
              <w:bottom w:val="nil"/>
            </w:tcBorders>
            <w:shd w:val="clear" w:color="auto" w:fill="auto"/>
            <w:vAlign w:val="center"/>
          </w:tcPr>
          <w:p w14:paraId="21786EC8" w14:textId="77777777" w:rsidR="009E5D9A" w:rsidRPr="007972C5" w:rsidRDefault="009E5D9A" w:rsidP="00AB6D01">
            <w:pPr>
              <w:pStyle w:val="TableBody"/>
              <w:ind w:right="57"/>
              <w:jc w:val="right"/>
            </w:pPr>
            <w:r w:rsidRPr="007972C5">
              <w:t>1.7</w:t>
            </w:r>
          </w:p>
        </w:tc>
        <w:tc>
          <w:tcPr>
            <w:tcW w:w="652" w:type="pct"/>
            <w:tcBorders>
              <w:bottom w:val="nil"/>
            </w:tcBorders>
            <w:shd w:val="clear" w:color="auto" w:fill="auto"/>
            <w:vAlign w:val="center"/>
          </w:tcPr>
          <w:p w14:paraId="243EB40B" w14:textId="77777777" w:rsidR="009E5D9A" w:rsidRPr="007972C5" w:rsidRDefault="009E5D9A" w:rsidP="00AB6D01">
            <w:pPr>
              <w:pStyle w:val="TableBody"/>
              <w:ind w:right="57"/>
              <w:jc w:val="right"/>
            </w:pPr>
            <w:r w:rsidRPr="007972C5">
              <w:t>NA</w:t>
            </w:r>
          </w:p>
        </w:tc>
        <w:tc>
          <w:tcPr>
            <w:tcW w:w="470" w:type="pct"/>
            <w:tcBorders>
              <w:bottom w:val="nil"/>
            </w:tcBorders>
            <w:shd w:val="clear" w:color="auto" w:fill="auto"/>
            <w:vAlign w:val="center"/>
          </w:tcPr>
          <w:p w14:paraId="148DC51E" w14:textId="77777777" w:rsidR="009E5D9A" w:rsidRPr="007972C5" w:rsidRDefault="009E5D9A" w:rsidP="00AB6D01">
            <w:pPr>
              <w:pStyle w:val="TableBody"/>
              <w:ind w:right="57"/>
              <w:jc w:val="right"/>
            </w:pPr>
            <w:r w:rsidRPr="007972C5">
              <w:t>1.4</w:t>
            </w:r>
          </w:p>
        </w:tc>
      </w:tr>
      <w:tr w:rsidR="009E5D9A" w:rsidRPr="004C7145" w14:paraId="2E2194E7" w14:textId="77777777" w:rsidTr="00B07EC6">
        <w:trPr>
          <w:trHeight w:val="334"/>
        </w:trPr>
        <w:tc>
          <w:tcPr>
            <w:tcW w:w="1924" w:type="pct"/>
            <w:tcBorders>
              <w:bottom w:val="nil"/>
            </w:tcBorders>
            <w:shd w:val="clear" w:color="auto" w:fill="F2F2F2"/>
            <w:vAlign w:val="bottom"/>
          </w:tcPr>
          <w:p w14:paraId="4855D6BA" w14:textId="77777777" w:rsidR="009E5D9A" w:rsidRPr="007972C5" w:rsidRDefault="009E5D9A" w:rsidP="00060E04">
            <w:pPr>
              <w:pStyle w:val="TableBody"/>
            </w:pPr>
            <w:r w:rsidRPr="007972C5">
              <w:t>Health care and social assistance</w:t>
            </w:r>
          </w:p>
        </w:tc>
        <w:tc>
          <w:tcPr>
            <w:tcW w:w="651" w:type="pct"/>
            <w:tcBorders>
              <w:bottom w:val="nil"/>
            </w:tcBorders>
            <w:shd w:val="clear" w:color="auto" w:fill="F2F2F2"/>
            <w:vAlign w:val="center"/>
          </w:tcPr>
          <w:p w14:paraId="201B6BA6" w14:textId="77777777" w:rsidR="009E5D9A" w:rsidRPr="007972C5" w:rsidRDefault="009E5D9A" w:rsidP="00AB6D01">
            <w:pPr>
              <w:pStyle w:val="TableBody"/>
              <w:ind w:right="57"/>
              <w:jc w:val="right"/>
            </w:pPr>
            <w:r w:rsidRPr="007972C5">
              <w:t>4.8</w:t>
            </w:r>
          </w:p>
        </w:tc>
        <w:tc>
          <w:tcPr>
            <w:tcW w:w="651" w:type="pct"/>
            <w:tcBorders>
              <w:bottom w:val="nil"/>
            </w:tcBorders>
            <w:shd w:val="clear" w:color="auto" w:fill="F2F2F2"/>
            <w:vAlign w:val="center"/>
          </w:tcPr>
          <w:p w14:paraId="56FD7D1F" w14:textId="77777777" w:rsidR="009E5D9A" w:rsidRPr="007972C5" w:rsidRDefault="009E5D9A" w:rsidP="00AB6D01">
            <w:pPr>
              <w:pStyle w:val="TableBody"/>
              <w:ind w:right="57"/>
              <w:jc w:val="right"/>
            </w:pPr>
            <w:r w:rsidRPr="007972C5">
              <w:t>NA</w:t>
            </w:r>
          </w:p>
        </w:tc>
        <w:tc>
          <w:tcPr>
            <w:tcW w:w="651" w:type="pct"/>
            <w:tcBorders>
              <w:bottom w:val="nil"/>
            </w:tcBorders>
            <w:shd w:val="clear" w:color="auto" w:fill="F2F2F2"/>
            <w:vAlign w:val="center"/>
          </w:tcPr>
          <w:p w14:paraId="55B5E27B" w14:textId="77777777" w:rsidR="009E5D9A" w:rsidRPr="007972C5" w:rsidRDefault="009E5D9A" w:rsidP="00AB6D01">
            <w:pPr>
              <w:pStyle w:val="TableBody"/>
              <w:ind w:right="57"/>
              <w:jc w:val="right"/>
            </w:pPr>
            <w:r w:rsidRPr="007972C5">
              <w:t>0.5</w:t>
            </w:r>
          </w:p>
        </w:tc>
        <w:tc>
          <w:tcPr>
            <w:tcW w:w="652" w:type="pct"/>
            <w:tcBorders>
              <w:bottom w:val="nil"/>
            </w:tcBorders>
            <w:shd w:val="clear" w:color="auto" w:fill="F2F2F2"/>
            <w:vAlign w:val="center"/>
          </w:tcPr>
          <w:p w14:paraId="3DBE68D1" w14:textId="77777777" w:rsidR="009E5D9A" w:rsidRPr="007972C5" w:rsidRDefault="009E5D9A" w:rsidP="00AB6D01">
            <w:pPr>
              <w:pStyle w:val="TableBody"/>
              <w:ind w:right="57"/>
              <w:jc w:val="right"/>
            </w:pPr>
            <w:r w:rsidRPr="007972C5">
              <w:t>NA</w:t>
            </w:r>
          </w:p>
        </w:tc>
        <w:tc>
          <w:tcPr>
            <w:tcW w:w="470" w:type="pct"/>
            <w:tcBorders>
              <w:bottom w:val="nil"/>
            </w:tcBorders>
            <w:shd w:val="clear" w:color="auto" w:fill="F2F2F2"/>
            <w:vAlign w:val="center"/>
          </w:tcPr>
          <w:p w14:paraId="4CC7F57D" w14:textId="77777777" w:rsidR="009E5D9A" w:rsidRPr="007972C5" w:rsidRDefault="009E5D9A" w:rsidP="00AB6D01">
            <w:pPr>
              <w:pStyle w:val="TableBody"/>
              <w:ind w:right="57"/>
              <w:jc w:val="right"/>
            </w:pPr>
            <w:r w:rsidRPr="007972C5">
              <w:t>5.4</w:t>
            </w:r>
          </w:p>
        </w:tc>
      </w:tr>
      <w:tr w:rsidR="009E5D9A" w:rsidRPr="004C7145" w14:paraId="1F8DB873" w14:textId="77777777" w:rsidTr="00B07EC6">
        <w:trPr>
          <w:trHeight w:val="334"/>
        </w:trPr>
        <w:tc>
          <w:tcPr>
            <w:tcW w:w="1924" w:type="pct"/>
            <w:tcBorders>
              <w:bottom w:val="single" w:sz="4" w:space="0" w:color="BFBFBF" w:themeColor="background1" w:themeShade="BF"/>
            </w:tcBorders>
            <w:shd w:val="clear" w:color="auto" w:fill="E0F1F7" w:themeFill="text2" w:themeFillTint="33"/>
            <w:vAlign w:val="bottom"/>
          </w:tcPr>
          <w:p w14:paraId="595A2940" w14:textId="77777777" w:rsidR="009E5D9A" w:rsidRPr="00AB6D01" w:rsidRDefault="009E5D9A" w:rsidP="00060E04">
            <w:pPr>
              <w:pStyle w:val="TableBody"/>
              <w:rPr>
                <w:rFonts w:ascii="Arial (Body)" w:hAnsi="Arial (Body)"/>
                <w:b/>
                <w:bCs/>
                <w:color w:val="000000"/>
              </w:rPr>
            </w:pPr>
            <w:r w:rsidRPr="00AB6D01">
              <w:rPr>
                <w:rFonts w:ascii="Arial (Body)" w:hAnsi="Arial (Body)"/>
                <w:b/>
                <w:bCs/>
                <w:color w:val="000000"/>
              </w:rPr>
              <w:t>All industries</w:t>
            </w:r>
          </w:p>
        </w:tc>
        <w:tc>
          <w:tcPr>
            <w:tcW w:w="651" w:type="pct"/>
            <w:tcBorders>
              <w:bottom w:val="single" w:sz="4" w:space="0" w:color="BFBFBF" w:themeColor="background1" w:themeShade="BF"/>
            </w:tcBorders>
            <w:shd w:val="clear" w:color="auto" w:fill="E0F1F7" w:themeFill="text2" w:themeFillTint="33"/>
            <w:vAlign w:val="center"/>
          </w:tcPr>
          <w:p w14:paraId="72ED5317" w14:textId="77777777" w:rsidR="009E5D9A" w:rsidRPr="00AB6D01" w:rsidRDefault="009E5D9A" w:rsidP="00AB6D01">
            <w:pPr>
              <w:pStyle w:val="TableBody"/>
              <w:ind w:right="57"/>
              <w:jc w:val="right"/>
              <w:rPr>
                <w:b/>
                <w:bCs/>
              </w:rPr>
            </w:pPr>
            <w:r w:rsidRPr="00AB6D01">
              <w:rPr>
                <w:b/>
                <w:bCs/>
              </w:rPr>
              <w:t>1.5</w:t>
            </w:r>
          </w:p>
        </w:tc>
        <w:tc>
          <w:tcPr>
            <w:tcW w:w="651" w:type="pct"/>
            <w:tcBorders>
              <w:bottom w:val="single" w:sz="4" w:space="0" w:color="BFBFBF" w:themeColor="background1" w:themeShade="BF"/>
            </w:tcBorders>
            <w:shd w:val="clear" w:color="auto" w:fill="E0F1F7" w:themeFill="text2" w:themeFillTint="33"/>
            <w:vAlign w:val="center"/>
          </w:tcPr>
          <w:p w14:paraId="15998734" w14:textId="77777777" w:rsidR="009E5D9A" w:rsidRPr="00AB6D01" w:rsidRDefault="009E5D9A" w:rsidP="00AB6D01">
            <w:pPr>
              <w:pStyle w:val="TableBody"/>
              <w:ind w:right="57"/>
              <w:jc w:val="right"/>
              <w:rPr>
                <w:b/>
                <w:bCs/>
              </w:rPr>
            </w:pPr>
            <w:r w:rsidRPr="00AB6D01">
              <w:rPr>
                <w:b/>
                <w:bCs/>
              </w:rPr>
              <w:t>NA</w:t>
            </w:r>
          </w:p>
        </w:tc>
        <w:tc>
          <w:tcPr>
            <w:tcW w:w="651" w:type="pct"/>
            <w:tcBorders>
              <w:bottom w:val="single" w:sz="4" w:space="0" w:color="BFBFBF" w:themeColor="background1" w:themeShade="BF"/>
            </w:tcBorders>
            <w:shd w:val="clear" w:color="auto" w:fill="E0F1F7" w:themeFill="text2" w:themeFillTint="33"/>
            <w:vAlign w:val="center"/>
          </w:tcPr>
          <w:p w14:paraId="3DE49475" w14:textId="77777777" w:rsidR="009E5D9A" w:rsidRPr="00AB6D01" w:rsidRDefault="009E5D9A" w:rsidP="00AB6D01">
            <w:pPr>
              <w:pStyle w:val="TableBody"/>
              <w:ind w:right="57"/>
              <w:jc w:val="right"/>
              <w:rPr>
                <w:b/>
                <w:bCs/>
              </w:rPr>
            </w:pPr>
            <w:r w:rsidRPr="00AB6D01">
              <w:rPr>
                <w:b/>
                <w:bCs/>
              </w:rPr>
              <w:t>2.5</w:t>
            </w:r>
          </w:p>
        </w:tc>
        <w:tc>
          <w:tcPr>
            <w:tcW w:w="652" w:type="pct"/>
            <w:tcBorders>
              <w:bottom w:val="single" w:sz="4" w:space="0" w:color="BFBFBF" w:themeColor="background1" w:themeShade="BF"/>
            </w:tcBorders>
            <w:shd w:val="clear" w:color="auto" w:fill="E0F1F7" w:themeFill="text2" w:themeFillTint="33"/>
            <w:vAlign w:val="center"/>
          </w:tcPr>
          <w:p w14:paraId="052019AF" w14:textId="77777777" w:rsidR="009E5D9A" w:rsidRPr="00AB6D01" w:rsidRDefault="009E5D9A" w:rsidP="00AB6D01">
            <w:pPr>
              <w:pStyle w:val="TableBody"/>
              <w:ind w:right="57"/>
              <w:jc w:val="right"/>
              <w:rPr>
                <w:b/>
                <w:bCs/>
              </w:rPr>
            </w:pPr>
            <w:r w:rsidRPr="00AB6D01">
              <w:rPr>
                <w:b/>
                <w:bCs/>
              </w:rPr>
              <w:t>NA</w:t>
            </w:r>
          </w:p>
        </w:tc>
        <w:tc>
          <w:tcPr>
            <w:tcW w:w="470" w:type="pct"/>
            <w:tcBorders>
              <w:bottom w:val="single" w:sz="4" w:space="0" w:color="BFBFBF" w:themeColor="background1" w:themeShade="BF"/>
            </w:tcBorders>
            <w:shd w:val="clear" w:color="auto" w:fill="E0F1F7" w:themeFill="text2" w:themeFillTint="33"/>
            <w:vAlign w:val="center"/>
          </w:tcPr>
          <w:p w14:paraId="3B86057F" w14:textId="77777777" w:rsidR="009E5D9A" w:rsidRPr="00AB6D01" w:rsidRDefault="009E5D9A" w:rsidP="00AB6D01">
            <w:pPr>
              <w:pStyle w:val="TableBody"/>
              <w:ind w:right="57"/>
              <w:jc w:val="right"/>
              <w:rPr>
                <w:b/>
                <w:bCs/>
              </w:rPr>
            </w:pPr>
            <w:r w:rsidRPr="00AB6D01">
              <w:rPr>
                <w:b/>
                <w:bCs/>
              </w:rPr>
              <w:t>4.0</w:t>
            </w:r>
          </w:p>
        </w:tc>
      </w:tr>
    </w:tbl>
    <w:p w14:paraId="1AE9C90E" w14:textId="77777777" w:rsidR="009E5D9A" w:rsidRDefault="009E5D9A" w:rsidP="00CE4F48">
      <w:pPr>
        <w:pStyle w:val="Note"/>
      </w:pPr>
      <w:r w:rsidRPr="00C36914">
        <w:rPr>
          <w:b/>
          <w:bCs/>
        </w:rPr>
        <w:t>a.</w:t>
      </w:r>
      <w:r w:rsidRPr="00C36914">
        <w:t xml:space="preserve"> </w:t>
      </w:r>
      <w:r>
        <w:t xml:space="preserve">Some figures will not appear to add correctly due to rounding to one decimal place, for example labour productivity growth and hours growth not appearing to add to GVA. </w:t>
      </w:r>
    </w:p>
    <w:p w14:paraId="15D2D72F" w14:textId="77777777" w:rsidR="009E5D9A" w:rsidRPr="001E2A8A" w:rsidRDefault="009E5D9A" w:rsidP="007A56C7">
      <w:pPr>
        <w:pStyle w:val="Source"/>
        <w:rPr>
          <w:spacing w:val="-4"/>
        </w:rPr>
      </w:pPr>
      <w:r w:rsidRPr="001E2A8A">
        <w:rPr>
          <w:spacing w:val="-4"/>
        </w:rPr>
        <w:t>Sources: estimates based on: ABS (2022, Australian System of National Accounts, 2021-22, Cat. no. 5204.0, tables 1, 5, 15, 46 and 58); ABS (2022, Estimates of Industry Multifactor Productivity, 2019-20, Cat. no. 5260.0.55.002, tables 1, 6 and 14).</w:t>
      </w:r>
    </w:p>
    <w:p w14:paraId="5495E949" w14:textId="77777777" w:rsidR="009E5D9A" w:rsidRPr="00BB2779" w:rsidRDefault="009E5D9A" w:rsidP="004D5301">
      <w:pPr>
        <w:pStyle w:val="FigureTableHeading"/>
      </w:pPr>
      <w:r>
        <w:lastRenderedPageBreak/>
        <w:t>Figure 5</w:t>
      </w:r>
      <w:r>
        <w:rPr>
          <w:noProof/>
        </w:rPr>
        <w:t xml:space="preserve"> </w:t>
      </w:r>
      <w:r>
        <w:t>– There was a</w:t>
      </w:r>
      <w:r w:rsidRPr="003D3C72">
        <w:t xml:space="preserve"> significant disparity in productivity </w:t>
      </w:r>
      <w:r>
        <w:t>growth across sectors</w:t>
      </w:r>
    </w:p>
    <w:p w14:paraId="16236CBD" w14:textId="5B6D3F78" w:rsidR="009E5D9A" w:rsidRPr="001E2A8A" w:rsidRDefault="009E5D9A">
      <w:pPr>
        <w:pStyle w:val="FigureTableSubheading"/>
        <w:keepLines/>
        <w:rPr>
          <w:spacing w:val="-6"/>
        </w:rPr>
      </w:pPr>
      <w:r w:rsidRPr="001E2A8A">
        <w:rPr>
          <w:spacing w:val="-6"/>
        </w:rPr>
        <w:t xml:space="preserve">MFP and </w:t>
      </w:r>
      <w:r w:rsidR="00CC455A">
        <w:rPr>
          <w:spacing w:val="-6"/>
        </w:rPr>
        <w:t>l</w:t>
      </w:r>
      <w:r w:rsidRPr="001E2A8A">
        <w:rPr>
          <w:spacing w:val="-6"/>
        </w:rPr>
        <w:t>abour productivity growth in market industries, 2021-22 and the five-year average</w:t>
      </w:r>
    </w:p>
    <w:p w14:paraId="680F529E" w14:textId="77777777" w:rsidR="009E5D9A" w:rsidRDefault="009E5D9A">
      <w:pPr>
        <w:pStyle w:val="Note"/>
        <w:keepLines/>
        <w:rPr>
          <w:b/>
          <w:bCs/>
        </w:rPr>
      </w:pPr>
      <w:r w:rsidRPr="00032449">
        <w:rPr>
          <w:noProof/>
        </w:rPr>
        <w:drawing>
          <wp:inline distT="0" distB="0" distL="0" distR="0" wp14:anchorId="0BFA5386" wp14:editId="1D62E412">
            <wp:extent cx="6120130" cy="4423410"/>
            <wp:effectExtent l="0" t="0" r="0" b="0"/>
            <wp:docPr id="695885930" name="Picture 3" descr="This figure is a bar chart which shows the 2021-22 growth in labour productivity and multifactor productivity for 19 industries. It also shows the five-year average growth rate for multifactor productivity and labour productivity for each industry. The figure shows that there was significant disparity across firms for productivity growth. In 2021-22 most industries grew above their five year average. Some industries grew extremely fast including: agricultural, forestry and fishing, transport, postal and warehousing, and information, media and telecommunication. Productivity growth in the mining sector was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85930" name="Picture 3" descr="This figure is a bar chart which shows the 2021-22 growth in labour productivity and multifactor productivity for 19 industries. It also shows the five-year average growth rate for multifactor productivity and labour productivity for each industry. The figure shows that there was significant disparity across firms for productivity growth. In 2021-22 most industries grew above their five year average. Some industries grew extremely fast including: agricultural, forestry and fishing, transport, postal and warehousing, and information, media and telecommunication. Productivity growth in the mining sector was negativ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130" cy="4423410"/>
                    </a:xfrm>
                    <a:prstGeom prst="rect">
                      <a:avLst/>
                    </a:prstGeom>
                    <a:noFill/>
                    <a:ln>
                      <a:noFill/>
                    </a:ln>
                  </pic:spPr>
                </pic:pic>
              </a:graphicData>
            </a:graphic>
          </wp:inline>
        </w:drawing>
      </w:r>
    </w:p>
    <w:p w14:paraId="2EE16DF0" w14:textId="77777777" w:rsidR="009E5D9A" w:rsidRDefault="009E5D9A" w:rsidP="002D5647">
      <w:pPr>
        <w:pStyle w:val="Source"/>
      </w:pPr>
      <w:r w:rsidRPr="00696447">
        <w:t xml:space="preserve">Source: </w:t>
      </w:r>
      <w:r>
        <w:t xml:space="preserve">ABS (2022, </w:t>
      </w:r>
      <w:r w:rsidRPr="00DF0D4E">
        <w:rPr>
          <w:i/>
          <w:iCs/>
        </w:rPr>
        <w:t>Australian System of National Accounts</w:t>
      </w:r>
      <w:r>
        <w:t>, 2021-22, Cat. no. 5204.0, table 15).</w:t>
      </w:r>
    </w:p>
    <w:p w14:paraId="1943514E" w14:textId="77777777" w:rsidR="009E5D9A" w:rsidRDefault="009E5D9A" w:rsidP="009E5D9A">
      <w:pPr>
        <w:pStyle w:val="Heading2-nonumber"/>
        <w:numPr>
          <w:ilvl w:val="0"/>
          <w:numId w:val="42"/>
        </w:numPr>
      </w:pPr>
      <w:bookmarkStart w:id="4" w:name="_Toc139383199"/>
      <w:r>
        <w:t>Australia’s recent productivity story</w:t>
      </w:r>
      <w:bookmarkEnd w:id="4"/>
    </w:p>
    <w:p w14:paraId="4692CAE4" w14:textId="77777777" w:rsidR="009E5D9A" w:rsidRDefault="009E5D9A" w:rsidP="00445B68">
      <w:pPr>
        <w:pStyle w:val="BodyText"/>
      </w:pPr>
      <w:r>
        <w:t>This section provides insights into the 2021-22 productivity story, including: the appearance of a productivity boom in the agricultural sector; the weak productivity performance of the mining sector; and the continued decline in capital deepening.</w:t>
      </w:r>
    </w:p>
    <w:p w14:paraId="087E7774" w14:textId="77777777" w:rsidR="009E5D9A" w:rsidRDefault="009E5D9A" w:rsidP="00974FE4">
      <w:pPr>
        <w:pStyle w:val="Heading3"/>
      </w:pPr>
      <w:r>
        <w:t>An apparent productivity boom in the agricultural sector</w:t>
      </w:r>
    </w:p>
    <w:p w14:paraId="76B962D2" w14:textId="77777777" w:rsidR="009E5D9A" w:rsidRPr="005D0D1B" w:rsidRDefault="009E5D9A" w:rsidP="00974FE4">
      <w:pPr>
        <w:pStyle w:val="BodyText"/>
      </w:pPr>
      <w:r>
        <w:t>The agricultural sector experienced an output and productivity boom between 2020-21 and 2021-22 – both</w:t>
      </w:r>
      <w:r w:rsidDel="00685779">
        <w:t xml:space="preserve"> </w:t>
      </w:r>
      <w:r>
        <w:t xml:space="preserve">GVA and MFP increased by more than 20% for two consecutive years (table 2 and figure 6). </w:t>
      </w:r>
    </w:p>
    <w:p w14:paraId="41110FA5" w14:textId="77777777" w:rsidR="009E5D9A" w:rsidRPr="001F7663" w:rsidRDefault="009E5D9A" w:rsidP="00974FE4">
      <w:pPr>
        <w:pStyle w:val="Heading4"/>
      </w:pPr>
      <w:r>
        <w:t>MFP growth did</w:t>
      </w:r>
      <w:r w:rsidDel="00403C9C">
        <w:t xml:space="preserve"> </w:t>
      </w:r>
      <w:r>
        <w:t>not represent better technology or efficiency …</w:t>
      </w:r>
    </w:p>
    <w:p w14:paraId="4692026F" w14:textId="3379D9CF" w:rsidR="009E5D9A" w:rsidRPr="00CC56D1" w:rsidRDefault="009E5D9A" w:rsidP="00242B37">
      <w:pPr>
        <w:rPr>
          <w:spacing w:val="-2"/>
        </w:rPr>
      </w:pPr>
      <w:r w:rsidRPr="00CC56D1">
        <w:rPr>
          <w:rStyle w:val="BodyTextChar"/>
          <w:spacing w:val="-2"/>
        </w:rPr>
        <w:t>Changes in output growth in the agricultural sector are primarily driven by fluctuations in MFP growth (figure 6</w:t>
      </w:r>
      <w:r w:rsidRPr="00CC56D1">
        <w:rPr>
          <w:spacing w:val="-2"/>
        </w:rPr>
        <w:t>).</w:t>
      </w:r>
      <w:r w:rsidRPr="007D15B3">
        <w:rPr>
          <w:rStyle w:val="FootnoteReference"/>
        </w:rPr>
        <w:footnoteReference w:id="10"/>
      </w:r>
      <w:r>
        <w:rPr>
          <w:spacing w:val="-2"/>
        </w:rPr>
        <w:t xml:space="preserve"> </w:t>
      </w:r>
      <w:r w:rsidRPr="00CC56D1">
        <w:rPr>
          <w:rStyle w:val="BodyTextChar"/>
          <w:spacing w:val="-2"/>
        </w:rPr>
        <w:t xml:space="preserve">The volatility in MFP growth is unlikely to reflect the changes in technology, as technology improvements </w:t>
      </w:r>
      <w:r w:rsidRPr="00CC56D1">
        <w:rPr>
          <w:rStyle w:val="BodyTextChar"/>
          <w:spacing w:val="-2"/>
        </w:rPr>
        <w:lastRenderedPageBreak/>
        <w:t xml:space="preserve">tend to drive consistent MFP increases </w:t>
      </w:r>
      <w:r w:rsidR="00EF1E8F" w:rsidRPr="00EF1E8F">
        <w:rPr>
          <w:rFonts w:ascii="Arial" w:hAnsi="Arial" w:cs="Arial"/>
          <w:szCs w:val="24"/>
        </w:rPr>
        <w:t>(PC 2021)</w:t>
      </w:r>
      <w:r w:rsidRPr="00CC56D1">
        <w:rPr>
          <w:rStyle w:val="BodyTextChar"/>
          <w:spacing w:val="-2"/>
        </w:rPr>
        <w:t>. Instead, external factors are more likely to be responsible for the fluctuations in MFP, and the subsequent changes in output growth</w:t>
      </w:r>
      <w:r w:rsidRPr="00CC56D1">
        <w:rPr>
          <w:spacing w:val="-2"/>
        </w:rPr>
        <w:t>.</w:t>
      </w:r>
      <w:r w:rsidRPr="007D15B3">
        <w:rPr>
          <w:rStyle w:val="FootnoteReference"/>
        </w:rPr>
        <w:footnoteReference w:id="11"/>
      </w:r>
      <w:r w:rsidRPr="00CC56D1">
        <w:rPr>
          <w:spacing w:val="-2"/>
        </w:rPr>
        <w:t xml:space="preserve"> </w:t>
      </w:r>
    </w:p>
    <w:p w14:paraId="6A743FD4" w14:textId="77777777" w:rsidR="009E5D9A" w:rsidRPr="00460466" w:rsidRDefault="009E5D9A" w:rsidP="00974FE4">
      <w:pPr>
        <w:pStyle w:val="Heading4"/>
      </w:pPr>
      <w:r>
        <w:t>… but instead reflected improved weather conditions</w:t>
      </w:r>
    </w:p>
    <w:p w14:paraId="08C18A40" w14:textId="208CB16A" w:rsidR="009E5D9A" w:rsidRDefault="009E5D9A" w:rsidP="00974FE4">
      <w:pPr>
        <w:pStyle w:val="BodyText"/>
      </w:pPr>
      <w:r>
        <w:t xml:space="preserve">Fluctuations in MFP growth in the agricultural sector primarily reflect weather conditions. Extreme weather conditions directly affect production and subsequently influence MFP measure, as output can vary significantly for a given amount of inputs. For example, the sharp decrease in MFP from 2017 to 2020 was due to the Eastern Australia drought </w:t>
      </w:r>
      <w:r w:rsidRPr="13F99514">
        <w:rPr>
          <w:rFonts w:ascii="Arial" w:hAnsi="Arial" w:cs="Arial"/>
        </w:rPr>
        <w:t>(ABS 2020)</w:t>
      </w:r>
      <w:r>
        <w:t xml:space="preserve">, while the surge in MFP from 2020 to 2022 were a result of plentiful rainfalls and minimal weather disruptions </w:t>
      </w:r>
      <w:r w:rsidRPr="00E7364D">
        <w:rPr>
          <w:rFonts w:ascii="Arial" w:hAnsi="Arial" w:cs="Arial"/>
          <w:szCs w:val="24"/>
        </w:rPr>
        <w:t>(ABS 2021, 2022b)</w:t>
      </w:r>
      <w:r>
        <w:t>.</w:t>
      </w:r>
    </w:p>
    <w:p w14:paraId="03E171C0" w14:textId="77777777" w:rsidR="009E5D9A" w:rsidRPr="00146382" w:rsidRDefault="009E5D9A" w:rsidP="00974FE4">
      <w:pPr>
        <w:pStyle w:val="FigureTableHeading"/>
      </w:pPr>
      <w:r>
        <w:t>Figure 6</w:t>
      </w:r>
      <w:r>
        <w:rPr>
          <w:noProof/>
        </w:rPr>
        <w:t xml:space="preserve"> </w:t>
      </w:r>
      <w:r>
        <w:t>– Output fluctuations in the agricultural sector are attributed to MFP growth</w:t>
      </w:r>
    </w:p>
    <w:p w14:paraId="7AD58493" w14:textId="77777777" w:rsidR="009E5D9A" w:rsidRDefault="009E5D9A" w:rsidP="00974FE4">
      <w:pPr>
        <w:pStyle w:val="FigureTableSubheading"/>
      </w:pPr>
      <w:r>
        <w:t xml:space="preserve">Contribution to gross value added (output) growth in agricultural, forestry and fishing from hours worked (labour), capital services (capital), and MFP, 2009-10 to 2021-22 </w:t>
      </w:r>
    </w:p>
    <w:p w14:paraId="6C4BF396" w14:textId="6ECD1B93" w:rsidR="009E5D9A" w:rsidRDefault="00E16EF9" w:rsidP="00974FE4">
      <w:pPr>
        <w:pStyle w:val="Note"/>
        <w:keepLines/>
      </w:pPr>
      <w:r w:rsidRPr="00E16EF9">
        <w:rPr>
          <w:noProof/>
        </w:rPr>
        <w:drawing>
          <wp:inline distT="0" distB="0" distL="0" distR="0" wp14:anchorId="5070259C" wp14:editId="38966470">
            <wp:extent cx="5968789" cy="2895600"/>
            <wp:effectExtent l="0" t="0" r="0" b="0"/>
            <wp:docPr id="1900228645" name="Picture 2" descr="This is a combined figure made from a bar chart and a line chart. The bar chart shows how capital inputs, labour inputs and multifactor productivity contribute to output growth rate in the agricultural sector from 2009-10 to 2021-22. The line chart shows the output growth rate in the agricultural sector from 2009-10 to 2021-22. The chart shows that capital inputs and labour inputs only make a small contribution to output growth in the agricultural sector. The significant decline in output growth between 2017-18 to 2019-20 and the significant increase in output growth between 2020-21 to 2021-22 were mainly driven by change in multifactor productivity. It also shows that the decline in output growth rate between 2017-20 corresponds to the period of Eastern Australia Dro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28645" name="Picture 2" descr="This is a combined figure made from a bar chart and a line chart. The bar chart shows how capital inputs, labour inputs and multifactor productivity contribute to output growth rate in the agricultural sector from 2009-10 to 2021-22. The line chart shows the output growth rate in the agricultural sector from 2009-10 to 2021-22. The chart shows that capital inputs and labour inputs only make a small contribution to output growth in the agricultural sector. The significant decline in output growth between 2017-18 to 2019-20 and the significant increase in output growth between 2020-21 to 2021-22 were mainly driven by change in multifactor productivity. It also shows that the decline in output growth rate between 2017-20 corresponds to the period of Eastern Australia Drought."/>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811"/>
                    <a:stretch/>
                  </pic:blipFill>
                  <pic:spPr bwMode="auto">
                    <a:xfrm>
                      <a:off x="0" y="0"/>
                      <a:ext cx="5968789" cy="2895600"/>
                    </a:xfrm>
                    <a:prstGeom prst="rect">
                      <a:avLst/>
                    </a:prstGeom>
                    <a:noFill/>
                    <a:ln>
                      <a:noFill/>
                    </a:ln>
                    <a:extLst>
                      <a:ext uri="{53640926-AAD7-44D8-BBD7-CCE9431645EC}">
                        <a14:shadowObscured xmlns:a14="http://schemas.microsoft.com/office/drawing/2010/main"/>
                      </a:ext>
                    </a:extLst>
                  </pic:spPr>
                </pic:pic>
              </a:graphicData>
            </a:graphic>
          </wp:inline>
        </w:drawing>
      </w:r>
    </w:p>
    <w:p w14:paraId="38CCA8D2" w14:textId="77777777" w:rsidR="009E5D9A" w:rsidRDefault="009E5D9A" w:rsidP="00974FE4">
      <w:pPr>
        <w:pStyle w:val="Source"/>
      </w:pPr>
      <w:r>
        <w:t>Source: estimates based on ABS (Estimates of Industry Multifactor Productivity, 2021-22, Cat. no. 5260.0.55.002., tables 1-19); ABS (2022, Australian System of National Accounts, 2021-22, Cat. no. 5204.0, tables 64).</w:t>
      </w:r>
    </w:p>
    <w:p w14:paraId="1E754659" w14:textId="34575AAA" w:rsidR="009E5D9A" w:rsidRDefault="009E5D9A" w:rsidP="13F99514">
      <w:pPr>
        <w:pStyle w:val="BodyText"/>
      </w:pPr>
      <w:r>
        <w:t xml:space="preserve">The current level of agricultural sector MFP is unlikely to be sustainable in the long term and will change with weather conditions. For instance, strong growth in the sector was disrupted by unfavourable weather conditions in the December 2022 quarter (growth decreased by 2.8%); this was due to severe flooding in regional areas of New South Wales, Victoria, South Australia, and Tasmania </w:t>
      </w:r>
      <w:r w:rsidRPr="00ED120D">
        <w:rPr>
          <w:rFonts w:ascii="Arial" w:hAnsi="Arial" w:cs="Arial"/>
          <w:szCs w:val="24"/>
        </w:rPr>
        <w:t>(ABS 2023e)</w:t>
      </w:r>
      <w:r>
        <w:t>.</w:t>
      </w:r>
      <w:r w:rsidRPr="007D15B3">
        <w:rPr>
          <w:rStyle w:val="FootnoteReference"/>
        </w:rPr>
        <w:footnoteReference w:id="12"/>
      </w:r>
      <w:r>
        <w:t xml:space="preserve"> </w:t>
      </w:r>
    </w:p>
    <w:p w14:paraId="141897CE" w14:textId="77777777" w:rsidR="009E5D9A" w:rsidRDefault="009E5D9A" w:rsidP="00974FE4">
      <w:pPr>
        <w:pStyle w:val="Heading3"/>
      </w:pPr>
      <w:r>
        <w:lastRenderedPageBreak/>
        <w:t>Early signs of another mining boom?</w:t>
      </w:r>
    </w:p>
    <w:p w14:paraId="0E847AA7" w14:textId="4DD41C38" w:rsidR="009E5D9A" w:rsidRPr="00347669" w:rsidRDefault="009E5D9A" w:rsidP="00974FE4">
      <w:pPr>
        <w:pStyle w:val="BodyText"/>
      </w:pPr>
      <w:r w:rsidRPr="00CB24A7">
        <w:t xml:space="preserve">The mining sector </w:t>
      </w:r>
      <w:r>
        <w:t>is</w:t>
      </w:r>
      <w:r w:rsidRPr="00CB24A7">
        <w:t xml:space="preserve"> </w:t>
      </w:r>
      <w:r>
        <w:t xml:space="preserve">a </w:t>
      </w:r>
      <w:r w:rsidRPr="00CB24A7">
        <w:t>significant contributor t</w:t>
      </w:r>
      <w:r>
        <w:t>o the Australian</w:t>
      </w:r>
      <w:r w:rsidRPr="00CB24A7">
        <w:t xml:space="preserve"> economy, representing 14.</w:t>
      </w:r>
      <w:r>
        <w:t>6</w:t>
      </w:r>
      <w:r w:rsidRPr="00CB24A7">
        <w:t>% of GDP in 2023</w:t>
      </w:r>
      <w:r>
        <w:t xml:space="preserve"> </w:t>
      </w:r>
      <w:r w:rsidRPr="73C6232B">
        <w:rPr>
          <w:rFonts w:ascii="Arial" w:hAnsi="Arial" w:cs="Arial"/>
        </w:rPr>
        <w:t>(RBA 2023b)</w:t>
      </w:r>
      <w:r w:rsidRPr="00CB24A7">
        <w:t xml:space="preserve">. </w:t>
      </w:r>
      <w:r>
        <w:t>Despite</w:t>
      </w:r>
      <w:r w:rsidRPr="00CB24A7">
        <w:t xml:space="preserve"> the rise in mineral prices and sector profits, growth </w:t>
      </w:r>
      <w:r>
        <w:t>in</w:t>
      </w:r>
      <w:r w:rsidRPr="00CB24A7">
        <w:t xml:space="preserve"> real output and productivity has remained stagnant</w:t>
      </w:r>
      <w:r>
        <w:rPr>
          <w:iCs/>
        </w:rPr>
        <w:t xml:space="preserve"> since 2016-17 (figure 7)</w:t>
      </w:r>
      <w:r w:rsidRPr="00CB24A7">
        <w:rPr>
          <w:iCs/>
        </w:rPr>
        <w:t>.</w:t>
      </w:r>
      <w:r w:rsidRPr="00CB24A7">
        <w:t xml:space="preserve"> This is primarily due to low</w:t>
      </w:r>
      <w:r>
        <w:t>er</w:t>
      </w:r>
      <w:r w:rsidRPr="00CB24A7">
        <w:t xml:space="preserve"> investment since the mining boom</w:t>
      </w:r>
      <w:r w:rsidRPr="00347669">
        <w:t xml:space="preserve">. </w:t>
      </w:r>
    </w:p>
    <w:p w14:paraId="0B6210B8" w14:textId="77777777" w:rsidR="009E5D9A" w:rsidRDefault="009E5D9A" w:rsidP="00974FE4">
      <w:pPr>
        <w:pStyle w:val="BodyText"/>
        <w:rPr>
          <w:iCs/>
        </w:rPr>
      </w:pPr>
      <w:r>
        <w:t>Some</w:t>
      </w:r>
      <w:r>
        <w:rPr>
          <w:iCs/>
        </w:rPr>
        <w:t xml:space="preserve"> trends suggest the mining sector may be entering a </w:t>
      </w:r>
      <w:r w:rsidRPr="00CB24A7">
        <w:rPr>
          <w:iCs/>
        </w:rPr>
        <w:t>new investment phase</w:t>
      </w:r>
      <w:r>
        <w:t>: there are</w:t>
      </w:r>
      <w:r w:rsidRPr="00CB24A7">
        <w:rPr>
          <w:iCs/>
        </w:rPr>
        <w:t xml:space="preserve"> high</w:t>
      </w:r>
      <w:r>
        <w:rPr>
          <w:iCs/>
        </w:rPr>
        <w:t>er</w:t>
      </w:r>
      <w:r w:rsidRPr="00CB24A7">
        <w:rPr>
          <w:iCs/>
        </w:rPr>
        <w:t xml:space="preserve"> commodity prices, low output growth, and </w:t>
      </w:r>
      <w:r>
        <w:rPr>
          <w:iCs/>
        </w:rPr>
        <w:t>increased</w:t>
      </w:r>
      <w:r w:rsidRPr="00CB24A7">
        <w:rPr>
          <w:iCs/>
        </w:rPr>
        <w:t xml:space="preserve"> investment</w:t>
      </w:r>
      <w:r>
        <w:t xml:space="preserve"> in both capital and exploration.</w:t>
      </w:r>
      <w:r w:rsidRPr="00CB24A7">
        <w:rPr>
          <w:iCs/>
        </w:rPr>
        <w:t xml:space="preserve"> </w:t>
      </w:r>
      <w:r>
        <w:rPr>
          <w:iCs/>
        </w:rPr>
        <w:t>On the other hand,</w:t>
      </w:r>
      <w:r w:rsidDel="00FC2089">
        <w:rPr>
          <w:iCs/>
        </w:rPr>
        <w:t xml:space="preserve"> </w:t>
      </w:r>
      <w:r>
        <w:t>other</w:t>
      </w:r>
      <w:r>
        <w:rPr>
          <w:iCs/>
        </w:rPr>
        <w:t xml:space="preserve"> factors, such as </w:t>
      </w:r>
      <w:r w:rsidRPr="00CB24A7">
        <w:rPr>
          <w:iCs/>
        </w:rPr>
        <w:t xml:space="preserve">escalating uncertainty </w:t>
      </w:r>
      <w:r>
        <w:rPr>
          <w:iCs/>
        </w:rPr>
        <w:t xml:space="preserve">and increased competition </w:t>
      </w:r>
      <w:r w:rsidRPr="00CB24A7">
        <w:rPr>
          <w:iCs/>
        </w:rPr>
        <w:t xml:space="preserve">in the global economy may impede investment growth, </w:t>
      </w:r>
      <w:r>
        <w:rPr>
          <w:iCs/>
        </w:rPr>
        <w:t>potentially</w:t>
      </w:r>
      <w:r w:rsidRPr="00CB24A7">
        <w:rPr>
          <w:iCs/>
        </w:rPr>
        <w:t xml:space="preserve"> hindering productivity and output </w:t>
      </w:r>
      <w:r>
        <w:rPr>
          <w:iCs/>
        </w:rPr>
        <w:t>growth in the coming years</w:t>
      </w:r>
      <w:r w:rsidRPr="00CB24A7">
        <w:rPr>
          <w:iCs/>
        </w:rPr>
        <w:t>.</w:t>
      </w:r>
    </w:p>
    <w:p w14:paraId="4C281139" w14:textId="77777777" w:rsidR="009E5D9A" w:rsidRPr="00875C16" w:rsidRDefault="009E5D9A" w:rsidP="00974FE4">
      <w:pPr>
        <w:pStyle w:val="Heading4"/>
      </w:pPr>
      <w:r>
        <w:t>Mining output growth before COVID-19 was driven mainly by earlier investment</w:t>
      </w:r>
    </w:p>
    <w:p w14:paraId="3829A242" w14:textId="77777777" w:rsidR="009E5D9A" w:rsidRDefault="009E5D9A" w:rsidP="00974FE4">
      <w:pPr>
        <w:pStyle w:val="BodyText"/>
      </w:pPr>
      <w:r>
        <w:t>The mining boom – a period of high mining commodity prices and investment activity – is generally categorised into three phases:</w:t>
      </w:r>
    </w:p>
    <w:p w14:paraId="30427CB1" w14:textId="7C7BC21B" w:rsidR="009E5D9A" w:rsidRDefault="009E5D9A" w:rsidP="009E5D9A">
      <w:pPr>
        <w:pStyle w:val="ListNumber"/>
        <w:numPr>
          <w:ilvl w:val="0"/>
          <w:numId w:val="37"/>
        </w:numPr>
      </w:pPr>
      <w:r w:rsidRPr="00184810">
        <w:rPr>
          <w:b/>
          <w:bCs/>
        </w:rPr>
        <w:t>price phase:</w:t>
      </w:r>
      <w:r>
        <w:t xml:space="preserve"> late 2004 to mid-2012, as indicated by the contribution of a rapid rise in commodity prices to the value of Australia’s resources and energy exports </w:t>
      </w:r>
      <w:r w:rsidR="002D6F32" w:rsidRPr="002D6F32">
        <w:rPr>
          <w:rFonts w:ascii="Arial" w:hAnsi="Arial" w:cs="Arial"/>
          <w:szCs w:val="24"/>
        </w:rPr>
        <w:t>(PC 2020, p. 17)</w:t>
      </w:r>
      <w:r w:rsidRPr="00683C30">
        <w:t xml:space="preserve"> </w:t>
      </w:r>
    </w:p>
    <w:p w14:paraId="01B66D6B" w14:textId="3E094C27" w:rsidR="009E5D9A" w:rsidRDefault="009E5D9A" w:rsidP="009E5D9A">
      <w:pPr>
        <w:pStyle w:val="ListNumber"/>
        <w:numPr>
          <w:ilvl w:val="0"/>
          <w:numId w:val="37"/>
        </w:numPr>
      </w:pPr>
      <w:r w:rsidRPr="00184810">
        <w:rPr>
          <w:b/>
          <w:bCs/>
        </w:rPr>
        <w:t>investment phase:</w:t>
      </w:r>
      <w:r>
        <w:t xml:space="preserve"> late 2011 to late 2015, as firms increased capital investment to increase their productive capacity and capitalise on higher commodity prices </w:t>
      </w:r>
      <w:r w:rsidR="002D6F32" w:rsidRPr="002D6F32">
        <w:rPr>
          <w:rFonts w:ascii="Arial" w:hAnsi="Arial" w:cs="Arial"/>
          <w:szCs w:val="24"/>
        </w:rPr>
        <w:t>(PC 2020, p. 17)</w:t>
      </w:r>
    </w:p>
    <w:p w14:paraId="4E90508D" w14:textId="2A87F031" w:rsidR="009E5D9A" w:rsidRDefault="009E5D9A" w:rsidP="009E5D9A">
      <w:pPr>
        <w:pStyle w:val="ListNumber"/>
        <w:numPr>
          <w:ilvl w:val="0"/>
          <w:numId w:val="37"/>
        </w:numPr>
      </w:pPr>
      <w:r>
        <w:rPr>
          <w:b/>
          <w:bCs/>
        </w:rPr>
        <w:t>p</w:t>
      </w:r>
      <w:r w:rsidRPr="00184810">
        <w:rPr>
          <w:b/>
          <w:bCs/>
        </w:rPr>
        <w:t>roduction phase:</w:t>
      </w:r>
      <w:r>
        <w:rPr>
          <w:b/>
          <w:bCs/>
        </w:rPr>
        <w:t xml:space="preserve"> </w:t>
      </w:r>
      <w:r>
        <w:t xml:space="preserve">after the investment phase, firms seek to maintain their productive capacity </w:t>
      </w:r>
      <w:r w:rsidRPr="00F90A57">
        <w:rPr>
          <w:rFonts w:ascii="Arial" w:hAnsi="Arial" w:cs="Arial"/>
          <w:szCs w:val="24"/>
        </w:rPr>
        <w:t>(Jenner et al. 2018, p. 2)</w:t>
      </w:r>
      <w:r>
        <w:t>; there would be lower output and investment growth.</w:t>
      </w:r>
    </w:p>
    <w:p w14:paraId="116F1149" w14:textId="77777777" w:rsidR="009E5D9A" w:rsidRDefault="009E5D9A" w:rsidP="00974FE4">
      <w:pPr>
        <w:pStyle w:val="BodyText"/>
      </w:pPr>
      <w:r>
        <w:t xml:space="preserve">The mining sector experienced continuous output growth over the last decade (pre-COVID) because of the mining boom (figure 7). </w:t>
      </w:r>
      <w:r w:rsidRPr="00571EA5">
        <w:t xml:space="preserve">This growth can be attributed to significant capital accumulation during the </w:t>
      </w:r>
      <w:r>
        <w:t xml:space="preserve">investment phase, where investment (gross capital formation) reached its peak during 2011-12. </w:t>
      </w:r>
    </w:p>
    <w:p w14:paraId="6CF6E2C0" w14:textId="77777777" w:rsidR="009E5D9A" w:rsidRPr="001F7663" w:rsidRDefault="009E5D9A" w:rsidP="00974FE4">
      <w:pPr>
        <w:pStyle w:val="BodyText"/>
      </w:pPr>
      <w:r w:rsidRPr="0053067B">
        <w:t xml:space="preserve">There is a </w:t>
      </w:r>
      <w:r>
        <w:t>delay</w:t>
      </w:r>
      <w:r w:rsidRPr="0053067B">
        <w:t xml:space="preserve"> between </w:t>
      </w:r>
      <w:r>
        <w:t xml:space="preserve">investment </w:t>
      </w:r>
      <w:r w:rsidRPr="0053067B">
        <w:t xml:space="preserve">and </w:t>
      </w:r>
      <w:r>
        <w:t>the growth of capital and output</w:t>
      </w:r>
      <w:r w:rsidRPr="0053067B">
        <w:t>,</w:t>
      </w:r>
      <w:r>
        <w:t xml:space="preserve"> as </w:t>
      </w:r>
      <w:r w:rsidRPr="0053067B">
        <w:t xml:space="preserve">it takes time to build </w:t>
      </w:r>
      <w:r>
        <w:t>large mining infrastructure facilities</w:t>
      </w:r>
      <w:r w:rsidRPr="0053067B">
        <w:t>.</w:t>
      </w:r>
      <w:r>
        <w:t xml:space="preserve"> This lag resulted in negative MFP growth between 2010-11 and 2012-13, during the peak of the investment phase, where output growth was slower than investment and capital input growth (figure 7). Two years after the peak of investment</w:t>
      </w:r>
      <w:r w:rsidRPr="002F1540">
        <w:t xml:space="preserve">, </w:t>
      </w:r>
      <w:r>
        <w:t>MFP and output growth grew faster.</w:t>
      </w:r>
      <w:r w:rsidRPr="007D15B3">
        <w:rPr>
          <w:rStyle w:val="FootnoteReference"/>
        </w:rPr>
        <w:footnoteReference w:id="13"/>
      </w:r>
      <w:r>
        <w:t xml:space="preserve"> </w:t>
      </w:r>
    </w:p>
    <w:p w14:paraId="5665D9A8" w14:textId="77777777" w:rsidR="009E5D9A" w:rsidRDefault="009E5D9A" w:rsidP="00974FE4">
      <w:pPr>
        <w:pStyle w:val="Heading4"/>
      </w:pPr>
      <w:r>
        <w:t xml:space="preserve">Mining output growth has stagnated since COVID-19 </w:t>
      </w:r>
    </w:p>
    <w:p w14:paraId="1C5BF041" w14:textId="5BDA3A3A" w:rsidR="009E5D9A" w:rsidRPr="00C534BA" w:rsidRDefault="009E5D9A" w:rsidP="00974FE4">
      <w:pPr>
        <w:pStyle w:val="BodyText"/>
      </w:pPr>
      <w:r>
        <w:t xml:space="preserve">Unfavourable weather conditions and the COVID-19 pandemic caused a fall in output in 2020-21 – the first decline in mining output since 2003-4 </w:t>
      </w:r>
      <w:r w:rsidRPr="00E7364D">
        <w:rPr>
          <w:rFonts w:ascii="Arial" w:hAnsi="Arial" w:cs="Arial"/>
          <w:szCs w:val="24"/>
        </w:rPr>
        <w:t>(ABS 2022b)</w:t>
      </w:r>
      <w:r>
        <w:t xml:space="preserve">. Heavy rain and floods disrupted mining operations, and the transportation network for coal movement and mining workers. Similarly, the COVID-19 pandemic also caused disruptions to output growth through increased absenteeism and productivity loss from long-covid </w:t>
      </w:r>
      <w:r w:rsidRPr="00752E16">
        <w:rPr>
          <w:rFonts w:ascii="Arial" w:hAnsi="Arial" w:cs="Arial"/>
          <w:szCs w:val="24"/>
        </w:rPr>
        <w:t>(ABS 2022b)</w:t>
      </w:r>
      <w:r>
        <w:t>. Weaker investment growth – relative to the investment peak – over the past decade also may have played a role in stagnating output growth. This resulted in decreased MFP and two consecutive years of output decline in 2020-21 and 2021-22 (figure 7).</w:t>
      </w:r>
    </w:p>
    <w:p w14:paraId="0E1CA883" w14:textId="77777777" w:rsidR="009E5D9A" w:rsidRPr="00146382" w:rsidRDefault="009E5D9A" w:rsidP="00974FE4">
      <w:pPr>
        <w:pStyle w:val="FigureTableHeading"/>
      </w:pPr>
      <w:r>
        <w:lastRenderedPageBreak/>
        <w:t>Figure 7</w:t>
      </w:r>
      <w:r w:rsidRPr="4EF8C14A">
        <w:rPr>
          <w:noProof/>
        </w:rPr>
        <w:t xml:space="preserve"> </w:t>
      </w:r>
      <w:r>
        <w:t>– Stagnated capital growth dragged down output growth in mining sector</w:t>
      </w:r>
      <w:r w:rsidRPr="4EF8C14A">
        <w:rPr>
          <w:b/>
          <w:bCs/>
          <w:vertAlign w:val="superscript"/>
        </w:rPr>
        <w:t>a</w:t>
      </w:r>
    </w:p>
    <w:p w14:paraId="7C795438" w14:textId="77777777" w:rsidR="009E5D9A" w:rsidRDefault="009E5D9A" w:rsidP="00974FE4">
      <w:pPr>
        <w:pStyle w:val="FigureTableSubheading"/>
      </w:pPr>
      <w:r>
        <w:t xml:space="preserve">Contribution to gross value added (output) growth in the mining sector between </w:t>
      </w:r>
      <w:r>
        <w:br/>
        <w:t>2009-10 and 2021-22</w:t>
      </w:r>
    </w:p>
    <w:p w14:paraId="55A0F61B" w14:textId="7473A5F1" w:rsidR="009E5D9A" w:rsidRDefault="00F404C1" w:rsidP="00185D2D">
      <w:pPr>
        <w:pStyle w:val="BodyText"/>
        <w:spacing w:before="0" w:after="0"/>
      </w:pPr>
      <w:r w:rsidRPr="00F404C1">
        <w:rPr>
          <w:noProof/>
        </w:rPr>
        <w:drawing>
          <wp:inline distT="0" distB="0" distL="0" distR="0" wp14:anchorId="6D7990E8" wp14:editId="21CC54C9">
            <wp:extent cx="5986145" cy="2819400"/>
            <wp:effectExtent l="0" t="0" r="0" b="0"/>
            <wp:docPr id="474946155" name="Picture 3" descr="This is a combined figure made from a bar chart and two line charts. The bar chart shows how capital inputs, labour inputs and multifactor productivity contribute to output growth rate in the mining sector from 2009-10 to 2021-22. The first line chart shows the output growth rate in the mining sector from 2009-10 to 2021-22. The second line chart shows the investment growth rate in the mining sector from 2009-10 to 2021-22. The chart shows that the growth in output in the mining sector between 2009-10 and 2015-16 was mainly due to the growth in capital inputs. In constrast, the negative growth rate in output in the mining sector between 2020-21 and 2021-22 was mainly due to the negative growth in multifactor productivity. The investment line chart also shows that there is a significant increase in investment from 2010-11 to 2012-13. The growth in investment then declined to negative growth rates from 2013-14 until 2018-19. Finally, between 2019-20 and 2021-22, there has been minor increases (below 5%) in the investment growth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46155" name="Picture 3" descr="This is a combined figure made from a bar chart and two line charts. The bar chart shows how capital inputs, labour inputs and multifactor productivity contribute to output growth rate in the mining sector from 2009-10 to 2021-22. The first line chart shows the output growth rate in the mining sector from 2009-10 to 2021-22. The second line chart shows the investment growth rate in the mining sector from 2009-10 to 2021-22. The chart shows that the growth in output in the mining sector between 2009-10 and 2015-16 was mainly due to the growth in capital inputs. In constrast, the negative growth rate in output in the mining sector between 2020-21 and 2021-22 was mainly due to the negative growth in multifactor productivity. The investment line chart also shows that there is a significant increase in investment from 2010-11 to 2012-13. The growth in investment then declined to negative growth rates from 2013-14 until 2018-19. Finally, between 2019-20 and 2021-22, there has been minor increases (below 5%) in the investment growth rate."/>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669" b="4578"/>
                    <a:stretch/>
                  </pic:blipFill>
                  <pic:spPr bwMode="auto">
                    <a:xfrm>
                      <a:off x="0" y="0"/>
                      <a:ext cx="5986145" cy="2819400"/>
                    </a:xfrm>
                    <a:prstGeom prst="rect">
                      <a:avLst/>
                    </a:prstGeom>
                    <a:noFill/>
                    <a:ln>
                      <a:noFill/>
                    </a:ln>
                    <a:extLst>
                      <a:ext uri="{53640926-AAD7-44D8-BBD7-CCE9431645EC}">
                        <a14:shadowObscured xmlns:a14="http://schemas.microsoft.com/office/drawing/2010/main"/>
                      </a:ext>
                    </a:extLst>
                  </pic:spPr>
                </pic:pic>
              </a:graphicData>
            </a:graphic>
          </wp:inline>
        </w:drawing>
      </w:r>
    </w:p>
    <w:p w14:paraId="1B0E5D20" w14:textId="77777777" w:rsidR="009E5D9A" w:rsidRDefault="009E5D9A" w:rsidP="00974FE4">
      <w:pPr>
        <w:pStyle w:val="Note"/>
        <w:keepLines/>
      </w:pPr>
      <w:r w:rsidRPr="00180E66">
        <w:rPr>
          <w:b/>
          <w:bCs/>
        </w:rPr>
        <w:t>a.</w:t>
      </w:r>
      <w:r>
        <w:t xml:space="preserve"> Capital contribution = share of capital in combined input </w:t>
      </w:r>
      <w:r>
        <w:rPr>
          <w:rFonts w:ascii="Arial" w:hAnsi="Arial" w:cs="Arial"/>
          <w:color w:val="040C28"/>
        </w:rPr>
        <w:t>×</w:t>
      </w:r>
      <w:r>
        <w:t xml:space="preserve"> capital service growth rate. Labour contribution = share of labour in combined index </w:t>
      </w:r>
      <w:r>
        <w:rPr>
          <w:rFonts w:ascii="Arial" w:hAnsi="Arial" w:cs="Arial"/>
          <w:color w:val="040C28"/>
        </w:rPr>
        <w:t xml:space="preserve">× hours worked growth rate. </w:t>
      </w:r>
      <w:r>
        <w:t xml:space="preserve">The share of labour and capital in combined input for each industry each year were derived from simultaneously solving two equations: share of labour in combined input + share of capital in combined input = 1 and share of labour </w:t>
      </w:r>
      <w:r>
        <w:rPr>
          <w:rFonts w:ascii="Arial" w:hAnsi="Arial" w:cs="Arial"/>
          <w:color w:val="040C28"/>
        </w:rPr>
        <w:t xml:space="preserve">× </w:t>
      </w:r>
      <w:r>
        <w:t xml:space="preserve">hours worked growth rate + share of capital </w:t>
      </w:r>
      <w:r>
        <w:rPr>
          <w:rFonts w:ascii="Arial" w:hAnsi="Arial" w:cs="Arial"/>
          <w:color w:val="040C28"/>
        </w:rPr>
        <w:t xml:space="preserve">× </w:t>
      </w:r>
      <w:r>
        <w:t xml:space="preserve">capital service growth rate = combined index growth rate. </w:t>
      </w:r>
    </w:p>
    <w:p w14:paraId="11175D02" w14:textId="77777777" w:rsidR="009E5D9A" w:rsidRPr="00C84D77" w:rsidRDefault="009E5D9A" w:rsidP="00974FE4">
      <w:pPr>
        <w:pStyle w:val="Source"/>
        <w:rPr>
          <w:spacing w:val="2"/>
        </w:rPr>
      </w:pPr>
      <w:r w:rsidRPr="00C84D77">
        <w:rPr>
          <w:spacing w:val="2"/>
        </w:rPr>
        <w:t>Source: Estimates based on ABS (Estimates of Industry Multifactor Productivity, 2021-22, Cat. no. 5260.0.55.002., tables 1-19); ABS (2022, Australian System of National Accounts, 2021-22, Cat. no. 5204.0, tables 64).</w:t>
      </w:r>
    </w:p>
    <w:p w14:paraId="4857DB09" w14:textId="77777777" w:rsidR="009E5D9A" w:rsidRDefault="009E5D9A" w:rsidP="00974FE4">
      <w:pPr>
        <w:pStyle w:val="Heading4"/>
      </w:pPr>
      <w:r>
        <w:t>Will the increase in commodity prices drive up investment again?</w:t>
      </w:r>
    </w:p>
    <w:p w14:paraId="6D7AC2C8" w14:textId="5012C109" w:rsidR="009E5D9A" w:rsidRDefault="009E5D9A" w:rsidP="00974FE4">
      <w:pPr>
        <w:pStyle w:val="BodyText"/>
      </w:pPr>
      <w:r>
        <w:t xml:space="preserve">Global commodity prices increased in 2020-21 and 2021-22. This was driven by the easing of COVID-19 restrictions and global supply constraints, which boosted demand for Australian commodities </w:t>
      </w:r>
      <w:r w:rsidRPr="00ED120D">
        <w:rPr>
          <w:rFonts w:ascii="Arial" w:hAnsi="Arial" w:cs="Arial"/>
          <w:szCs w:val="24"/>
        </w:rPr>
        <w:t>(ABS 2023b)</w:t>
      </w:r>
      <w:r>
        <w:t xml:space="preserve">. </w:t>
      </w:r>
    </w:p>
    <w:p w14:paraId="198F5CAF" w14:textId="77777777" w:rsidR="009E5D9A" w:rsidRDefault="009E5D9A" w:rsidP="00974FE4">
      <w:pPr>
        <w:pStyle w:val="BodyText"/>
      </w:pPr>
      <w:r>
        <w:t xml:space="preserve">Historically, there is a strong positive association between the two-year lagged commodity price and capital investment in the mining sector (figure 8). </w:t>
      </w:r>
    </w:p>
    <w:p w14:paraId="2BE359F3" w14:textId="77777777" w:rsidR="009E5D9A" w:rsidRDefault="009E5D9A" w:rsidP="00974FE4">
      <w:pPr>
        <w:pStyle w:val="BodyText"/>
      </w:pPr>
      <w:r>
        <w:t>The strong growth in commodity prices in 2020-21 and 2021-22 led to increased investment, reversing the decreasing trend over the past 10 years. Although the increase in investment in 2021-22 (about 8%) was still far below the peak of the mining boom,</w:t>
      </w:r>
      <w:r w:rsidRPr="007D15B3">
        <w:rPr>
          <w:rStyle w:val="FootnoteReference"/>
        </w:rPr>
        <w:footnoteReference w:id="14"/>
      </w:r>
      <w:r>
        <w:t xml:space="preserve"> i</w:t>
      </w:r>
      <w:r w:rsidRPr="00FD7A98">
        <w:t>f commodity prices continue to remain high and stimulate further investment growth, the mining sector may enter a new investment phase and mining boom cycle.</w:t>
      </w:r>
    </w:p>
    <w:p w14:paraId="4BFE97D8" w14:textId="40DE6FC9" w:rsidR="009E5D9A" w:rsidRPr="00432B33" w:rsidRDefault="009E5D9A" w:rsidP="00974FE4">
      <w:pPr>
        <w:pStyle w:val="BodyText"/>
        <w:rPr>
          <w:spacing w:val="-4"/>
        </w:rPr>
      </w:pPr>
      <w:r w:rsidRPr="00432B33">
        <w:rPr>
          <w:spacing w:val="-4"/>
        </w:rPr>
        <w:t xml:space="preserve">Investment decisions are influenced by factors other than commodity prices. For example, during the Global Financial Crisis (GFC), the sharp rise in commodity prices did not lead to increased capital investment, potentially reflecting a riskier investment environment (figure 8). While the higher commodity prices during 2020-21 and 2021-22 encouraged increased investment in 2021-22, increasing economic pressures in Australia (box 1) may hinder future investment growth in the mining sector. Other factors such as the environmental concerns around fossil fuel investments </w:t>
      </w:r>
      <w:r w:rsidRPr="00432B33">
        <w:rPr>
          <w:rFonts w:cs="Arial"/>
          <w:spacing w:val="-4"/>
        </w:rPr>
        <w:t>(Antje 2022)</w:t>
      </w:r>
      <w:r w:rsidRPr="00432B33">
        <w:rPr>
          <w:spacing w:val="-4"/>
        </w:rPr>
        <w:t xml:space="preserve">, the increased productive capacity globally, as well as an expected slowing in demand for iron ore and coal may also constrain investment </w:t>
      </w:r>
      <w:r w:rsidRPr="00432B33">
        <w:rPr>
          <w:rFonts w:cs="Arial"/>
          <w:spacing w:val="-4"/>
        </w:rPr>
        <w:t>(Jenner et al. 2018, pp. 2–3)</w:t>
      </w:r>
      <w:r w:rsidRPr="00432B33">
        <w:rPr>
          <w:spacing w:val="-4"/>
        </w:rPr>
        <w:t>.</w:t>
      </w:r>
    </w:p>
    <w:p w14:paraId="011407C6" w14:textId="55562CF1" w:rsidR="009E5D9A" w:rsidRPr="00146382" w:rsidRDefault="009E5D9A" w:rsidP="00974FE4">
      <w:pPr>
        <w:pStyle w:val="FigureTableHeading"/>
      </w:pPr>
      <w:r>
        <w:lastRenderedPageBreak/>
        <w:t xml:space="preserve">Figure 8 </w:t>
      </w:r>
      <w:r w:rsidR="005A07CA">
        <w:t xml:space="preserve">– </w:t>
      </w:r>
      <w:r>
        <w:t xml:space="preserve">Higher commodity prices drove up mining investment in subsequent years </w:t>
      </w:r>
    </w:p>
    <w:p w14:paraId="787AE349" w14:textId="77777777" w:rsidR="009E5D9A" w:rsidRDefault="009E5D9A" w:rsidP="00974FE4">
      <w:pPr>
        <w:pStyle w:val="FigureTableSubheading"/>
        <w:keepLines/>
      </w:pPr>
      <w:r>
        <w:t>Growth in mining gross fixed capital formation (chain volume) and bulk commodity price index</w:t>
      </w:r>
      <w:r w:rsidRPr="00BF5E2C">
        <w:rPr>
          <w:b/>
          <w:bCs/>
          <w:vertAlign w:val="superscript"/>
        </w:rPr>
        <w:t>a</w:t>
      </w:r>
      <w:r>
        <w:t xml:space="preserve"> (lagged by 2 years) between 1998-99 and 2021-22</w:t>
      </w:r>
    </w:p>
    <w:p w14:paraId="1D6E55BE" w14:textId="32340C7B" w:rsidR="009E5D9A" w:rsidRDefault="00B954A0" w:rsidP="00042F19">
      <w:pPr>
        <w:pStyle w:val="BodyText"/>
        <w:spacing w:before="0" w:after="0"/>
      </w:pPr>
      <w:r w:rsidRPr="00B954A0">
        <w:rPr>
          <w:noProof/>
        </w:rPr>
        <w:drawing>
          <wp:inline distT="0" distB="0" distL="0" distR="0" wp14:anchorId="1D1278F5" wp14:editId="727AB612">
            <wp:extent cx="6087745" cy="2743200"/>
            <wp:effectExtent l="0" t="0" r="0" b="0"/>
            <wp:docPr id="191989900" name="Picture 2" descr="This figure is a line chart. It shows real mining investment measured in gross fixed capital formation and two year lagged bulk commodity price index. The figure shows that changes in lagged commodity prices and mining investment moved together except during the global financial crisis, which was a time of heightened investment uncertain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9900" name="Picture 2" descr="This figure is a line chart. It shows real mining investment measured in gross fixed capital formation and two year lagged bulk commodity price index. The figure shows that changes in lagged commodity prices and mining investment moved together except during the global financial crisis, which was a time of heightened investment uncertainty.  "/>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2107"/>
                    <a:stretch/>
                  </pic:blipFill>
                  <pic:spPr bwMode="auto">
                    <a:xfrm>
                      <a:off x="0" y="0"/>
                      <a:ext cx="6087745"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2CDC2088" w14:textId="77777777" w:rsidR="009E5D9A" w:rsidRPr="00BF5E2C" w:rsidRDefault="009E5D9A" w:rsidP="00042F19">
      <w:pPr>
        <w:pStyle w:val="Note"/>
        <w:rPr>
          <w:lang w:val="en-US"/>
        </w:rPr>
      </w:pPr>
      <w:r w:rsidRPr="00180E66">
        <w:rPr>
          <w:b/>
          <w:bCs/>
        </w:rPr>
        <w:t>a.</w:t>
      </w:r>
      <w:r>
        <w:t xml:space="preserve"> Bulk commodity here refers to </w:t>
      </w:r>
      <w:r w:rsidRPr="00C874B0">
        <w:t>iron ore, metallurgical coal and thermal coal</w:t>
      </w:r>
      <w:r>
        <w:rPr>
          <w:rFonts w:ascii="Arial" w:hAnsi="Arial" w:cs="Arial"/>
          <w:color w:val="040C28"/>
        </w:rPr>
        <w:t>.</w:t>
      </w:r>
    </w:p>
    <w:p w14:paraId="13D8D853" w14:textId="77777777" w:rsidR="009E5D9A" w:rsidRDefault="009E5D9A" w:rsidP="00974FE4">
      <w:pPr>
        <w:pStyle w:val="Source"/>
      </w:pPr>
      <w:r w:rsidRPr="00696447">
        <w:t xml:space="preserve">Source: </w:t>
      </w:r>
      <w:r w:rsidRPr="00F51264">
        <w:t>ABS (20</w:t>
      </w:r>
      <w:r>
        <w:t>22</w:t>
      </w:r>
      <w:r w:rsidRPr="00F51264">
        <w:t>, Australian System of National Accounts, 20</w:t>
      </w:r>
      <w:r>
        <w:t>21</w:t>
      </w:r>
      <w:r w:rsidRPr="00F51264">
        <w:t>-2</w:t>
      </w:r>
      <w:r>
        <w:t>2</w:t>
      </w:r>
      <w:r w:rsidRPr="00F51264">
        <w:t>, Cat. no. 5204.0, tables</w:t>
      </w:r>
      <w:r>
        <w:t xml:space="preserve"> 64</w:t>
      </w:r>
      <w:r w:rsidRPr="00F51264">
        <w:t>)</w:t>
      </w:r>
      <w:r>
        <w:t>; RBA (2023, Commodity Prices, I2).</w:t>
      </w:r>
    </w:p>
    <w:p w14:paraId="00EFB69B" w14:textId="77777777" w:rsidR="009E5D9A" w:rsidRPr="00C14BAA" w:rsidRDefault="009E5D9A" w:rsidP="00FA524C">
      <w:pPr>
        <w:pStyle w:val="Heading3"/>
      </w:pPr>
      <w:r>
        <w:t>The capital investment puzzle</w:t>
      </w:r>
    </w:p>
    <w:p w14:paraId="073D129B" w14:textId="36284494" w:rsidR="009E5D9A" w:rsidRDefault="009E5D9A" w:rsidP="00894BDC">
      <w:pPr>
        <w:pStyle w:val="BodyText"/>
      </w:pPr>
      <w:r>
        <w:t xml:space="preserve">Labour productivity has slowed over the past decades in Australia and other advanced economies </w:t>
      </w:r>
      <w:r w:rsidR="00146668" w:rsidRPr="00146668">
        <w:rPr>
          <w:rFonts w:ascii="Arial" w:hAnsi="Arial" w:cs="Arial"/>
          <w:szCs w:val="24"/>
        </w:rPr>
        <w:t>(Hambur and Andrews 2023, p. 1; PC 2023b, p. 1)</w:t>
      </w:r>
      <w:r>
        <w:t>. One explanation – in the Australian context – has been the slowdown in non-mining investment.</w:t>
      </w:r>
      <w:r w:rsidRPr="007D15B3">
        <w:rPr>
          <w:rStyle w:val="FootnoteReference"/>
        </w:rPr>
        <w:footnoteReference w:id="15"/>
      </w:r>
    </w:p>
    <w:p w14:paraId="4CFF83EC" w14:textId="77777777" w:rsidR="009E5D9A" w:rsidRDefault="009E5D9A" w:rsidP="00FA524C">
      <w:pPr>
        <w:pStyle w:val="Heading4"/>
      </w:pPr>
      <w:r>
        <w:t>Non-mining capital investment has stagnated …</w:t>
      </w:r>
    </w:p>
    <w:p w14:paraId="0174E23F" w14:textId="7EDEE0CB" w:rsidR="009E5D9A" w:rsidRDefault="009E5D9A" w:rsidP="001D169A">
      <w:pPr>
        <w:pStyle w:val="BodyText"/>
      </w:pPr>
      <w:r>
        <w:t xml:space="preserve">Investment intensity (the ratio of investment spending to GDP) provides a metric for strength of investment. Figure 9 shows that intensity of total private investment and non-mining private investment were aligned until 2004, which was the start of the mining boom. Non-mining investment intensity declined and then stagnated relative to previous decades after the GFC. This led to a fall in the non-mining capital intensity, and slower growth in the capital-labour ratio. Less growth in the capital-labour ratio (less capital deepening) can lead to lower labour productivity growth as workers have less capital to produce output with </w:t>
      </w:r>
      <w:r w:rsidRPr="0839B128">
        <w:rPr>
          <w:rFonts w:ascii="Arial" w:hAnsi="Arial" w:cs="Arial"/>
        </w:rPr>
        <w:t>(Hambur and Andrews 2023, p. 3)</w:t>
      </w:r>
      <w:r>
        <w:t>.</w:t>
      </w:r>
      <w:r w:rsidRPr="007D15B3">
        <w:rPr>
          <w:rStyle w:val="FootnoteReference"/>
        </w:rPr>
        <w:footnoteReference w:id="16"/>
      </w:r>
      <w:r>
        <w:t xml:space="preserve"> There is also some evidence that the investment slowdown was more prominent in more productive firms </w:t>
      </w:r>
      <w:r w:rsidRPr="0839B128">
        <w:rPr>
          <w:rFonts w:ascii="Arial" w:hAnsi="Arial" w:cs="Arial"/>
        </w:rPr>
        <w:t>(Hambur and Andrews 2023, p. 2)</w:t>
      </w:r>
      <w:r>
        <w:t xml:space="preserve">. </w:t>
      </w:r>
    </w:p>
    <w:p w14:paraId="7C183D16" w14:textId="77777777" w:rsidR="009E5D9A" w:rsidRPr="00146382" w:rsidRDefault="009E5D9A">
      <w:pPr>
        <w:pStyle w:val="FigureTableHeading"/>
      </w:pPr>
      <w:r>
        <w:lastRenderedPageBreak/>
        <w:t>Figure 9</w:t>
      </w:r>
      <w:r>
        <w:rPr>
          <w:noProof/>
        </w:rPr>
        <w:t xml:space="preserve"> </w:t>
      </w:r>
      <w:r>
        <w:t>– Non-mining capital investment stagnated after the GFC</w:t>
      </w:r>
    </w:p>
    <w:p w14:paraId="48EC69A8" w14:textId="77777777" w:rsidR="009E5D9A" w:rsidRPr="00D572C3" w:rsidRDefault="009E5D9A" w:rsidP="00D572C3">
      <w:pPr>
        <w:pStyle w:val="FigureTableSubheading"/>
        <w:keepLines/>
      </w:pPr>
      <w:r w:rsidRPr="00371732">
        <w:t>Total private investment intensity and non-mining investment intensity, current prices, 1990</w:t>
      </w:r>
      <w:r w:rsidRPr="00371732">
        <w:noBreakHyphen/>
        <w:t>91 to 2021-2</w:t>
      </w:r>
      <w:r>
        <w:t>2</w:t>
      </w:r>
      <w:r w:rsidRPr="00066CF5">
        <w:rPr>
          <w:vertAlign w:val="superscript"/>
        </w:rPr>
        <w:t>a</w:t>
      </w:r>
    </w:p>
    <w:p w14:paraId="309E305E" w14:textId="77777777" w:rsidR="009E5D9A" w:rsidRDefault="009E5D9A">
      <w:pPr>
        <w:pStyle w:val="Note"/>
        <w:keepLines/>
        <w:rPr>
          <w:b/>
          <w:bCs/>
        </w:rPr>
      </w:pPr>
      <w:r w:rsidRPr="00F70F03">
        <w:rPr>
          <w:noProof/>
        </w:rPr>
        <w:drawing>
          <wp:inline distT="0" distB="0" distL="0" distR="0" wp14:anchorId="686C0270" wp14:editId="12A66C6A">
            <wp:extent cx="6120013" cy="2481895"/>
            <wp:effectExtent l="0" t="0" r="0" b="0"/>
            <wp:docPr id="1580564760" name="Picture 7" descr="This figure is a line chart. The figure shows the total investment intensity and non-mining investment intensity in current prices from 1990-91 to 2021-22. The figure shows that intensity of total private investment and non-mining private investment were aligned until 2004, which was the start of the mining boom. Non-mining investment intensity declined and then stagnated relative to previous decades after the G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64760" name="Picture 7" descr="This figure is a line chart. The figure shows the total investment intensity and non-mining investment intensity in current prices from 1990-91 to 2021-22. The figure shows that intensity of total private investment and non-mining private investment were aligned until 2004, which was the start of the mining boom. Non-mining investment intensity declined and then stagnated relative to previous decades after the GFC."/>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1367" b="10324"/>
                    <a:stretch/>
                  </pic:blipFill>
                  <pic:spPr bwMode="auto">
                    <a:xfrm>
                      <a:off x="0" y="0"/>
                      <a:ext cx="6120130" cy="2481942"/>
                    </a:xfrm>
                    <a:prstGeom prst="rect">
                      <a:avLst/>
                    </a:prstGeom>
                    <a:noFill/>
                    <a:ln>
                      <a:noFill/>
                    </a:ln>
                    <a:extLst>
                      <a:ext uri="{53640926-AAD7-44D8-BBD7-CCE9431645EC}">
                        <a14:shadowObscured xmlns:a14="http://schemas.microsoft.com/office/drawing/2010/main"/>
                      </a:ext>
                    </a:extLst>
                  </pic:spPr>
                </pic:pic>
              </a:graphicData>
            </a:graphic>
          </wp:inline>
        </w:drawing>
      </w:r>
    </w:p>
    <w:p w14:paraId="3FB253ED" w14:textId="77777777" w:rsidR="009E5D9A" w:rsidRDefault="009E5D9A">
      <w:pPr>
        <w:pStyle w:val="Note"/>
        <w:keepLines/>
      </w:pPr>
      <w:r w:rsidRPr="00180E66">
        <w:rPr>
          <w:b/>
          <w:bCs/>
        </w:rPr>
        <w:t>a.</w:t>
      </w:r>
      <w:r>
        <w:t xml:space="preserve"> Total investment intensity = private gross fixed capital formation/GDP. Non-mining private investment intensity = (private gross fixed capital formation – mining gross fixed capital formation)/(GDP – mining gross value added). Capital intensity is the increase non-mining net capital stock divided/(GDP-mining GVA).</w:t>
      </w:r>
    </w:p>
    <w:p w14:paraId="374A7368" w14:textId="77777777" w:rsidR="009E5D9A" w:rsidRDefault="009E5D9A" w:rsidP="00AC6FB0">
      <w:pPr>
        <w:pStyle w:val="Source"/>
      </w:pPr>
      <w:r w:rsidRPr="00696447">
        <w:t xml:space="preserve">Source: </w:t>
      </w:r>
      <w:r>
        <w:t xml:space="preserve">Estimates based on </w:t>
      </w:r>
      <w:r w:rsidRPr="00F51264">
        <w:t>ABS (20</w:t>
      </w:r>
      <w:r>
        <w:t>22</w:t>
      </w:r>
      <w:r w:rsidRPr="00F51264">
        <w:t>, Australian System of National Accounts, 20</w:t>
      </w:r>
      <w:r>
        <w:t>21</w:t>
      </w:r>
      <w:r w:rsidRPr="00F51264">
        <w:t>-2</w:t>
      </w:r>
      <w:r>
        <w:t>2</w:t>
      </w:r>
      <w:r w:rsidRPr="00F51264">
        <w:t xml:space="preserve">, Cat. no. 5204.0, tables 1, 5, </w:t>
      </w:r>
      <w:r>
        <w:t>52, 5</w:t>
      </w:r>
      <w:r w:rsidRPr="00F51264">
        <w:t>6 and 58)</w:t>
      </w:r>
      <w:r>
        <w:t>.</w:t>
      </w:r>
    </w:p>
    <w:p w14:paraId="3E3A1B1F" w14:textId="77777777" w:rsidR="009E5D9A" w:rsidRDefault="009E5D9A" w:rsidP="00493DC8">
      <w:pPr>
        <w:pStyle w:val="Heading4"/>
      </w:pPr>
      <w:r>
        <w:t>… but the stagnation is difficult to explain</w:t>
      </w:r>
    </w:p>
    <w:p w14:paraId="562F52E5" w14:textId="77777777" w:rsidR="009E5D9A" w:rsidRDefault="009E5D9A" w:rsidP="00493DC8">
      <w:pPr>
        <w:pStyle w:val="BodyText"/>
      </w:pPr>
      <w:r>
        <w:t xml:space="preserve">Potential explanations for stagnating capital investment have included: structural changes to the economy; cyclical changes that affect investment decisions; and changes in the composition of capital. It is difficult to determine if there was a major driver; they all likely contributed to the decline. </w:t>
      </w:r>
    </w:p>
    <w:p w14:paraId="708C04D6" w14:textId="77777777" w:rsidR="009E5D9A" w:rsidRDefault="009E5D9A" w:rsidP="00493DC8">
      <w:pPr>
        <w:pStyle w:val="Heading5"/>
      </w:pPr>
      <w:r>
        <w:t>Structural changes had a limited effect</w:t>
      </w:r>
    </w:p>
    <w:p w14:paraId="46A28A4A" w14:textId="7BC0318D" w:rsidR="009E5D9A" w:rsidRPr="001E2A8A" w:rsidRDefault="009E5D9A" w:rsidP="0014429B">
      <w:pPr>
        <w:pStyle w:val="BodyText"/>
        <w:rPr>
          <w:spacing w:val="-4"/>
        </w:rPr>
      </w:pPr>
      <w:r w:rsidRPr="001E2A8A">
        <w:rPr>
          <w:spacing w:val="-4"/>
        </w:rPr>
        <w:t xml:space="preserve">Long-term structural changes will affect the nature and level of investment. For example, if an economy shifted away from investment-intensive sectors, such as manufacturing, towards less investment-intensive sectors, such as services, this could decrease capital investment </w:t>
      </w:r>
      <w:r w:rsidR="00DB7FE7" w:rsidRPr="00DB7FE7">
        <w:rPr>
          <w:rFonts w:ascii="Arial" w:hAnsi="Arial" w:cs="Arial"/>
          <w:szCs w:val="24"/>
        </w:rPr>
        <w:t>(Hambur and Jenner 2019; PC 2023a, p. 45)</w:t>
      </w:r>
      <w:r w:rsidRPr="001E2A8A">
        <w:rPr>
          <w:spacing w:val="-4"/>
        </w:rPr>
        <w:t xml:space="preserve">. </w:t>
      </w:r>
    </w:p>
    <w:p w14:paraId="64A01F28" w14:textId="49DCB560" w:rsidR="009E5D9A" w:rsidRDefault="009E5D9A" w:rsidP="00493DC8">
      <w:pPr>
        <w:pStyle w:val="BodyText"/>
      </w:pPr>
      <w:r>
        <w:t xml:space="preserve">Evidence suggests that within sector rather than between sector changes could have led to the stagnation in investment. Or conversely that whole-economy changes that affected all industries led to the stagnation. This is because investment declined across firms regardless of their industry, age, or time of entry into the market </w:t>
      </w:r>
      <w:r w:rsidRPr="55A6023A">
        <w:rPr>
          <w:rFonts w:ascii="Arial" w:hAnsi="Arial" w:cs="Arial"/>
        </w:rPr>
        <w:t>(Hambur and Jenner 2019; van der Merwe et al. 2018, p. 5)</w:t>
      </w:r>
      <w:r>
        <w:t>.</w:t>
      </w:r>
      <w:r w:rsidRPr="00EE4568">
        <w:rPr>
          <w:rStyle w:val="FootnoteReference"/>
        </w:rPr>
        <w:t xml:space="preserve"> </w:t>
      </w:r>
    </w:p>
    <w:p w14:paraId="6DD83F69" w14:textId="77777777" w:rsidR="009E5D9A" w:rsidRDefault="009E5D9A" w:rsidP="00493DC8">
      <w:pPr>
        <w:pStyle w:val="Heading5"/>
      </w:pPr>
      <w:r>
        <w:t>Rising risk and uncertainty after the GFC could have played a role</w:t>
      </w:r>
    </w:p>
    <w:p w14:paraId="1C057EFB" w14:textId="77777777" w:rsidR="009E5D9A" w:rsidRDefault="009E5D9A" w:rsidP="00493DC8">
      <w:pPr>
        <w:pStyle w:val="BodyText"/>
      </w:pPr>
      <w:r>
        <w:t>The relative fall in</w:t>
      </w:r>
      <w:r w:rsidRPr="00720D0A">
        <w:t xml:space="preserve"> non-mining</w:t>
      </w:r>
      <w:r>
        <w:t xml:space="preserve"> investment took place after the GFC, which could have affected investment decisions through rising risk and uncertainty.</w:t>
      </w:r>
      <w:r w:rsidRPr="007D15B3">
        <w:rPr>
          <w:rStyle w:val="FootnoteReference"/>
        </w:rPr>
        <w:footnoteReference w:id="17"/>
      </w:r>
      <w:r>
        <w:t xml:space="preserve"> Post-</w:t>
      </w:r>
      <w:r w:rsidRPr="001B4AF8">
        <w:t xml:space="preserve">GFC real interest rates declined, which should </w:t>
      </w:r>
      <w:r>
        <w:t>have led</w:t>
      </w:r>
      <w:r w:rsidRPr="001B4AF8">
        <w:t xml:space="preserve"> to increased investment </w:t>
      </w:r>
      <w:r>
        <w:t>and lower</w:t>
      </w:r>
      <w:r w:rsidRPr="001B4AF8">
        <w:t xml:space="preserve"> returns</w:t>
      </w:r>
      <w:r>
        <w:t xml:space="preserve"> to private capital; that is, assuming diminishing returns to capital. Instead, investment stagnated and returns to capital remained fairly constant, leading to a growing wedge between the risk-free rate and the </w:t>
      </w:r>
      <w:r w:rsidRPr="005362C1">
        <w:t>return to capital</w:t>
      </w:r>
      <w:r>
        <w:t>, which increased from about 12% in the 2000s to 14% after 2010 (figure 10)</w:t>
      </w:r>
      <w:r w:rsidRPr="005362C1">
        <w:t>.</w:t>
      </w:r>
      <w:r>
        <w:t xml:space="preserve"> </w:t>
      </w:r>
    </w:p>
    <w:p w14:paraId="19E522F3" w14:textId="77777777" w:rsidR="009E5D9A" w:rsidRDefault="009E5D9A" w:rsidP="23F84FD2">
      <w:pPr>
        <w:pStyle w:val="FigureTableHeading"/>
        <w:rPr>
          <w:vertAlign w:val="superscript"/>
        </w:rPr>
      </w:pPr>
      <w:r>
        <w:lastRenderedPageBreak/>
        <w:t>Figure 10</w:t>
      </w:r>
      <w:r w:rsidRPr="23F84FD2">
        <w:rPr>
          <w:noProof/>
        </w:rPr>
        <w:t xml:space="preserve"> </w:t>
      </w:r>
      <w:r>
        <w:t xml:space="preserve">– </w:t>
      </w:r>
      <w:r w:rsidRPr="005362C1">
        <w:t xml:space="preserve">The </w:t>
      </w:r>
      <w:r>
        <w:t>wedge between the return on capital and risk-free rate increased</w:t>
      </w:r>
      <w:r w:rsidRPr="23F84FD2">
        <w:rPr>
          <w:b/>
          <w:bCs/>
          <w:vertAlign w:val="superscript"/>
        </w:rPr>
        <w:t>a</w:t>
      </w:r>
    </w:p>
    <w:p w14:paraId="067A8DDC" w14:textId="77777777" w:rsidR="009E5D9A" w:rsidRDefault="009E5D9A" w:rsidP="23F84FD2">
      <w:pPr>
        <w:pStyle w:val="FigureTableSubheading"/>
        <w:keepLines/>
      </w:pPr>
      <w:r>
        <w:t>Five year rolling average</w:t>
      </w:r>
    </w:p>
    <w:p w14:paraId="26A0F2A3" w14:textId="77777777" w:rsidR="009E5D9A" w:rsidRDefault="009E5D9A" w:rsidP="00BA1C97">
      <w:pPr>
        <w:pStyle w:val="BodyText"/>
        <w:spacing w:before="0" w:after="0"/>
      </w:pPr>
      <w:r w:rsidRPr="00BA1C97">
        <w:rPr>
          <w:noProof/>
        </w:rPr>
        <w:drawing>
          <wp:inline distT="0" distB="0" distL="0" distR="0" wp14:anchorId="1599DD4D" wp14:editId="4ACB8EB1">
            <wp:extent cx="6119846" cy="2574152"/>
            <wp:effectExtent l="0" t="0" r="0" b="0"/>
            <wp:docPr id="497157466" name="Picture 8" descr="This figure is a line chart. The figure shows the return on capital to risk-free rate wedge and the risk premium from 2005 until 2018. The figure shows that after the global financial crisis the return on capital to risk free rate wedge increased from about 12 to 14 per cent. This increase in the wedge was driven by an increase in the risk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57466" name="Picture 8" descr="This figure is a line chart. The figure shows the return on capital to risk-free rate wedge and the risk premium from 2005 until 2018. The figure shows that after the global financial crisis the return on capital to risk free rate wedge increased from about 12 to 14 per cent. This increase in the wedge was driven by an increase in the risk premium. "/>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2288" b="1918"/>
                    <a:stretch/>
                  </pic:blipFill>
                  <pic:spPr bwMode="auto">
                    <a:xfrm>
                      <a:off x="0" y="0"/>
                      <a:ext cx="6120130" cy="2574272"/>
                    </a:xfrm>
                    <a:prstGeom prst="rect">
                      <a:avLst/>
                    </a:prstGeom>
                    <a:noFill/>
                    <a:ln>
                      <a:noFill/>
                    </a:ln>
                    <a:extLst>
                      <a:ext uri="{53640926-AAD7-44D8-BBD7-CCE9431645EC}">
                        <a14:shadowObscured xmlns:a14="http://schemas.microsoft.com/office/drawing/2010/main"/>
                      </a:ext>
                    </a:extLst>
                  </pic:spPr>
                </pic:pic>
              </a:graphicData>
            </a:graphic>
          </wp:inline>
        </w:drawing>
      </w:r>
    </w:p>
    <w:p w14:paraId="07891629" w14:textId="27691338" w:rsidR="009E5D9A" w:rsidRPr="00006764" w:rsidRDefault="009E5D9A" w:rsidP="23F84FD2">
      <w:pPr>
        <w:pStyle w:val="Note"/>
        <w:keepLines/>
        <w:rPr>
          <w:spacing w:val="-4"/>
        </w:rPr>
      </w:pPr>
      <w:r w:rsidRPr="00006764">
        <w:rPr>
          <w:b/>
          <w:bCs/>
          <w:spacing w:val="-4"/>
        </w:rPr>
        <w:t>a.</w:t>
      </w:r>
      <w:r w:rsidRPr="00006764">
        <w:rPr>
          <w:spacing w:val="-4"/>
        </w:rPr>
        <w:t xml:space="preserve"> Return on capital to risk-free rate wedge = marginal product of capital – risk-free rate. Marginal product of capital (based on Farhi and Gourio </w:t>
      </w:r>
      <w:r w:rsidRPr="00006764">
        <w:rPr>
          <w:rFonts w:cs="Arial"/>
          <w:spacing w:val="-4"/>
        </w:rPr>
        <w:t>(2018)</w:t>
      </w:r>
      <w:r w:rsidRPr="00006764">
        <w:rPr>
          <w:spacing w:val="-4"/>
        </w:rPr>
        <w:t xml:space="preserve">) = (1-labour share of income)/(capital stock/GDP). Real risk free rate = two year bond yields (due to data constraints) – two year inflation expectations. The risk premium is estimated using the model in Farhi and Gourio </w:t>
      </w:r>
      <w:r w:rsidRPr="00006764">
        <w:rPr>
          <w:rFonts w:cs="Arial"/>
          <w:spacing w:val="-4"/>
        </w:rPr>
        <w:t>(2018)</w:t>
      </w:r>
      <w:r w:rsidRPr="00006764">
        <w:rPr>
          <w:spacing w:val="-4"/>
        </w:rPr>
        <w:t>.</w:t>
      </w:r>
    </w:p>
    <w:p w14:paraId="3123C630" w14:textId="77777777" w:rsidR="009E5D9A" w:rsidRDefault="009E5D9A" w:rsidP="23F84FD2">
      <w:pPr>
        <w:pStyle w:val="Source"/>
      </w:pPr>
      <w:r>
        <w:t xml:space="preserve">Source: Productivity Commission estimates based on </w:t>
      </w:r>
      <w:r w:rsidRPr="005B1C6B">
        <w:t>ABS (</w:t>
      </w:r>
      <w:r w:rsidRPr="00187EED">
        <w:rPr>
          <w:i/>
          <w:iCs/>
        </w:rPr>
        <w:t>Australian National Accounts: National Income, Expenditure and Product, September 2021</w:t>
      </w:r>
      <w:r w:rsidRPr="005B1C6B">
        <w:t xml:space="preserve">, Cat. no. 5206, </w:t>
      </w:r>
      <w:r>
        <w:t>t</w:t>
      </w:r>
      <w:r w:rsidRPr="005B1C6B">
        <w:t>able</w:t>
      </w:r>
      <w:r>
        <w:t>s 1 </w:t>
      </w:r>
      <w:r w:rsidRPr="005B1C6B">
        <w:t>and 5</w:t>
      </w:r>
      <w:r>
        <w:t>6</w:t>
      </w:r>
      <w:r w:rsidRPr="005B1C6B">
        <w:t>)</w:t>
      </w:r>
      <w:r>
        <w:t xml:space="preserve">; </w:t>
      </w:r>
      <w:r w:rsidRPr="005B1C6B">
        <w:t>ABS (</w:t>
      </w:r>
      <w:r w:rsidRPr="00187EED">
        <w:rPr>
          <w:i/>
          <w:iCs/>
        </w:rPr>
        <w:t>Estimates of Industry Multifactor Productivity, Australia</w:t>
      </w:r>
      <w:r w:rsidRPr="005B1C6B">
        <w:t xml:space="preserve">, 30 November 2020, Cat. no. 5260.0.55.002, </w:t>
      </w:r>
      <w:r>
        <w:t>t</w:t>
      </w:r>
      <w:r w:rsidRPr="005B1C6B">
        <w:t>able</w:t>
      </w:r>
      <w:r>
        <w:t> 2</w:t>
      </w:r>
      <w:r w:rsidRPr="005B1C6B">
        <w:t>)</w:t>
      </w:r>
      <w:r>
        <w:t xml:space="preserve">; </w:t>
      </w:r>
      <w:r w:rsidRPr="005B1C6B">
        <w:t>RBA (Capital Market Yields – Government Bonds, 2021), RBA (Inflation expectations, 2021)</w:t>
      </w:r>
      <w:r>
        <w:t>.</w:t>
      </w:r>
    </w:p>
    <w:p w14:paraId="4476E81E" w14:textId="26F68370" w:rsidR="009E5D9A" w:rsidRDefault="009E5D9A" w:rsidP="00493DC8">
      <w:pPr>
        <w:pStyle w:val="BodyText"/>
      </w:pPr>
      <w:r w:rsidRPr="005362C1">
        <w:t xml:space="preserve">The </w:t>
      </w:r>
      <w:r>
        <w:t>larger</w:t>
      </w:r>
      <w:r w:rsidRPr="005362C1">
        <w:t xml:space="preserve"> wedge between </w:t>
      </w:r>
      <w:r>
        <w:t>the</w:t>
      </w:r>
      <w:r w:rsidRPr="005362C1">
        <w:t xml:space="preserve"> return to capital and the real interest rate could be attributed to factors such as changes in the opportunity cost of capital, increasing market power of firms, or changes to perceptions of risk </w:t>
      </w:r>
      <w:r w:rsidR="00146668" w:rsidRPr="00146668">
        <w:rPr>
          <w:rFonts w:ascii="Arial" w:hAnsi="Arial" w:cs="Arial"/>
          <w:szCs w:val="24"/>
        </w:rPr>
        <w:t>(PC 2023a, p. 43)</w:t>
      </w:r>
      <w:r>
        <w:t>. The Commission found that increases in the market risk premium (the additional return investors require to be compensated for taking on risk) was the main contributor to the growing wedge (</w:t>
      </w:r>
      <w:r w:rsidRPr="005362C1">
        <w:t xml:space="preserve">research paper forthcoming). </w:t>
      </w:r>
      <w:r>
        <w:t xml:space="preserve">This means that for each dollar invested post-GFC, an investor required a larger rate of return to compensate for additional risk. </w:t>
      </w:r>
    </w:p>
    <w:p w14:paraId="20B3A815" w14:textId="60884929" w:rsidR="009E5D9A" w:rsidRDefault="009E5D9A" w:rsidP="00E72360">
      <w:pPr>
        <w:pStyle w:val="BodyText"/>
      </w:pPr>
      <w:r>
        <w:t>The growing risk premium could partly explain firms’ higher required rate of return to invest, and therefore, the slowdown in capital investment.</w:t>
      </w:r>
      <w:r w:rsidRPr="00A87A5B">
        <w:rPr>
          <w:rStyle w:val="FootnoteReference"/>
          <w:sz w:val="18"/>
          <w:szCs w:val="18"/>
        </w:rPr>
        <w:t xml:space="preserve"> </w:t>
      </w:r>
      <w:r w:rsidRPr="007D15B3">
        <w:rPr>
          <w:rStyle w:val="FootnoteReference"/>
        </w:rPr>
        <w:footnoteReference w:id="18"/>
      </w:r>
      <w:r>
        <w:t xml:space="preserve"> There is also anecdotal evidence that firms were less willing to take risks and tightened investment criteria after the GFC </w:t>
      </w:r>
      <w:r w:rsidRPr="0839B128">
        <w:rPr>
          <w:rFonts w:ascii="Arial" w:hAnsi="Arial" w:cs="Arial"/>
        </w:rPr>
        <w:t>(Debelle 2017)</w:t>
      </w:r>
      <w:r>
        <w:t xml:space="preserve">. </w:t>
      </w:r>
    </w:p>
    <w:p w14:paraId="2743F7A9" w14:textId="77777777" w:rsidR="009E5D9A" w:rsidRDefault="009E5D9A" w:rsidP="00E72360">
      <w:pPr>
        <w:pStyle w:val="Heading5"/>
      </w:pPr>
      <w:r>
        <w:t xml:space="preserve">Changes in the composition of capital </w:t>
      </w:r>
    </w:p>
    <w:p w14:paraId="7580D38D" w14:textId="77777777" w:rsidR="009E5D9A" w:rsidRDefault="009E5D9A" w:rsidP="00E72360">
      <w:pPr>
        <w:pStyle w:val="BodyText"/>
      </w:pPr>
      <w:r>
        <w:t xml:space="preserve">Compositional changes in the capital stock could have led to decreased investment. </w:t>
      </w:r>
    </w:p>
    <w:p w14:paraId="6A40BB29" w14:textId="602894FC" w:rsidR="009E5D9A" w:rsidRDefault="009E5D9A" w:rsidP="00E72360">
      <w:pPr>
        <w:pStyle w:val="BodyText"/>
      </w:pPr>
      <w:r>
        <w:t>Investment may be shifting towards longer lived</w:t>
      </w:r>
      <w:r>
        <w:noBreakHyphen/>
        <w:t xml:space="preserve"> assets, such as buildings, which tend to have lower depreciation and replacement rates </w:t>
      </w:r>
      <w:r w:rsidRPr="0839B128">
        <w:rPr>
          <w:rFonts w:ascii="Arial" w:hAnsi="Arial" w:cs="Arial"/>
        </w:rPr>
        <w:t>(Hambur and Jenner 2019)</w:t>
      </w:r>
      <w:r>
        <w:t>. Data show that the age of capital stock has increased while depreciation rates have fallen since 2015 (figure 11); these trends are consistent with investing in longer-lived assets.</w:t>
      </w:r>
      <w:r w:rsidRPr="007D15B3">
        <w:rPr>
          <w:rStyle w:val="FootnoteReference"/>
        </w:rPr>
        <w:footnoteReference w:id="19"/>
      </w:r>
    </w:p>
    <w:p w14:paraId="5059064F" w14:textId="77777777" w:rsidR="009E5D9A" w:rsidRPr="00146382" w:rsidRDefault="009E5D9A">
      <w:pPr>
        <w:pStyle w:val="FigureTableHeading"/>
      </w:pPr>
      <w:r>
        <w:lastRenderedPageBreak/>
        <w:t>Figure 11</w:t>
      </w:r>
      <w:r>
        <w:rPr>
          <w:noProof/>
        </w:rPr>
        <w:t xml:space="preserve"> </w:t>
      </w:r>
      <w:r>
        <w:t>– Capital investment could be shifting towards longer-lived assets</w:t>
      </w:r>
    </w:p>
    <w:p w14:paraId="0253EC8E" w14:textId="77777777" w:rsidR="009E5D9A" w:rsidRDefault="009E5D9A">
      <w:pPr>
        <w:pStyle w:val="FigureTableSubheading"/>
        <w:keepLines/>
      </w:pPr>
      <w:r>
        <w:t>Average depreciation rate and age of Australia’s gross capital stock</w:t>
      </w:r>
      <w:r w:rsidRPr="00066CF5">
        <w:rPr>
          <w:vertAlign w:val="superscript"/>
        </w:rPr>
        <w:t>a</w:t>
      </w:r>
    </w:p>
    <w:p w14:paraId="68A6AD9E" w14:textId="77777777" w:rsidR="009E5D9A" w:rsidRDefault="009E5D9A">
      <w:pPr>
        <w:pStyle w:val="FigureTableSubheading"/>
        <w:keepLines/>
      </w:pPr>
      <w:r w:rsidRPr="00305B45">
        <w:rPr>
          <w:noProof/>
        </w:rPr>
        <w:drawing>
          <wp:inline distT="0" distB="0" distL="0" distR="0" wp14:anchorId="7E2DED38" wp14:editId="42F28424">
            <wp:extent cx="6120130" cy="2694940"/>
            <wp:effectExtent l="0" t="0" r="0" b="0"/>
            <wp:docPr id="1324593018" name="Picture 9" descr="This figure is a line chart. The figure plots the depreciation rate of gross capital stock (current prices) and the end-year average age of gross capital stock from 1995 to 2022. The figure shows that depreciation rates have fallen since 2015 whiles the age of capital stock has increased. Such trends are consistent with investing in longer-lived ass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93018" name="Picture 9" descr="This figure is a line chart. The figure plots the depreciation rate of gross capital stock (current prices) and the end-year average age of gross capital stock from 1995 to 2022. The figure shows that depreciation rates have fallen since 2015 whiles the age of capital stock has increased. Such trends are consistent with investing in longer-lived assets.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130" cy="2694940"/>
                    </a:xfrm>
                    <a:prstGeom prst="rect">
                      <a:avLst/>
                    </a:prstGeom>
                    <a:noFill/>
                    <a:ln>
                      <a:noFill/>
                    </a:ln>
                  </pic:spPr>
                </pic:pic>
              </a:graphicData>
            </a:graphic>
          </wp:inline>
        </w:drawing>
      </w:r>
    </w:p>
    <w:p w14:paraId="5D5F82C8" w14:textId="77777777" w:rsidR="009E5D9A" w:rsidRPr="001E2A8A" w:rsidRDefault="009E5D9A">
      <w:pPr>
        <w:pStyle w:val="Note"/>
        <w:keepLines/>
        <w:rPr>
          <w:spacing w:val="-4"/>
        </w:rPr>
      </w:pPr>
      <w:r w:rsidRPr="001E2A8A">
        <w:rPr>
          <w:b/>
          <w:bCs/>
          <w:spacing w:val="-4"/>
        </w:rPr>
        <w:t>a.</w:t>
      </w:r>
      <w:r w:rsidRPr="001E2A8A">
        <w:rPr>
          <w:spacing w:val="-4"/>
        </w:rPr>
        <w:t xml:space="preserve"> The depreciation rate was estimated by dividing consumption of fixed capital by the gross capital stock (current prices). </w:t>
      </w:r>
    </w:p>
    <w:p w14:paraId="34291138" w14:textId="77777777" w:rsidR="009E5D9A" w:rsidDel="00D06B15" w:rsidRDefault="009E5D9A" w:rsidP="0067071B">
      <w:pPr>
        <w:pStyle w:val="Source"/>
      </w:pPr>
      <w:r w:rsidRPr="00696447">
        <w:t xml:space="preserve">Source: </w:t>
      </w:r>
      <w:r>
        <w:t>Estimates based on</w:t>
      </w:r>
      <w:r w:rsidRPr="00696447">
        <w:t xml:space="preserve"> </w:t>
      </w:r>
      <w:r w:rsidRPr="00F51264">
        <w:t>ABS (20</w:t>
      </w:r>
      <w:r>
        <w:t>22</w:t>
      </w:r>
      <w:r w:rsidRPr="00F51264">
        <w:t>, Australian System of National Accounts, 20</w:t>
      </w:r>
      <w:r>
        <w:t>21</w:t>
      </w:r>
      <w:r w:rsidRPr="00F51264">
        <w:t>-2</w:t>
      </w:r>
      <w:r>
        <w:t>2</w:t>
      </w:r>
      <w:r w:rsidRPr="00F51264">
        <w:t>, Cat. no. 5204.0, table</w:t>
      </w:r>
      <w:r>
        <w:t xml:space="preserve"> 57</w:t>
      </w:r>
      <w:r w:rsidRPr="00F51264">
        <w:t>)</w:t>
      </w:r>
      <w:r>
        <w:t xml:space="preserve">. </w:t>
      </w:r>
    </w:p>
    <w:p w14:paraId="26864DAA" w14:textId="77777777" w:rsidR="009E5D9A" w:rsidDel="00D06B15" w:rsidRDefault="009E5D9A" w:rsidP="1108DC68">
      <w:pPr>
        <w:pStyle w:val="BodyText"/>
      </w:pPr>
      <w:r>
        <w:t>Other compositional changes, such as increased investment in intangible assets like data, could also be playing a role in slowing investment. Some intangible assets, such as data, are not included in the National Accounts’ measurement of investment, and therefore, could explain some of the decline in investment.</w:t>
      </w:r>
    </w:p>
    <w:p w14:paraId="095E2EB4" w14:textId="77777777" w:rsidR="009E5D9A" w:rsidRDefault="009E5D9A">
      <w:r>
        <w:br w:type="page"/>
      </w:r>
    </w:p>
    <w:p w14:paraId="7D326EDA" w14:textId="77777777" w:rsidR="009E5D9A" w:rsidRPr="00BB1E81" w:rsidRDefault="009E5D9A" w:rsidP="00BB1E81">
      <w:pPr>
        <w:pStyle w:val="Heading2-nonumber"/>
        <w:rPr>
          <w:color w:val="265A9A" w:themeColor="background2"/>
        </w:rPr>
      </w:pPr>
      <w:bookmarkStart w:id="5" w:name="_Toc139383200"/>
      <w:r w:rsidRPr="00BB1E81">
        <w:rPr>
          <w:color w:val="265A9A" w:themeColor="background2"/>
        </w:rPr>
        <w:lastRenderedPageBreak/>
        <w:t>Supporting mate</w:t>
      </w:r>
      <w:r w:rsidRPr="00A55B8D">
        <w:rPr>
          <w:color w:val="265A9A" w:themeColor="background2"/>
        </w:rPr>
        <w:t>rial</w:t>
      </w:r>
      <w:bookmarkEnd w:id="5"/>
    </w:p>
    <w:tbl>
      <w:tblPr>
        <w:tblStyle w:val="Boxtable"/>
        <w:tblW w:w="0" w:type="auto"/>
        <w:tblLook w:val="04A0" w:firstRow="1" w:lastRow="0" w:firstColumn="1" w:lastColumn="0" w:noHBand="0" w:noVBand="1"/>
      </w:tblPr>
      <w:tblGrid>
        <w:gridCol w:w="9638"/>
      </w:tblGrid>
      <w:tr w:rsidR="009E5D9A" w14:paraId="5B0641D5" w14:textId="77777777" w:rsidTr="070AAB34">
        <w:trPr>
          <w:trHeight w:val="300"/>
        </w:trPr>
        <w:tc>
          <w:tcPr>
            <w:tcW w:w="9638" w:type="dxa"/>
            <w:shd w:val="clear" w:color="auto" w:fill="EBEBEB"/>
            <w:tcMar>
              <w:top w:w="170" w:type="dxa"/>
              <w:left w:w="170" w:type="dxa"/>
              <w:bottom w:w="113" w:type="dxa"/>
              <w:right w:w="170" w:type="dxa"/>
            </w:tcMar>
          </w:tcPr>
          <w:p w14:paraId="12D39BA2" w14:textId="77777777" w:rsidR="009E5D9A" w:rsidRDefault="009E5D9A" w:rsidP="070AAB34">
            <w:pPr>
              <w:pStyle w:val="BoxHeading1"/>
            </w:pPr>
            <w:r>
              <w:t>A primer on productivity</w:t>
            </w:r>
          </w:p>
        </w:tc>
      </w:tr>
      <w:tr w:rsidR="009E5D9A" w14:paraId="0DF590FD" w14:textId="77777777" w:rsidTr="070AAB34">
        <w:trPr>
          <w:trHeight w:val="300"/>
        </w:trPr>
        <w:tc>
          <w:tcPr>
            <w:tcW w:w="9638" w:type="dxa"/>
            <w:shd w:val="clear" w:color="auto" w:fill="EBEBEB"/>
            <w:tcMar>
              <w:top w:w="28" w:type="dxa"/>
              <w:left w:w="170" w:type="dxa"/>
              <w:bottom w:w="170" w:type="dxa"/>
              <w:right w:w="170" w:type="dxa"/>
            </w:tcMar>
          </w:tcPr>
          <w:p w14:paraId="1A187A1F" w14:textId="77777777" w:rsidR="009E5D9A" w:rsidRDefault="009E5D9A" w:rsidP="070AAB34">
            <w:pPr>
              <w:pStyle w:val="BoxHeading2"/>
            </w:pPr>
            <w:r>
              <w:t>What is productivity?</w:t>
            </w:r>
          </w:p>
          <w:p w14:paraId="3811C6C3" w14:textId="77777777" w:rsidR="009E5D9A" w:rsidRDefault="009E5D9A" w:rsidP="070AAB34">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1D02F5F7" w14:textId="77777777" w:rsidR="009E5D9A" w:rsidRDefault="009E5D9A" w:rsidP="070AAB34">
            <w:pPr>
              <w:pStyle w:val="BoxHeading2"/>
            </w:pPr>
            <w:r>
              <w:t>What are the main measures?</w:t>
            </w:r>
          </w:p>
          <w:p w14:paraId="15A2D761" w14:textId="77777777" w:rsidR="009E5D9A" w:rsidRDefault="009E5D9A" w:rsidP="070AAB34">
            <w:pPr>
              <w:pStyle w:val="BodyText"/>
            </w:pPr>
            <w:r>
              <w:t xml:space="preserve">Two metrics are commonly used to measure aggregate productivity. </w:t>
            </w:r>
            <w:r w:rsidRPr="070AAB34">
              <w:rPr>
                <w:b/>
                <w:bCs/>
              </w:rPr>
              <w:t>Labour productivity</w:t>
            </w:r>
            <w:r>
              <w:t xml:space="preserve"> is the ratio of output to hours worked. Output is typically defined as gross value added (the total value of a firm’s production minus intermediate inputs).</w:t>
            </w:r>
            <w:r w:rsidRPr="007D15B3">
              <w:rPr>
                <w:rStyle w:val="FootnoteReference"/>
              </w:rPr>
              <w:footnoteReference w:id="20"/>
            </w:r>
            <w:r>
              <w:t xml:space="preserve"> </w:t>
            </w:r>
            <w:r w:rsidRPr="070AAB34">
              <w:rPr>
                <w:b/>
                <w:bCs/>
              </w:rPr>
              <w:t>Multifactor productivity</w:t>
            </w:r>
            <w:r>
              <w:t xml:space="preserve"> (MFP) is the ratio of output to a combined input of labour and capital. It is generally considered to be a better measure of technological change and efficiency improvements than labour productivity.</w:t>
            </w:r>
            <w:r w:rsidRPr="007D15B3">
              <w:rPr>
                <w:rStyle w:val="FootnoteReference"/>
              </w:rPr>
              <w:footnoteReference w:id="21"/>
            </w:r>
          </w:p>
          <w:p w14:paraId="232D6521" w14:textId="77777777" w:rsidR="009E5D9A" w:rsidRDefault="009E5D9A" w:rsidP="070AAB34">
            <w:pPr>
              <w:pStyle w:val="BoxHeading2"/>
            </w:pPr>
            <w:r>
              <w:t>What parts of the economy are we measuring?</w:t>
            </w:r>
          </w:p>
          <w:p w14:paraId="1F8D6201" w14:textId="77777777" w:rsidR="009E5D9A" w:rsidRDefault="009E5D9A" w:rsidP="070AAB34">
            <w:pPr>
              <w:pStyle w:val="BodyText"/>
            </w:pPr>
            <w:r>
              <w:t xml:space="preserve">The most accurate </w:t>
            </w:r>
            <w:r w:rsidRPr="070AAB34">
              <w:rPr>
                <w:color w:val="000000" w:themeColor="text1"/>
              </w:rPr>
              <w:t xml:space="preserve">estimates of productivity are for those industries where prices are set in markets </w:t>
            </w:r>
            <w:r>
              <w:t xml:space="preserve">– </w:t>
            </w:r>
            <w:r w:rsidRPr="070AAB34">
              <w:rPr>
                <w:color w:val="000000" w:themeColor="text1"/>
              </w:rPr>
              <w:t xml:space="preserve">known as the ‘market sector’ </w:t>
            </w:r>
            <w:r>
              <w:t xml:space="preserve">– </w:t>
            </w:r>
            <w:r w:rsidRPr="070AAB34">
              <w:rPr>
                <w:color w:val="000000" w:themeColor="text1"/>
              </w:rPr>
              <w:t xml:space="preserve">and where it is therefore easier to measure output (in terms of real industry gross value added). This Bulletin provides estimates for the 16 market sector industries and the 3 non-market sectors industries. Both labour </w:t>
            </w:r>
            <w:r>
              <w:t>productivity and MFP measures are</w:t>
            </w:r>
            <w:r w:rsidRPr="070AAB34">
              <w:rPr>
                <w:rStyle w:val="FootnoteTextChar"/>
              </w:rPr>
              <w:t xml:space="preserve"> </w:t>
            </w:r>
            <w:r w:rsidRPr="070AAB34">
              <w:rPr>
                <w:rStyle w:val="FootnoteTextChar"/>
                <w:sz w:val="20"/>
              </w:rPr>
              <w:t>available</w:t>
            </w:r>
            <w:r w:rsidRPr="070AAB34">
              <w:rPr>
                <w:rStyle w:val="FootnoteTextChar"/>
              </w:rPr>
              <w:t>.</w:t>
            </w:r>
            <w:r w:rsidRPr="007D15B3">
              <w:rPr>
                <w:rStyle w:val="FootnoteReference"/>
              </w:rPr>
              <w:footnoteReference w:id="22"/>
            </w:r>
          </w:p>
        </w:tc>
      </w:tr>
      <w:tr w:rsidR="009E5D9A" w14:paraId="337A2327" w14:textId="77777777" w:rsidTr="070AAB34">
        <w:trPr>
          <w:trHeight w:val="300"/>
        </w:trPr>
        <w:tc>
          <w:tcPr>
            <w:tcW w:w="9638" w:type="dxa"/>
            <w:shd w:val="clear" w:color="auto" w:fill="auto"/>
            <w:tcMar>
              <w:top w:w="0" w:type="dxa"/>
              <w:left w:w="170" w:type="dxa"/>
              <w:bottom w:w="0" w:type="dxa"/>
              <w:right w:w="170" w:type="dxa"/>
            </w:tcMar>
          </w:tcPr>
          <w:p w14:paraId="20C7FE79" w14:textId="77777777" w:rsidR="009E5D9A" w:rsidRDefault="009E5D9A" w:rsidP="070AAB34">
            <w:pPr>
              <w:pStyle w:val="BodyText"/>
              <w:spacing w:before="0" w:after="0" w:line="80" w:lineRule="atLeast"/>
              <w:rPr>
                <w:smallCaps/>
              </w:rPr>
            </w:pPr>
          </w:p>
        </w:tc>
      </w:tr>
    </w:tbl>
    <w:p w14:paraId="6FA355AC" w14:textId="77777777" w:rsidR="009E5D9A" w:rsidRDefault="009E5D9A" w:rsidP="00A85F04">
      <w:pPr>
        <w:pStyle w:val="BodyText"/>
      </w:pPr>
      <w:bookmarkStart w:id="6" w:name="_Toc78901540"/>
      <w:r>
        <w:br w:type="page"/>
      </w:r>
    </w:p>
    <w:p w14:paraId="681AA4C3" w14:textId="77777777" w:rsidR="009E5D9A" w:rsidRPr="00BB1E81" w:rsidRDefault="009E5D9A" w:rsidP="00BB1E81">
      <w:pPr>
        <w:pStyle w:val="Heading2-nonumber"/>
        <w:rPr>
          <w:color w:val="265A9A" w:themeColor="background2"/>
        </w:rPr>
      </w:pPr>
      <w:bookmarkStart w:id="7" w:name="_Toc139383201"/>
      <w:r w:rsidRPr="00BB1E81">
        <w:rPr>
          <w:color w:val="265A9A" w:themeColor="background2"/>
        </w:rPr>
        <w:lastRenderedPageBreak/>
        <w:t>Abbreviations</w:t>
      </w:r>
      <w:bookmarkEnd w:id="6"/>
      <w:bookmarkEnd w:id="7"/>
    </w:p>
    <w:tbl>
      <w:tblPr>
        <w:tblW w:w="5000" w:type="pct"/>
        <w:tblBorders>
          <w:bottom w:val="single" w:sz="4" w:space="0" w:color="B3B3B3"/>
          <w:insideH w:val="single" w:sz="4" w:space="0" w:color="B3B3B3"/>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Aaf&quot;:false}"/>
      </w:tblPr>
      <w:tblGrid>
        <w:gridCol w:w="1700"/>
        <w:gridCol w:w="7938"/>
      </w:tblGrid>
      <w:tr w:rsidR="009E5D9A" w:rsidRPr="00A576A1" w14:paraId="2723CA22" w14:textId="77777777" w:rsidTr="00244FBF">
        <w:tc>
          <w:tcPr>
            <w:tcW w:w="882" w:type="pct"/>
            <w:tcBorders>
              <w:top w:val="single" w:sz="4" w:space="0" w:color="B3B3B3"/>
              <w:bottom w:val="nil"/>
            </w:tcBorders>
            <w:shd w:val="clear" w:color="auto" w:fill="FFFFFF" w:themeFill="background1"/>
          </w:tcPr>
          <w:p w14:paraId="612FC1A7" w14:textId="77777777" w:rsidR="009E5D9A" w:rsidRDefault="009E5D9A" w:rsidP="00244FBF">
            <w:pPr>
              <w:spacing w:before="45" w:after="45"/>
              <w:ind w:left="57" w:right="108"/>
              <w:rPr>
                <w:rFonts w:ascii="Arial (Body)" w:hAnsi="Arial (Body)"/>
                <w:b/>
                <w:color w:val="265A9A"/>
                <w:sz w:val="18"/>
              </w:rPr>
            </w:pPr>
            <w:r w:rsidRPr="00542039">
              <w:rPr>
                <w:rFonts w:ascii="Arial (Body)" w:hAnsi="Arial (Body)"/>
                <w:b/>
                <w:color w:val="265A9A"/>
                <w:sz w:val="18"/>
              </w:rPr>
              <w:t>ABS</w:t>
            </w:r>
          </w:p>
        </w:tc>
        <w:tc>
          <w:tcPr>
            <w:tcW w:w="4118" w:type="pct"/>
            <w:tcBorders>
              <w:top w:val="single" w:sz="4" w:space="0" w:color="B3B3B3"/>
              <w:bottom w:val="nil"/>
            </w:tcBorders>
            <w:shd w:val="clear" w:color="auto" w:fill="FFFFFF" w:themeFill="background1"/>
          </w:tcPr>
          <w:p w14:paraId="00250454" w14:textId="77777777" w:rsidR="009E5D9A" w:rsidRDefault="009E5D9A" w:rsidP="00AC3749">
            <w:pPr>
              <w:spacing w:before="45" w:after="45"/>
              <w:ind w:left="57" w:right="108"/>
              <w:rPr>
                <w:rFonts w:ascii="Arial (Body)" w:hAnsi="Arial (Body)"/>
                <w:color w:val="000000"/>
                <w:sz w:val="18"/>
              </w:rPr>
            </w:pPr>
            <w:r w:rsidRPr="00E736CD">
              <w:rPr>
                <w:rFonts w:ascii="Arial (Body)" w:hAnsi="Arial (Body)"/>
                <w:color w:val="000000"/>
                <w:sz w:val="18"/>
              </w:rPr>
              <w:t>Australian Bureau of Statistics</w:t>
            </w:r>
          </w:p>
        </w:tc>
      </w:tr>
      <w:tr w:rsidR="009E5D9A" w:rsidRPr="00A576A1" w14:paraId="1F1B0995" w14:textId="77777777" w:rsidTr="00244FBF">
        <w:tc>
          <w:tcPr>
            <w:tcW w:w="882" w:type="pct"/>
            <w:tcBorders>
              <w:top w:val="nil"/>
              <w:bottom w:val="nil"/>
            </w:tcBorders>
            <w:shd w:val="clear" w:color="auto" w:fill="F2F2F2" w:themeFill="background1" w:themeFillShade="F2"/>
          </w:tcPr>
          <w:p w14:paraId="230E35FF" w14:textId="77777777" w:rsidR="009E5D9A" w:rsidRDefault="009E5D9A" w:rsidP="00AC3749">
            <w:pPr>
              <w:spacing w:before="45" w:after="45"/>
              <w:ind w:left="57" w:right="108"/>
              <w:rPr>
                <w:rFonts w:ascii="Arial (Body)" w:hAnsi="Arial (Body)"/>
                <w:b/>
                <w:color w:val="265A9A"/>
                <w:sz w:val="18"/>
              </w:rPr>
            </w:pPr>
            <w:r>
              <w:rPr>
                <w:rFonts w:ascii="Arial (Body)" w:hAnsi="Arial (Body)"/>
                <w:b/>
                <w:color w:val="265A9A"/>
                <w:sz w:val="18"/>
              </w:rPr>
              <w:t>CPI</w:t>
            </w:r>
          </w:p>
        </w:tc>
        <w:tc>
          <w:tcPr>
            <w:tcW w:w="4118" w:type="pct"/>
            <w:tcBorders>
              <w:top w:val="nil"/>
              <w:bottom w:val="nil"/>
            </w:tcBorders>
            <w:shd w:val="clear" w:color="auto" w:fill="F2F2F2" w:themeFill="background1" w:themeFillShade="F2"/>
          </w:tcPr>
          <w:p w14:paraId="733A4FF9" w14:textId="77777777" w:rsidR="009E5D9A" w:rsidRDefault="009E5D9A" w:rsidP="00AC3749">
            <w:pPr>
              <w:spacing w:before="45" w:after="45"/>
              <w:ind w:left="57" w:right="108"/>
              <w:rPr>
                <w:rFonts w:ascii="Arial (Body)" w:hAnsi="Arial (Body)"/>
                <w:color w:val="000000"/>
                <w:sz w:val="18"/>
              </w:rPr>
            </w:pPr>
            <w:r>
              <w:rPr>
                <w:rFonts w:ascii="Arial (Body)" w:hAnsi="Arial (Body)"/>
                <w:color w:val="000000"/>
                <w:sz w:val="18"/>
              </w:rPr>
              <w:t>Consumer price index</w:t>
            </w:r>
          </w:p>
        </w:tc>
      </w:tr>
      <w:tr w:rsidR="009E5D9A" w:rsidRPr="00A576A1" w14:paraId="5DF4E9D9" w14:textId="77777777" w:rsidTr="00244FBF">
        <w:tc>
          <w:tcPr>
            <w:tcW w:w="882" w:type="pct"/>
            <w:tcBorders>
              <w:top w:val="nil"/>
              <w:bottom w:val="nil"/>
            </w:tcBorders>
            <w:shd w:val="clear" w:color="auto" w:fill="FFFFFF" w:themeFill="background1"/>
          </w:tcPr>
          <w:p w14:paraId="6B4B51FF" w14:textId="77777777" w:rsidR="009E5D9A" w:rsidRDefault="009E5D9A" w:rsidP="00244FBF">
            <w:pPr>
              <w:spacing w:before="45" w:after="45"/>
              <w:ind w:left="57" w:right="108"/>
              <w:rPr>
                <w:rFonts w:ascii="Arial (Body)" w:hAnsi="Arial (Body)"/>
                <w:b/>
                <w:color w:val="265A9A"/>
                <w:sz w:val="18"/>
              </w:rPr>
            </w:pPr>
            <w:r>
              <w:rPr>
                <w:rFonts w:ascii="Arial (Body)" w:hAnsi="Arial (Body)"/>
                <w:b/>
                <w:color w:val="265A9A"/>
                <w:sz w:val="18"/>
              </w:rPr>
              <w:t>GDI</w:t>
            </w:r>
          </w:p>
        </w:tc>
        <w:tc>
          <w:tcPr>
            <w:tcW w:w="4118" w:type="pct"/>
            <w:tcBorders>
              <w:top w:val="nil"/>
              <w:bottom w:val="nil"/>
            </w:tcBorders>
            <w:shd w:val="clear" w:color="auto" w:fill="FFFFFF" w:themeFill="background1"/>
          </w:tcPr>
          <w:p w14:paraId="43959EAB" w14:textId="77777777" w:rsidR="009E5D9A" w:rsidRDefault="009E5D9A" w:rsidP="00AC3749">
            <w:pPr>
              <w:spacing w:before="45" w:after="45"/>
              <w:ind w:left="57" w:right="108"/>
              <w:rPr>
                <w:rFonts w:ascii="Arial (Body)" w:hAnsi="Arial (Body)"/>
                <w:color w:val="000000"/>
                <w:sz w:val="18"/>
              </w:rPr>
            </w:pPr>
            <w:r>
              <w:rPr>
                <w:rFonts w:ascii="Arial (Body)" w:hAnsi="Arial (Body)"/>
                <w:color w:val="000000"/>
                <w:sz w:val="18"/>
              </w:rPr>
              <w:t>Gross domestic income</w:t>
            </w:r>
          </w:p>
        </w:tc>
      </w:tr>
      <w:tr w:rsidR="009E5D9A" w:rsidRPr="00A576A1" w14:paraId="4E09262B" w14:textId="77777777" w:rsidTr="00244FBF">
        <w:tc>
          <w:tcPr>
            <w:tcW w:w="882" w:type="pct"/>
            <w:tcBorders>
              <w:top w:val="nil"/>
              <w:bottom w:val="nil"/>
            </w:tcBorders>
            <w:shd w:val="clear" w:color="auto" w:fill="F2F2F2" w:themeFill="background1" w:themeFillShade="F2"/>
          </w:tcPr>
          <w:p w14:paraId="17BC20F9" w14:textId="77777777" w:rsidR="009E5D9A" w:rsidRDefault="009E5D9A" w:rsidP="00244FBF">
            <w:pPr>
              <w:spacing w:before="45" w:after="45"/>
              <w:ind w:left="57" w:right="108"/>
              <w:rPr>
                <w:rFonts w:ascii="Arial (Body)" w:hAnsi="Arial (Body)"/>
                <w:b/>
                <w:color w:val="265A9A"/>
                <w:sz w:val="18"/>
              </w:rPr>
            </w:pPr>
            <w:r>
              <w:rPr>
                <w:rFonts w:ascii="Arial (Body)" w:hAnsi="Arial (Body)"/>
                <w:b/>
                <w:color w:val="265A9A"/>
                <w:sz w:val="18"/>
              </w:rPr>
              <w:t>GDP</w:t>
            </w:r>
          </w:p>
        </w:tc>
        <w:tc>
          <w:tcPr>
            <w:tcW w:w="4118" w:type="pct"/>
            <w:tcBorders>
              <w:top w:val="nil"/>
              <w:bottom w:val="nil"/>
            </w:tcBorders>
            <w:shd w:val="clear" w:color="auto" w:fill="F2F2F2" w:themeFill="background1" w:themeFillShade="F2"/>
          </w:tcPr>
          <w:p w14:paraId="27499C97" w14:textId="77777777" w:rsidR="009E5D9A" w:rsidRDefault="009E5D9A" w:rsidP="00244FBF">
            <w:pPr>
              <w:spacing w:before="45" w:after="45"/>
              <w:ind w:left="57" w:right="108"/>
              <w:rPr>
                <w:rFonts w:ascii="Arial (Body)" w:hAnsi="Arial (Body)"/>
                <w:color w:val="000000"/>
                <w:sz w:val="18"/>
              </w:rPr>
            </w:pPr>
            <w:r>
              <w:rPr>
                <w:rFonts w:ascii="Arial (Body)" w:hAnsi="Arial (Body)"/>
                <w:color w:val="000000"/>
                <w:sz w:val="18"/>
              </w:rPr>
              <w:t>Gross domestic product</w:t>
            </w:r>
          </w:p>
        </w:tc>
      </w:tr>
      <w:tr w:rsidR="009E5D9A" w:rsidRPr="00A576A1" w14:paraId="2835DBA9" w14:textId="77777777" w:rsidTr="00244FBF">
        <w:tc>
          <w:tcPr>
            <w:tcW w:w="882" w:type="pct"/>
            <w:tcBorders>
              <w:top w:val="nil"/>
              <w:bottom w:val="nil"/>
            </w:tcBorders>
            <w:shd w:val="clear" w:color="auto" w:fill="FFFFFF" w:themeFill="background1"/>
          </w:tcPr>
          <w:p w14:paraId="500A2D3E" w14:textId="77777777" w:rsidR="009E5D9A" w:rsidRDefault="009E5D9A" w:rsidP="00244FBF">
            <w:pPr>
              <w:spacing w:before="45" w:after="45"/>
              <w:ind w:left="57" w:right="108"/>
              <w:rPr>
                <w:rFonts w:ascii="Arial (Body)" w:hAnsi="Arial (Body)"/>
                <w:b/>
                <w:color w:val="265A9A"/>
                <w:sz w:val="18"/>
              </w:rPr>
            </w:pPr>
            <w:r>
              <w:rPr>
                <w:rFonts w:ascii="Arial (Body)" w:hAnsi="Arial (Body)"/>
                <w:b/>
                <w:color w:val="265A9A"/>
                <w:sz w:val="18"/>
              </w:rPr>
              <w:t>GFC</w:t>
            </w:r>
          </w:p>
        </w:tc>
        <w:tc>
          <w:tcPr>
            <w:tcW w:w="4118" w:type="pct"/>
            <w:tcBorders>
              <w:top w:val="nil"/>
              <w:bottom w:val="nil"/>
            </w:tcBorders>
            <w:shd w:val="clear" w:color="auto" w:fill="FFFFFF" w:themeFill="background1"/>
          </w:tcPr>
          <w:p w14:paraId="31767366" w14:textId="77777777" w:rsidR="009E5D9A" w:rsidRDefault="009E5D9A" w:rsidP="00244FBF">
            <w:pPr>
              <w:spacing w:before="45" w:after="45"/>
              <w:ind w:left="57" w:right="108"/>
              <w:rPr>
                <w:rFonts w:ascii="Arial (Body)" w:hAnsi="Arial (Body)"/>
                <w:color w:val="000000"/>
                <w:sz w:val="18"/>
              </w:rPr>
            </w:pPr>
            <w:r>
              <w:rPr>
                <w:rFonts w:ascii="Arial (Body)" w:hAnsi="Arial (Body)"/>
                <w:color w:val="000000"/>
                <w:sz w:val="18"/>
              </w:rPr>
              <w:t>Global financial crisis</w:t>
            </w:r>
          </w:p>
        </w:tc>
      </w:tr>
      <w:tr w:rsidR="009E5D9A" w:rsidRPr="00A576A1" w14:paraId="4F112E8C" w14:textId="77777777" w:rsidTr="00244FBF">
        <w:tc>
          <w:tcPr>
            <w:tcW w:w="882" w:type="pct"/>
            <w:tcBorders>
              <w:top w:val="nil"/>
              <w:bottom w:val="nil"/>
            </w:tcBorders>
            <w:shd w:val="clear" w:color="auto" w:fill="F2F2F2" w:themeFill="background1" w:themeFillShade="F2"/>
          </w:tcPr>
          <w:p w14:paraId="3538A070" w14:textId="77777777" w:rsidR="009E5D9A" w:rsidRDefault="009E5D9A" w:rsidP="00244FBF">
            <w:pPr>
              <w:spacing w:before="45" w:after="45"/>
              <w:ind w:left="57" w:right="108"/>
              <w:rPr>
                <w:rFonts w:ascii="Arial (Body)" w:hAnsi="Arial (Body)"/>
                <w:b/>
                <w:color w:val="265A9A"/>
                <w:sz w:val="18"/>
              </w:rPr>
            </w:pPr>
            <w:r>
              <w:rPr>
                <w:rFonts w:ascii="Arial (Body)" w:hAnsi="Arial (Body)"/>
                <w:b/>
                <w:color w:val="265A9A"/>
                <w:sz w:val="18"/>
              </w:rPr>
              <w:t>GNI</w:t>
            </w:r>
          </w:p>
        </w:tc>
        <w:tc>
          <w:tcPr>
            <w:tcW w:w="4118" w:type="pct"/>
            <w:tcBorders>
              <w:top w:val="nil"/>
              <w:bottom w:val="nil"/>
            </w:tcBorders>
            <w:shd w:val="clear" w:color="auto" w:fill="F2F2F2" w:themeFill="background1" w:themeFillShade="F2"/>
          </w:tcPr>
          <w:p w14:paraId="586FAB73" w14:textId="77777777" w:rsidR="009E5D9A" w:rsidRDefault="009E5D9A" w:rsidP="00244FBF">
            <w:pPr>
              <w:spacing w:before="45" w:after="45"/>
              <w:ind w:left="57" w:right="108"/>
              <w:rPr>
                <w:rFonts w:ascii="Arial (Body)" w:hAnsi="Arial (Body)"/>
                <w:color w:val="000000"/>
                <w:sz w:val="18"/>
              </w:rPr>
            </w:pPr>
            <w:r>
              <w:rPr>
                <w:rFonts w:ascii="Arial (Body)" w:hAnsi="Arial (Body)"/>
                <w:color w:val="000000"/>
                <w:sz w:val="18"/>
              </w:rPr>
              <w:t>Gross national income</w:t>
            </w:r>
            <w:r w:rsidRPr="008352A1">
              <w:rPr>
                <w:rFonts w:ascii="Arial (Body)" w:hAnsi="Arial (Body)"/>
                <w:color w:val="000000"/>
                <w:sz w:val="18"/>
              </w:rPr>
              <w:t xml:space="preserve"> </w:t>
            </w:r>
          </w:p>
        </w:tc>
      </w:tr>
      <w:tr w:rsidR="009E5D9A" w:rsidRPr="00A576A1" w14:paraId="0DB35244" w14:textId="77777777" w:rsidTr="00244FBF">
        <w:tc>
          <w:tcPr>
            <w:tcW w:w="882" w:type="pct"/>
            <w:tcBorders>
              <w:top w:val="nil"/>
              <w:bottom w:val="nil"/>
            </w:tcBorders>
            <w:shd w:val="clear" w:color="auto" w:fill="F2F2F2" w:themeFill="background1" w:themeFillShade="F2"/>
          </w:tcPr>
          <w:p w14:paraId="61338D8B" w14:textId="77777777" w:rsidR="009E5D9A" w:rsidRDefault="009E5D9A" w:rsidP="00244FBF">
            <w:pPr>
              <w:spacing w:before="45" w:after="45"/>
              <w:ind w:left="57" w:right="108"/>
              <w:rPr>
                <w:rFonts w:ascii="Arial (Body)" w:hAnsi="Arial (Body)"/>
                <w:b/>
                <w:color w:val="265A9A"/>
                <w:sz w:val="18"/>
              </w:rPr>
            </w:pPr>
            <w:r>
              <w:rPr>
                <w:rFonts w:ascii="Arial (Body)" w:hAnsi="Arial (Body)"/>
                <w:b/>
                <w:color w:val="265A9A"/>
                <w:sz w:val="18"/>
              </w:rPr>
              <w:t>GVA</w:t>
            </w:r>
          </w:p>
        </w:tc>
        <w:tc>
          <w:tcPr>
            <w:tcW w:w="4118" w:type="pct"/>
            <w:tcBorders>
              <w:top w:val="nil"/>
              <w:bottom w:val="nil"/>
            </w:tcBorders>
            <w:shd w:val="clear" w:color="auto" w:fill="F2F2F2" w:themeFill="background1" w:themeFillShade="F2"/>
          </w:tcPr>
          <w:p w14:paraId="11CA01CA" w14:textId="77777777" w:rsidR="009E5D9A" w:rsidRDefault="009E5D9A" w:rsidP="00244FBF">
            <w:pPr>
              <w:spacing w:before="45" w:after="45"/>
              <w:ind w:left="57" w:right="108"/>
              <w:rPr>
                <w:rFonts w:ascii="Arial (Body)" w:hAnsi="Arial (Body)"/>
                <w:color w:val="000000"/>
                <w:sz w:val="18"/>
              </w:rPr>
            </w:pPr>
            <w:r>
              <w:rPr>
                <w:rFonts w:ascii="Arial (Body)" w:hAnsi="Arial (Body)"/>
                <w:color w:val="000000"/>
                <w:sz w:val="18"/>
              </w:rPr>
              <w:t>Gross value added</w:t>
            </w:r>
          </w:p>
        </w:tc>
      </w:tr>
      <w:tr w:rsidR="009E5D9A" w:rsidRPr="00A576A1" w14:paraId="2BC6BF2A" w14:textId="77777777" w:rsidTr="007915CD">
        <w:tc>
          <w:tcPr>
            <w:tcW w:w="882" w:type="pct"/>
            <w:tcBorders>
              <w:top w:val="nil"/>
              <w:bottom w:val="nil"/>
            </w:tcBorders>
            <w:shd w:val="clear" w:color="auto" w:fill="FFFFFF" w:themeFill="background1"/>
          </w:tcPr>
          <w:p w14:paraId="3367B0CD" w14:textId="77777777" w:rsidR="009E5D9A" w:rsidRDefault="009E5D9A" w:rsidP="00244FBF">
            <w:pPr>
              <w:spacing w:before="45" w:after="45"/>
              <w:ind w:left="57" w:right="108"/>
              <w:rPr>
                <w:rFonts w:ascii="Arial (Body)" w:hAnsi="Arial (Body)"/>
                <w:b/>
                <w:color w:val="265A9A"/>
                <w:sz w:val="18"/>
              </w:rPr>
            </w:pPr>
            <w:r>
              <w:rPr>
                <w:rFonts w:ascii="Arial (Body)" w:hAnsi="Arial (Body)"/>
                <w:b/>
                <w:color w:val="265A9A"/>
                <w:sz w:val="18"/>
              </w:rPr>
              <w:t>MFP</w:t>
            </w:r>
          </w:p>
        </w:tc>
        <w:tc>
          <w:tcPr>
            <w:tcW w:w="4118" w:type="pct"/>
            <w:tcBorders>
              <w:top w:val="nil"/>
              <w:bottom w:val="nil"/>
            </w:tcBorders>
            <w:shd w:val="clear" w:color="auto" w:fill="FFFFFF" w:themeFill="background1"/>
          </w:tcPr>
          <w:p w14:paraId="2BF687DC" w14:textId="77777777" w:rsidR="009E5D9A" w:rsidRDefault="009E5D9A" w:rsidP="00244FBF">
            <w:pPr>
              <w:spacing w:before="45" w:after="45"/>
              <w:ind w:left="57" w:right="108"/>
              <w:rPr>
                <w:rFonts w:ascii="Arial (Body)" w:hAnsi="Arial (Body)"/>
                <w:color w:val="000000"/>
                <w:sz w:val="18"/>
              </w:rPr>
            </w:pPr>
            <w:r>
              <w:rPr>
                <w:rFonts w:ascii="Arial (Body)" w:hAnsi="Arial (Body)"/>
                <w:color w:val="000000"/>
                <w:sz w:val="18"/>
              </w:rPr>
              <w:t>Multifactor productivity</w:t>
            </w:r>
          </w:p>
        </w:tc>
      </w:tr>
      <w:tr w:rsidR="009E5D9A" w:rsidRPr="00A576A1" w14:paraId="0F812352" w14:textId="77777777" w:rsidTr="007915CD">
        <w:tc>
          <w:tcPr>
            <w:tcW w:w="882" w:type="pct"/>
            <w:tcBorders>
              <w:top w:val="nil"/>
              <w:bottom w:val="single" w:sz="4" w:space="0" w:color="BFBFBF" w:themeColor="background1" w:themeShade="BF"/>
            </w:tcBorders>
            <w:shd w:val="clear" w:color="auto" w:fill="F2F2F2" w:themeFill="background1" w:themeFillShade="F2"/>
          </w:tcPr>
          <w:p w14:paraId="02A08999" w14:textId="77777777" w:rsidR="009E5D9A" w:rsidRDefault="009E5D9A" w:rsidP="00AC3749">
            <w:pPr>
              <w:spacing w:before="45" w:after="45"/>
              <w:ind w:left="57" w:right="108"/>
              <w:rPr>
                <w:rFonts w:ascii="Arial (Body)" w:hAnsi="Arial (Body)"/>
                <w:b/>
                <w:color w:val="265A9A"/>
                <w:sz w:val="18"/>
              </w:rPr>
            </w:pPr>
            <w:r>
              <w:rPr>
                <w:rFonts w:ascii="Arial (Body)" w:hAnsi="Arial (Body)"/>
                <w:b/>
                <w:color w:val="265A9A"/>
                <w:sz w:val="18"/>
              </w:rPr>
              <w:t>RBA</w:t>
            </w:r>
          </w:p>
        </w:tc>
        <w:tc>
          <w:tcPr>
            <w:tcW w:w="4118" w:type="pct"/>
            <w:tcBorders>
              <w:top w:val="nil"/>
              <w:bottom w:val="single" w:sz="4" w:space="0" w:color="BFBFBF" w:themeColor="background1" w:themeShade="BF"/>
            </w:tcBorders>
            <w:shd w:val="clear" w:color="auto" w:fill="F2F2F2" w:themeFill="background1" w:themeFillShade="F2"/>
          </w:tcPr>
          <w:p w14:paraId="63CB762A" w14:textId="77777777" w:rsidR="009E5D9A" w:rsidRDefault="009E5D9A" w:rsidP="00244FBF">
            <w:pPr>
              <w:spacing w:before="45" w:after="45"/>
              <w:ind w:left="57" w:right="108"/>
              <w:rPr>
                <w:rFonts w:ascii="Arial (Body)" w:hAnsi="Arial (Body)"/>
                <w:color w:val="000000"/>
                <w:sz w:val="18"/>
              </w:rPr>
            </w:pPr>
            <w:r>
              <w:rPr>
                <w:rFonts w:ascii="Arial (Body)" w:hAnsi="Arial (Body)"/>
                <w:color w:val="000000"/>
                <w:sz w:val="18"/>
              </w:rPr>
              <w:t>Reserve Bank of Australia</w:t>
            </w:r>
          </w:p>
        </w:tc>
      </w:tr>
    </w:tbl>
    <w:p w14:paraId="2B565B38" w14:textId="77777777" w:rsidR="00892F68" w:rsidRDefault="00892F68" w:rsidP="00CA5231">
      <w:pPr>
        <w:sectPr w:rsidR="00892F68" w:rsidSect="004A6A31">
          <w:headerReference w:type="even" r:id="rId39"/>
          <w:headerReference w:type="default" r:id="rId40"/>
          <w:footerReference w:type="even" r:id="rId41"/>
          <w:footerReference w:type="default" r:id="rId42"/>
          <w:pgSz w:w="11906" w:h="16838" w:code="9"/>
          <w:pgMar w:top="1134" w:right="1134" w:bottom="1134" w:left="1134" w:header="794" w:footer="510" w:gutter="0"/>
          <w:cols w:space="708"/>
          <w:docGrid w:linePitch="360"/>
        </w:sectPr>
      </w:pPr>
    </w:p>
    <w:p w14:paraId="7CB0374C" w14:textId="04A94046" w:rsidR="007D15B3" w:rsidRPr="00BB1E81" w:rsidRDefault="007D15B3" w:rsidP="007D15B3">
      <w:pPr>
        <w:pStyle w:val="Heading2-nonumber"/>
        <w:rPr>
          <w:color w:val="265A9A" w:themeColor="background2"/>
        </w:rPr>
      </w:pPr>
      <w:bookmarkStart w:id="8" w:name="_Toc139383202"/>
      <w:r>
        <w:rPr>
          <w:color w:val="265A9A" w:themeColor="background2"/>
        </w:rPr>
        <w:lastRenderedPageBreak/>
        <w:t>References</w:t>
      </w:r>
      <w:bookmarkEnd w:id="8"/>
    </w:p>
    <w:p w14:paraId="4BC8C5C9" w14:textId="3B6E6171" w:rsidR="00753465" w:rsidRPr="000E2EAF" w:rsidRDefault="00753465" w:rsidP="00C1577B">
      <w:pPr>
        <w:pStyle w:val="BodyText"/>
        <w:spacing w:before="0" w:afterLines="60" w:after="144" w:line="200" w:lineRule="exact"/>
        <w:sectPr w:rsidR="00753465" w:rsidRPr="000E2EAF" w:rsidSect="00DE3005">
          <w:pgSz w:w="11906" w:h="16838" w:code="9"/>
          <w:pgMar w:top="1134" w:right="1134" w:bottom="1134" w:left="1134" w:header="794" w:footer="510" w:gutter="0"/>
          <w:cols w:space="708"/>
          <w:docGrid w:linePitch="360"/>
        </w:sectPr>
      </w:pPr>
    </w:p>
    <w:p w14:paraId="298F2DF2" w14:textId="5EB3F4A8" w:rsidR="00C1577B" w:rsidRPr="00C1577B" w:rsidRDefault="00C1577B" w:rsidP="00A81659">
      <w:pPr>
        <w:pStyle w:val="Reference"/>
      </w:pPr>
      <w:r w:rsidRPr="00C1577B">
        <w:t xml:space="preserve">ABS (Australian Bureau of Statistics) 2020, </w:t>
      </w:r>
      <w:r w:rsidRPr="00C1577B">
        <w:rPr>
          <w:i/>
          <w:iCs/>
        </w:rPr>
        <w:t>Estimates of Industry Multifactor Productivity, 2019-20 Financial Year</w:t>
      </w:r>
      <w:r w:rsidRPr="00C1577B">
        <w:t>, https://www.abs.gov.au/statistics/industry/industry-overview/estimates-industry-multifactor-productivity/2019-20 (accessed 16 June 2023).</w:t>
      </w:r>
    </w:p>
    <w:p w14:paraId="74E2704E" w14:textId="01633874" w:rsidR="00C1577B" w:rsidRPr="00C1577B" w:rsidRDefault="00FE32B8" w:rsidP="00A81659">
      <w:pPr>
        <w:pStyle w:val="Reference"/>
      </w:pPr>
      <w:r>
        <w:t xml:space="preserve">—— </w:t>
      </w:r>
      <w:r w:rsidR="00C1577B" w:rsidRPr="00C1577B">
        <w:t xml:space="preserve">2021, </w:t>
      </w:r>
      <w:r w:rsidR="00C1577B" w:rsidRPr="00C1577B">
        <w:rPr>
          <w:i/>
          <w:iCs/>
        </w:rPr>
        <w:t>Estimates of Industry Multifactor Productivity, 2020-21 financial year</w:t>
      </w:r>
      <w:r w:rsidR="00C1577B" w:rsidRPr="00C1577B">
        <w:t>, https://www.abs.gov.au/statistics/industry/</w:t>
      </w:r>
      <w:r w:rsidR="000E7DAF">
        <w:br/>
      </w:r>
      <w:r w:rsidR="00C1577B" w:rsidRPr="00C1577B">
        <w:t>industry-overview/estimates-industry-multifactor-productivity/2020-21 (accessed 22 June 2023).</w:t>
      </w:r>
    </w:p>
    <w:p w14:paraId="2DFB66E9" w14:textId="12ABC658" w:rsidR="00C1577B" w:rsidRPr="00C1577B" w:rsidRDefault="00FE32B8" w:rsidP="00A81659">
      <w:pPr>
        <w:pStyle w:val="Reference"/>
      </w:pPr>
      <w:r>
        <w:t xml:space="preserve">—— </w:t>
      </w:r>
      <w:r w:rsidR="00C1577B" w:rsidRPr="00C1577B">
        <w:t xml:space="preserve">2022a, </w:t>
      </w:r>
      <w:r w:rsidR="00C1577B" w:rsidRPr="00C1577B">
        <w:rPr>
          <w:i/>
          <w:iCs/>
        </w:rPr>
        <w:t>Australian National Accounts: State Accounts</w:t>
      </w:r>
      <w:r w:rsidR="00C1577B" w:rsidRPr="00C1577B">
        <w:t>, https://www.abs.gov.au/statistics/economy/national-accounts/australian-national-accounts-state-accounts/latest-release#:~:text=Gross%20State%20Product%20(GSP)%20volume,lockdown%20measures%20across%20the%20country. (accessed 8 June 2023).</w:t>
      </w:r>
    </w:p>
    <w:p w14:paraId="20A7B4D0" w14:textId="01E755B3" w:rsidR="00C1577B" w:rsidRPr="00C1577B" w:rsidRDefault="00FE32B8" w:rsidP="00A81659">
      <w:pPr>
        <w:pStyle w:val="Reference"/>
      </w:pPr>
      <w:r>
        <w:t xml:space="preserve">—— </w:t>
      </w:r>
      <w:r w:rsidR="00C1577B" w:rsidRPr="00C1577B">
        <w:t xml:space="preserve">2022b, </w:t>
      </w:r>
      <w:r w:rsidR="00C1577B" w:rsidRPr="00C1577B">
        <w:rPr>
          <w:i/>
          <w:iCs/>
        </w:rPr>
        <w:t>Estimates of Industry Multifactor Productivity, 2021-22 financial year</w:t>
      </w:r>
      <w:r w:rsidR="00C1577B" w:rsidRPr="00C1577B">
        <w:t>, https://www.abs.gov.au/statistics/industry/industry-overview/estimates-industry-multifactor-productivity/latest-release (accessed 30 May 2023).</w:t>
      </w:r>
    </w:p>
    <w:p w14:paraId="5CD063EE" w14:textId="084A027C" w:rsidR="00C1577B" w:rsidRPr="00C1577B" w:rsidRDefault="00FE32B8" w:rsidP="00A81659">
      <w:pPr>
        <w:pStyle w:val="Reference"/>
      </w:pPr>
      <w:r>
        <w:t xml:space="preserve">—— </w:t>
      </w:r>
      <w:r w:rsidR="00C1577B" w:rsidRPr="00C1577B">
        <w:t xml:space="preserve">2022c, </w:t>
      </w:r>
      <w:r w:rsidR="00C1577B" w:rsidRPr="00C1577B">
        <w:rPr>
          <w:i/>
          <w:iCs/>
        </w:rPr>
        <w:t>Export Commodity Prices Increase Current Account Surplus</w:t>
      </w:r>
      <w:r w:rsidR="00C1577B" w:rsidRPr="00C1577B">
        <w:t>, https://www.abs.gov.au/media-centre/media-releases/export-commodity-prices-increase-current-account-surplus#:~:text=Coal%20prices%20were%20elevated%20over,increased%20demand%20for%20Australian%20commodities. (accessed 8 June 2023).</w:t>
      </w:r>
    </w:p>
    <w:p w14:paraId="41968F88" w14:textId="3BCF76DB" w:rsidR="00C1577B" w:rsidRPr="00957B07" w:rsidRDefault="00FE32B8" w:rsidP="00A81659">
      <w:pPr>
        <w:pStyle w:val="Reference"/>
        <w:rPr>
          <w:spacing w:val="-4"/>
        </w:rPr>
      </w:pPr>
      <w:r w:rsidRPr="00957B07">
        <w:rPr>
          <w:spacing w:val="-4"/>
        </w:rPr>
        <w:t xml:space="preserve">—— </w:t>
      </w:r>
      <w:r w:rsidR="00C1577B" w:rsidRPr="00957B07">
        <w:rPr>
          <w:spacing w:val="-4"/>
        </w:rPr>
        <w:t xml:space="preserve">2023a, </w:t>
      </w:r>
      <w:r w:rsidR="00C1577B" w:rsidRPr="00957B07">
        <w:rPr>
          <w:i/>
          <w:iCs/>
          <w:spacing w:val="-4"/>
        </w:rPr>
        <w:t>12 Things That Happened in the Australian Economy During the Last Quarter</w:t>
      </w:r>
      <w:r w:rsidR="00C1577B" w:rsidRPr="00957B07">
        <w:rPr>
          <w:spacing w:val="-4"/>
        </w:rPr>
        <w:t>, https://www.abs.gov.au/articles/12-things-happened-australian-economy-during-last-quarter (accessed 30 May 2023).</w:t>
      </w:r>
    </w:p>
    <w:p w14:paraId="480D27BA" w14:textId="6A3F74EF" w:rsidR="00C1577B" w:rsidRPr="00C1577B" w:rsidRDefault="00FE32B8" w:rsidP="00A81659">
      <w:pPr>
        <w:pStyle w:val="Reference"/>
      </w:pPr>
      <w:r>
        <w:t xml:space="preserve">—— </w:t>
      </w:r>
      <w:r w:rsidR="00C1577B" w:rsidRPr="00C1577B">
        <w:t xml:space="preserve">2023b, </w:t>
      </w:r>
      <w:r w:rsidR="00C1577B" w:rsidRPr="00C1577B">
        <w:rPr>
          <w:i/>
          <w:iCs/>
        </w:rPr>
        <w:t>Australia Records a Current Account Surplus of $14.1b</w:t>
      </w:r>
      <w:r w:rsidR="00C1577B" w:rsidRPr="00C1577B">
        <w:t>, https://www.abs.gov.au/media-centre/media-releases/australia-records-current-account-surplus-141b (accessed 30 May 2023).</w:t>
      </w:r>
    </w:p>
    <w:p w14:paraId="3BB9E3CF" w14:textId="5679685F" w:rsidR="00C1577B" w:rsidRPr="00957B07" w:rsidRDefault="00FE32B8" w:rsidP="00A81659">
      <w:pPr>
        <w:pStyle w:val="Reference"/>
        <w:rPr>
          <w:spacing w:val="-4"/>
        </w:rPr>
      </w:pPr>
      <w:r w:rsidRPr="00957B07">
        <w:rPr>
          <w:spacing w:val="-4"/>
        </w:rPr>
        <w:t xml:space="preserve">—— </w:t>
      </w:r>
      <w:r w:rsidR="00C1577B" w:rsidRPr="00957B07">
        <w:rPr>
          <w:spacing w:val="-4"/>
        </w:rPr>
        <w:t xml:space="preserve">2023c, </w:t>
      </w:r>
      <w:r w:rsidR="00C1577B" w:rsidRPr="00957B07">
        <w:rPr>
          <w:i/>
          <w:iCs/>
          <w:spacing w:val="-4"/>
        </w:rPr>
        <w:t>Australian National Accounts: National Income, Expenditure and Product, March 2023</w:t>
      </w:r>
      <w:r w:rsidR="00C1577B" w:rsidRPr="00957B07">
        <w:rPr>
          <w:spacing w:val="-4"/>
        </w:rPr>
        <w:t>, https://www.abs.gov.au/</w:t>
      </w:r>
      <w:r w:rsidR="000E7DAF">
        <w:rPr>
          <w:spacing w:val="-4"/>
        </w:rPr>
        <w:br/>
      </w:r>
      <w:r w:rsidR="00C1577B" w:rsidRPr="00957B07">
        <w:rPr>
          <w:spacing w:val="-4"/>
        </w:rPr>
        <w:t>statistics/economy/national-accounts/australian-national-accounts-national-income-expenditure-and-product/latest-release (accessed 8 June 2023).</w:t>
      </w:r>
    </w:p>
    <w:p w14:paraId="656562D9" w14:textId="497633C7" w:rsidR="00C1577B" w:rsidRPr="00C1577B" w:rsidRDefault="00FE32B8" w:rsidP="00A81659">
      <w:pPr>
        <w:pStyle w:val="Reference"/>
      </w:pPr>
      <w:r>
        <w:t xml:space="preserve">—— </w:t>
      </w:r>
      <w:r w:rsidR="00C1577B" w:rsidRPr="00C1577B">
        <w:t xml:space="preserve">2023d, </w:t>
      </w:r>
      <w:r w:rsidR="00C1577B" w:rsidRPr="00C1577B">
        <w:rPr>
          <w:i/>
          <w:iCs/>
        </w:rPr>
        <w:t>Consumer Price Index, Australia, March Quarter 2023</w:t>
      </w:r>
      <w:r w:rsidR="00C1577B" w:rsidRPr="00C1577B">
        <w:t>, https://www.abs.gov.au/statistics/economy/price-indexes-and-inflation/consumer-price-index-australia/latest-release (accessed 30 May 2023).</w:t>
      </w:r>
    </w:p>
    <w:p w14:paraId="7D8E1930" w14:textId="4E922562" w:rsidR="00C1577B" w:rsidRPr="00C1577B" w:rsidRDefault="00FE32B8" w:rsidP="00A81659">
      <w:pPr>
        <w:pStyle w:val="Reference"/>
      </w:pPr>
      <w:r>
        <w:t xml:space="preserve">—— </w:t>
      </w:r>
      <w:r w:rsidR="00C1577B" w:rsidRPr="00C1577B">
        <w:t xml:space="preserve">2023e, </w:t>
      </w:r>
      <w:r w:rsidR="00C1577B" w:rsidRPr="00C1577B">
        <w:rPr>
          <w:i/>
          <w:iCs/>
        </w:rPr>
        <w:t>Impacts of Flooding in December Quarter 2022</w:t>
      </w:r>
      <w:r w:rsidR="00C1577B" w:rsidRPr="00C1577B">
        <w:t>, https://www.abs.gov.au/articles/impacts-flooding-december-quarter-2022 (accessed 30 May 2023).</w:t>
      </w:r>
    </w:p>
    <w:p w14:paraId="4F693807" w14:textId="3D5BFD83" w:rsidR="00C1577B" w:rsidRPr="00C1577B" w:rsidRDefault="00FE32B8" w:rsidP="00A81659">
      <w:pPr>
        <w:pStyle w:val="Reference"/>
      </w:pPr>
      <w:r>
        <w:t xml:space="preserve">—— </w:t>
      </w:r>
      <w:r w:rsidR="00C1577B" w:rsidRPr="00C1577B">
        <w:t xml:space="preserve">2023f, </w:t>
      </w:r>
      <w:r w:rsidR="00C1577B" w:rsidRPr="00C1577B">
        <w:rPr>
          <w:i/>
          <w:iCs/>
        </w:rPr>
        <w:t>Labour Force, Australia, April 2023</w:t>
      </w:r>
      <w:r w:rsidR="00C1577B" w:rsidRPr="00C1577B">
        <w:t>, https://www.abs.gov.au/statistics/labour/employment-and-unemployment/labour-force-australia/latest-release (accessed 30 May 2023).</w:t>
      </w:r>
    </w:p>
    <w:p w14:paraId="12974C79" w14:textId="7C7486B7" w:rsidR="00C1577B" w:rsidRPr="00A81659" w:rsidRDefault="00C1577B" w:rsidP="00A81659">
      <w:pPr>
        <w:pStyle w:val="Reference"/>
        <w:rPr>
          <w:spacing w:val="-4"/>
        </w:rPr>
      </w:pPr>
      <w:r w:rsidRPr="00A81659">
        <w:rPr>
          <w:spacing w:val="-4"/>
        </w:rPr>
        <w:t xml:space="preserve">Andrews, D, Bahar, E and Hambur, J 2021, </w:t>
      </w:r>
      <w:r w:rsidRPr="00A81659">
        <w:rPr>
          <w:i/>
          <w:iCs/>
          <w:spacing w:val="-4"/>
        </w:rPr>
        <w:t>The COVID-19 Shock and Productivity-Enhancing Reallocation in Australia: Real-time evidence from Single Touch Payroll</w:t>
      </w:r>
      <w:r w:rsidRPr="00A81659">
        <w:rPr>
          <w:spacing w:val="-4"/>
        </w:rPr>
        <w:t>, OECD Economics Department Working Papers, 22 July, vol 1677, OECD Economics Department Working Papers, https://www.oecd-ilibrary.org/</w:t>
      </w:r>
      <w:r w:rsidR="00A81659">
        <w:rPr>
          <w:spacing w:val="-4"/>
        </w:rPr>
        <w:br/>
      </w:r>
      <w:r w:rsidRPr="00A81659">
        <w:rPr>
          <w:spacing w:val="-4"/>
        </w:rPr>
        <w:t>economics/the-covid-19-shock-and-productivity-enhancing-reallocation-in-australia-real-time-evidence-from-single-touch-payroll_2f6e7cb1-en (accessed 13 June 2023).</w:t>
      </w:r>
    </w:p>
    <w:p w14:paraId="515D6EF6" w14:textId="77777777" w:rsidR="00C1577B" w:rsidRPr="00C1577B" w:rsidRDefault="00C1577B" w:rsidP="00A81659">
      <w:pPr>
        <w:pStyle w:val="Reference"/>
      </w:pPr>
      <w:r w:rsidRPr="00C1577B">
        <w:t xml:space="preserve">Antje 2022, </w:t>
      </w:r>
      <w:r w:rsidRPr="00C1577B">
        <w:rPr>
          <w:i/>
          <w:iCs/>
        </w:rPr>
        <w:t>Australian Campaign Case Study: Divestment Campaign 2013 - 2021</w:t>
      </w:r>
      <w:r w:rsidRPr="00C1577B">
        <w:t>, The Commons, https://commonslibrary.org/campaign-case-study-divestment-campaign-2013-2021/ (accessed 13 June 2023).</w:t>
      </w:r>
    </w:p>
    <w:p w14:paraId="0876A544" w14:textId="77777777" w:rsidR="00C1577B" w:rsidRPr="00C1577B" w:rsidRDefault="00C1577B" w:rsidP="00A81659">
      <w:pPr>
        <w:pStyle w:val="Reference"/>
      </w:pPr>
      <w:r w:rsidRPr="00C1577B">
        <w:t xml:space="preserve">Birinci, S, Karahan, F, Mercan, Y and See, KG 2020, </w:t>
      </w:r>
      <w:r w:rsidRPr="00C1577B">
        <w:rPr>
          <w:i/>
          <w:iCs/>
        </w:rPr>
        <w:t>Labor Market Policies during an Epidemic</w:t>
      </w:r>
      <w:r w:rsidRPr="00C1577B">
        <w:t>, October, Federal Reserve Bank of New York, New York.</w:t>
      </w:r>
    </w:p>
    <w:p w14:paraId="4AAEE9A2" w14:textId="77777777" w:rsidR="00C1577B" w:rsidRPr="00C1577B" w:rsidRDefault="00C1577B" w:rsidP="00A81659">
      <w:pPr>
        <w:pStyle w:val="Reference"/>
      </w:pPr>
      <w:r w:rsidRPr="00C1577B">
        <w:t xml:space="preserve">Black, S and Chow, E 2022, </w:t>
      </w:r>
      <w:r w:rsidRPr="00C1577B">
        <w:rPr>
          <w:i/>
          <w:iCs/>
        </w:rPr>
        <w:t>Job Mobility in Australia During the Covid-19 Pandemic</w:t>
      </w:r>
      <w:r w:rsidRPr="00C1577B">
        <w:t>, 16 June.</w:t>
      </w:r>
    </w:p>
    <w:p w14:paraId="3345D414" w14:textId="77777777" w:rsidR="00C1577B" w:rsidRPr="00C1577B" w:rsidRDefault="00C1577B" w:rsidP="00A81659">
      <w:pPr>
        <w:pStyle w:val="Reference"/>
      </w:pPr>
      <w:r w:rsidRPr="00C1577B">
        <w:t xml:space="preserve">DAFF (Department of Agriculture, Fisheries and Forestry) 2023, </w:t>
      </w:r>
      <w:r w:rsidRPr="00C1577B">
        <w:rPr>
          <w:i/>
          <w:iCs/>
        </w:rPr>
        <w:t>Productivity Drivers</w:t>
      </w:r>
      <w:r w:rsidRPr="00C1577B">
        <w:t>, https://www.agriculture.gov.au/abares/research-topics/productivity/productivity-drivers#financial-capacity (accessed 14 June 2023).</w:t>
      </w:r>
    </w:p>
    <w:p w14:paraId="18E5D025" w14:textId="77777777" w:rsidR="00C1577B" w:rsidRPr="00C1577B" w:rsidRDefault="00C1577B" w:rsidP="00A81659">
      <w:pPr>
        <w:pStyle w:val="Reference"/>
      </w:pPr>
      <w:r w:rsidRPr="00C1577B">
        <w:t xml:space="preserve">Debelle, G 2017, </w:t>
      </w:r>
      <w:r w:rsidRPr="00C1577B">
        <w:rPr>
          <w:i/>
          <w:iCs/>
        </w:rPr>
        <w:t>Business Investment in Australia</w:t>
      </w:r>
      <w:r w:rsidRPr="00C1577B">
        <w:t>, Reserve Bank of Australia, https://www.rba.gov.au/speeches/2017/sp-dg-2017-11-13.html (accessed 8 June 2023).</w:t>
      </w:r>
    </w:p>
    <w:p w14:paraId="436EDCDB" w14:textId="77777777" w:rsidR="00C1577B" w:rsidRPr="00C1577B" w:rsidRDefault="00C1577B" w:rsidP="00A81659">
      <w:pPr>
        <w:pStyle w:val="Reference"/>
      </w:pPr>
      <w:r w:rsidRPr="00C1577B">
        <w:t xml:space="preserve">Farhi, E and Gourio, F 2018, ‘Accounting for Macro-Finance Trends: Market Power, Intangibles, and Risk Premia’, </w:t>
      </w:r>
      <w:r w:rsidRPr="00C1577B">
        <w:rPr>
          <w:i/>
          <w:iCs/>
        </w:rPr>
        <w:t>Brookings Papers on Economic Activity</w:t>
      </w:r>
      <w:r w:rsidRPr="00C1577B">
        <w:t>, pp. 147–223.</w:t>
      </w:r>
    </w:p>
    <w:p w14:paraId="0F1B86FE" w14:textId="77777777" w:rsidR="00C1577B" w:rsidRPr="00C1577B" w:rsidRDefault="00C1577B" w:rsidP="00A81659">
      <w:pPr>
        <w:pStyle w:val="Reference"/>
      </w:pPr>
      <w:r w:rsidRPr="00C1577B">
        <w:t xml:space="preserve">Hambur, J and Andrews, D 2023, </w:t>
      </w:r>
      <w:r w:rsidRPr="00C1577B">
        <w:rPr>
          <w:i/>
          <w:iCs/>
        </w:rPr>
        <w:t>Doing Less, with Less: Capital Misallocation, Investment and the Productivity Slowdown in Australia</w:t>
      </w:r>
      <w:r w:rsidRPr="00C1577B">
        <w:t>, March, Reserve Bank of Australia.</w:t>
      </w:r>
    </w:p>
    <w:p w14:paraId="2E16720D" w14:textId="607A1C5B" w:rsidR="00C1577B" w:rsidRPr="00C1577B" w:rsidRDefault="00C1577B" w:rsidP="00A81659">
      <w:pPr>
        <w:pStyle w:val="Reference"/>
      </w:pPr>
      <w:r w:rsidRPr="00C1577B">
        <w:t xml:space="preserve">—— and Jenner, K 2019, </w:t>
      </w:r>
      <w:r w:rsidRPr="00C1577B">
        <w:rPr>
          <w:i/>
          <w:iCs/>
        </w:rPr>
        <w:t>Can Structural Change Account for the Low Level of Non-mining Investment?</w:t>
      </w:r>
      <w:r w:rsidRPr="00C1577B">
        <w:t>, Reserve Bank of Australia, https://www.rba.gov.au/publications/bulletin/2019/</w:t>
      </w:r>
      <w:r w:rsidR="00957B07">
        <w:br/>
      </w:r>
      <w:r w:rsidRPr="00C1577B">
        <w:t>jun/can-structural-change-account-for-the-low-level-of-non-mining-investment.html (accessed 8 June 2023).</w:t>
      </w:r>
    </w:p>
    <w:p w14:paraId="2E2223E8" w14:textId="77777777" w:rsidR="00C1577B" w:rsidRPr="00957B07" w:rsidRDefault="00C1577B" w:rsidP="00A81659">
      <w:pPr>
        <w:pStyle w:val="Reference"/>
        <w:rPr>
          <w:spacing w:val="-4"/>
        </w:rPr>
      </w:pPr>
      <w:r w:rsidRPr="00957B07">
        <w:rPr>
          <w:spacing w:val="-4"/>
        </w:rPr>
        <w:t xml:space="preserve">Jenner, K, Walker, A, Close, C and Saunders, T 2018, </w:t>
      </w:r>
      <w:r w:rsidRPr="00957B07">
        <w:rPr>
          <w:i/>
          <w:iCs/>
          <w:spacing w:val="-4"/>
        </w:rPr>
        <w:t>Mining Investment Beyond the Boom</w:t>
      </w:r>
      <w:r w:rsidRPr="00957B07">
        <w:rPr>
          <w:spacing w:val="-4"/>
        </w:rPr>
        <w:t>, March, Reserve Bank of Australia.</w:t>
      </w:r>
    </w:p>
    <w:p w14:paraId="6EC8442F" w14:textId="77777777" w:rsidR="00C1577B" w:rsidRPr="00C1577B" w:rsidRDefault="00C1577B" w:rsidP="00A81659">
      <w:pPr>
        <w:pStyle w:val="Reference"/>
      </w:pPr>
      <w:r w:rsidRPr="00C1577B">
        <w:t xml:space="preserve">van der Merwe, M, Cockrell, L, Chambers, M and Jääskelä, J 2018, </w:t>
      </w:r>
      <w:r w:rsidRPr="00C1577B">
        <w:rPr>
          <w:i/>
          <w:iCs/>
        </w:rPr>
        <w:t>Private Non-mining Investment in Australia</w:t>
      </w:r>
      <w:r w:rsidRPr="00C1577B">
        <w:t>, June, Reserve Bank of Australia.</w:t>
      </w:r>
    </w:p>
    <w:p w14:paraId="13ECB52A" w14:textId="77777777" w:rsidR="00C1577B" w:rsidRPr="00C1577B" w:rsidRDefault="00C1577B" w:rsidP="00A81659">
      <w:pPr>
        <w:pStyle w:val="Reference"/>
      </w:pPr>
      <w:r w:rsidRPr="00C1577B">
        <w:t xml:space="preserve">PC (Productivity Commission) 2020, </w:t>
      </w:r>
      <w:r w:rsidRPr="00C1577B">
        <w:rPr>
          <w:i/>
          <w:iCs/>
        </w:rPr>
        <w:t>Why Did Young People’s Incomes Decline?</w:t>
      </w:r>
      <w:r w:rsidRPr="00C1577B">
        <w:t>, Commission Research Paper, Canberra.</w:t>
      </w:r>
    </w:p>
    <w:p w14:paraId="7AEEC9EC" w14:textId="2FAB7A28" w:rsidR="00C1577B" w:rsidRPr="00C1577B" w:rsidRDefault="00C1577B" w:rsidP="00A81659">
      <w:pPr>
        <w:pStyle w:val="Reference"/>
      </w:pPr>
      <w:r w:rsidRPr="00C1577B">
        <w:t>——</w:t>
      </w:r>
      <w:r w:rsidR="00957B07">
        <w:t xml:space="preserve"> </w:t>
      </w:r>
      <w:r w:rsidRPr="00C1577B">
        <w:t xml:space="preserve">2021, </w:t>
      </w:r>
      <w:r w:rsidRPr="00C1577B">
        <w:rPr>
          <w:i/>
          <w:iCs/>
        </w:rPr>
        <w:t>What is Productivity?</w:t>
      </w:r>
      <w:r w:rsidRPr="00C1577B">
        <w:t>, https://www.pc.gov.au/what-is-productivity (accessed 8 June 2023).</w:t>
      </w:r>
    </w:p>
    <w:p w14:paraId="35C54F62" w14:textId="4F6FA846" w:rsidR="00C1577B" w:rsidRPr="00C1577B" w:rsidRDefault="00FE32B8" w:rsidP="00A81659">
      <w:pPr>
        <w:pStyle w:val="Reference"/>
      </w:pPr>
      <w:r>
        <w:t xml:space="preserve">—— </w:t>
      </w:r>
      <w:r w:rsidR="00C1577B" w:rsidRPr="00C1577B">
        <w:t xml:space="preserve">2022, </w:t>
      </w:r>
      <w:r w:rsidR="00C1577B" w:rsidRPr="00C1577B">
        <w:rPr>
          <w:i/>
          <w:iCs/>
        </w:rPr>
        <w:t>5-year Productivity Inquiry: The Key to Prosperity</w:t>
      </w:r>
      <w:r w:rsidR="00C1577B" w:rsidRPr="00C1577B">
        <w:t>, Interim Report 1, Canberra, July.</w:t>
      </w:r>
    </w:p>
    <w:p w14:paraId="6D8324C3" w14:textId="10485F11" w:rsidR="00C1577B" w:rsidRPr="00A81659" w:rsidRDefault="00FE32B8" w:rsidP="00A81659">
      <w:pPr>
        <w:pStyle w:val="Reference"/>
        <w:rPr>
          <w:spacing w:val="-4"/>
        </w:rPr>
      </w:pPr>
      <w:r w:rsidRPr="00A81659">
        <w:rPr>
          <w:spacing w:val="-4"/>
        </w:rPr>
        <w:t xml:space="preserve">—— </w:t>
      </w:r>
      <w:r w:rsidR="00C1577B" w:rsidRPr="00A81659">
        <w:rPr>
          <w:spacing w:val="-4"/>
        </w:rPr>
        <w:t xml:space="preserve">2023a, </w:t>
      </w:r>
      <w:r w:rsidR="00C1577B" w:rsidRPr="00A81659">
        <w:rPr>
          <w:i/>
          <w:iCs/>
          <w:spacing w:val="-4"/>
        </w:rPr>
        <w:t>5-year Productivity inquiry: A competitive, dynamic and sustainable future</w:t>
      </w:r>
      <w:r w:rsidR="00C1577B" w:rsidRPr="00A81659">
        <w:rPr>
          <w:spacing w:val="-4"/>
        </w:rPr>
        <w:t>, Inquiry Report no. 100, Vol. 3, Canberra.</w:t>
      </w:r>
    </w:p>
    <w:p w14:paraId="5B263597" w14:textId="4DA5B3D2" w:rsidR="00C1577B" w:rsidRPr="00C1577B" w:rsidRDefault="00FE32B8" w:rsidP="00A81659">
      <w:pPr>
        <w:pStyle w:val="Reference"/>
      </w:pPr>
      <w:r>
        <w:t xml:space="preserve">—— </w:t>
      </w:r>
      <w:r w:rsidR="00C1577B" w:rsidRPr="00C1577B">
        <w:t xml:space="preserve">2023b, </w:t>
      </w:r>
      <w:r w:rsidR="00C1577B" w:rsidRPr="00C1577B">
        <w:rPr>
          <w:i/>
          <w:iCs/>
        </w:rPr>
        <w:t>5-year Productivity Inquiry: Advancing Prosperity</w:t>
      </w:r>
      <w:r w:rsidR="00C1577B" w:rsidRPr="00C1577B">
        <w:t>, Inquiry Report no. 100, Vol. 1, Canberra.</w:t>
      </w:r>
    </w:p>
    <w:p w14:paraId="63E2B94B" w14:textId="77777777" w:rsidR="00C1577B" w:rsidRPr="00C1577B" w:rsidRDefault="00C1577B" w:rsidP="00A81659">
      <w:pPr>
        <w:pStyle w:val="Reference"/>
      </w:pPr>
      <w:r w:rsidRPr="00C1577B">
        <w:t xml:space="preserve">RBA (Reserve Bank of Australia) 2023a, </w:t>
      </w:r>
      <w:r w:rsidRPr="00C1577B">
        <w:rPr>
          <w:i/>
          <w:iCs/>
        </w:rPr>
        <w:t>Cash Rate Target | RBA</w:t>
      </w:r>
      <w:r w:rsidRPr="00C1577B">
        <w:t>, https://www.rba.gov.au/statistics/cash-rate/ (accessed 30 May 2023).</w:t>
      </w:r>
    </w:p>
    <w:p w14:paraId="0BEB717A" w14:textId="658170B6" w:rsidR="00C1577B" w:rsidRPr="00C1577B" w:rsidRDefault="00C1577B" w:rsidP="00A81659">
      <w:pPr>
        <w:pStyle w:val="Reference"/>
      </w:pPr>
      <w:r w:rsidRPr="00C1577B">
        <w:t xml:space="preserve">—— 2023b, </w:t>
      </w:r>
      <w:r w:rsidRPr="00C1577B">
        <w:rPr>
          <w:i/>
          <w:iCs/>
        </w:rPr>
        <w:t>Composition of the Australian Economy Snapshot</w:t>
      </w:r>
      <w:r w:rsidRPr="00C1577B">
        <w:t>, Reserve Bank of Australia, http://www.rba.gov.au/education/resources/snapshots/economy-composition-snapshot/index.html (accessed 8 June 2023).</w:t>
      </w:r>
    </w:p>
    <w:p w14:paraId="485498ED" w14:textId="1BE942CA" w:rsidR="00E43F4A" w:rsidRDefault="00E43F4A" w:rsidP="00A81659">
      <w:pPr>
        <w:pStyle w:val="Reference"/>
        <w:sectPr w:rsidR="00E43F4A" w:rsidSect="0007141B">
          <w:type w:val="continuous"/>
          <w:pgSz w:w="11906" w:h="16838" w:code="9"/>
          <w:pgMar w:top="1134" w:right="1134" w:bottom="1134" w:left="1134" w:header="794" w:footer="510" w:gutter="0"/>
          <w:cols w:num="2" w:space="708"/>
          <w:docGrid w:linePitch="360"/>
        </w:sectPr>
      </w:pPr>
    </w:p>
    <w:p w14:paraId="1E9238F9" w14:textId="11193D37" w:rsidR="00D5370F" w:rsidRDefault="00D5370F" w:rsidP="00A81659">
      <w:pPr>
        <w:pStyle w:val="Reference"/>
      </w:pPr>
    </w:p>
    <w:sectPr w:rsidR="00D5370F" w:rsidSect="0007141B">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C928" w14:textId="77777777" w:rsidR="00DA0DF4" w:rsidRDefault="00DA0DF4" w:rsidP="008017BC">
      <w:r>
        <w:separator/>
      </w:r>
    </w:p>
    <w:p w14:paraId="2AECE1F1" w14:textId="77777777" w:rsidR="00DA0DF4" w:rsidRDefault="00DA0DF4"/>
  </w:endnote>
  <w:endnote w:type="continuationSeparator" w:id="0">
    <w:p w14:paraId="34E5BACC" w14:textId="77777777" w:rsidR="00DA0DF4" w:rsidRDefault="00DA0DF4" w:rsidP="008017BC">
      <w:r>
        <w:continuationSeparator/>
      </w:r>
    </w:p>
    <w:p w14:paraId="6C3BE2D2" w14:textId="77777777" w:rsidR="00DA0DF4" w:rsidRDefault="00DA0DF4"/>
  </w:endnote>
  <w:endnote w:type="continuationNotice" w:id="1">
    <w:p w14:paraId="63269B3F" w14:textId="77777777" w:rsidR="00DA0DF4" w:rsidRDefault="00DA0D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0D2" w14:textId="77777777" w:rsidR="00F04EA7" w:rsidRPr="00187F05" w:rsidRDefault="00F04EA7"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C89E" w14:textId="77777777" w:rsidR="00C31E23" w:rsidRDefault="00C31E23">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7653" w14:textId="77777777" w:rsidR="00F04EA7" w:rsidRDefault="00C31E23">
    <w:pPr>
      <w:pStyle w:val="Footer"/>
    </w:pPr>
    <w:r>
      <w:fldChar w:fldCharType="begin"/>
    </w:r>
    <w:r>
      <w:instrText xml:space="preserve"> PAGE   \* MERGEFORMAT </w:instrText>
    </w:r>
    <w:r>
      <w:fldChar w:fldCharType="separate"/>
    </w:r>
    <w:r>
      <w:rPr>
        <w:noProof/>
      </w:rPr>
      <w:t>1</w:t>
    </w:r>
    <w:r>
      <w:rPr>
        <w:noProof/>
      </w:rPr>
      <w:fldChar w:fldCharType="end"/>
    </w:r>
    <w:r w:rsidR="00F04EA7">
      <w:rPr>
        <w:noProof/>
      </w:rPr>
      <mc:AlternateContent>
        <mc:Choice Requires="wps">
          <w:drawing>
            <wp:anchor distT="0" distB="0" distL="114300" distR="114300" simplePos="0" relativeHeight="251658241" behindDoc="0" locked="1" layoutInCell="1" allowOverlap="1" wp14:anchorId="6ED0476E" wp14:editId="4E6B8112">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C9B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C2D9C" id="Rectangle 11" o:spid="_x0000_s1026" alt="&quot;&quot;" style="position:absolute;margin-left:0;margin-top:0;width:595.3pt;height:566.9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" fillcolor="#2c9bc2"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4C2E"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247B109C"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5327" w14:textId="77777777" w:rsidR="009E5D9A" w:rsidRDefault="009E5D9A"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90641"/>
      <w:docPartObj>
        <w:docPartGallery w:val="Page Numbers (Bottom of Page)"/>
        <w:docPartUnique/>
      </w:docPartObj>
    </w:sdtPr>
    <w:sdtContent>
      <w:sdt>
        <w:sdtPr>
          <w:id w:val="1618327403"/>
          <w:docPartObj>
            <w:docPartGallery w:val="Page Numbers (Top of Page)"/>
            <w:docPartUnique/>
          </w:docPartObj>
        </w:sdtPr>
        <w:sdtContent>
          <w:p w14:paraId="05C99895" w14:textId="77EE396E" w:rsidR="009E5D9A" w:rsidRDefault="009E5D9A"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3D74" w14:textId="77777777" w:rsidR="00DA0DF4" w:rsidRPr="00C238D1" w:rsidRDefault="00DA0DF4" w:rsidP="00273E86">
      <w:pPr>
        <w:spacing w:after="0" w:line="240" w:lineRule="auto"/>
        <w:rPr>
          <w:rStyle w:val="ColourDarkBlue"/>
        </w:rPr>
      </w:pPr>
      <w:r w:rsidRPr="00C238D1">
        <w:rPr>
          <w:rStyle w:val="ColourDarkBlue"/>
        </w:rPr>
        <w:continuationSeparator/>
      </w:r>
    </w:p>
  </w:footnote>
  <w:footnote w:type="continuationSeparator" w:id="0">
    <w:p w14:paraId="46E50D67" w14:textId="77777777" w:rsidR="00DA0DF4" w:rsidRPr="001D7D9B" w:rsidRDefault="00DA0DF4" w:rsidP="001D7D9B">
      <w:pPr>
        <w:spacing w:after="0" w:line="240" w:lineRule="auto"/>
        <w:rPr>
          <w:color w:val="265A9A" w:themeColor="background2"/>
        </w:rPr>
      </w:pPr>
      <w:r w:rsidRPr="00C238D1">
        <w:rPr>
          <w:rStyle w:val="ColourDarkBlue"/>
        </w:rPr>
        <w:continuationSeparator/>
      </w:r>
    </w:p>
  </w:footnote>
  <w:footnote w:type="continuationNotice" w:id="1">
    <w:p w14:paraId="208939CB" w14:textId="77777777" w:rsidR="00DA0DF4" w:rsidRDefault="00DA0DF4"/>
  </w:footnote>
  <w:footnote w:id="2">
    <w:p w14:paraId="6CC42A39" w14:textId="77777777" w:rsidR="009E5D9A" w:rsidRDefault="009E5D9A">
      <w:pPr>
        <w:pStyle w:val="FootnoteText"/>
      </w:pPr>
      <w:r w:rsidRPr="007D15B3">
        <w:rPr>
          <w:rStyle w:val="FootnoteReference"/>
        </w:rPr>
        <w:footnoteRef/>
      </w:r>
      <w:r>
        <w:t xml:space="preserve"> But also other resources such as land, energy, environmental services, and other unpriced public goods.</w:t>
      </w:r>
    </w:p>
  </w:footnote>
  <w:footnote w:id="3">
    <w:p w14:paraId="3C94C20C" w14:textId="77777777" w:rsidR="009E5D9A" w:rsidRDefault="009E5D9A">
      <w:pPr>
        <w:pStyle w:val="FootnoteText"/>
      </w:pPr>
      <w:r w:rsidRPr="007D15B3">
        <w:rPr>
          <w:rStyle w:val="FootnoteReference"/>
        </w:rPr>
        <w:footnoteRef/>
      </w:r>
      <w:r>
        <w:t xml:space="preserve"> By an amount worth more than any additional resources required to improve them.</w:t>
      </w:r>
    </w:p>
  </w:footnote>
  <w:footnote w:id="4">
    <w:p w14:paraId="31E50B38" w14:textId="5C565BE1" w:rsidR="009E5D9A" w:rsidRPr="00AF2E4B" w:rsidRDefault="009E5D9A">
      <w:pPr>
        <w:pStyle w:val="FootnoteText"/>
        <w:rPr>
          <w:lang w:val="en-US"/>
        </w:rPr>
      </w:pPr>
      <w:r w:rsidRPr="007D15B3">
        <w:rPr>
          <w:rStyle w:val="FootnoteReference"/>
        </w:rPr>
        <w:footnoteRef/>
      </w:r>
      <w:r>
        <w:t xml:space="preserve"> Evidence suggests the COVID-19 pandemic led to a productivity-enhancing reallocation of labour </w:t>
      </w:r>
      <w:r>
        <w:fldChar w:fldCharType="begin"/>
      </w:r>
      <w:r w:rsidR="004320BE">
        <w:instrText xml:space="preserve"> ADDIN ZOTERO_ITEM CSL_CITATION {"citationID":"S70Q4jD5","properties":{"formattedCitation":"(Andrews et al.\\uc0\\u160{}2021; Birinci et al.\\uc0\\u160{}2020)","plainCitation":"(Andrews et al. 2021; Birinci et al. 2020)","noteIndex":3},"citationItems":[{"id":4106,"uris":["http://zotero.org/groups/5086540/items/JRRA6SFE"],"itemData":{"id":4106,"type":"report","event-place":"New York","language":"en","publisher":"Federal Reserve Bank of New York","publisher-place":"New York","source":"DOI.org (Crossref)","title":"Labor Market Policies during an Epidemic","URL":"https://www.ssrn.com/abstract=3716507","author":[{"family":"Birinci","given":"Serdar"},{"family":"Karahan","given":"Fatih"},{"family":"Mercan","given":"Yusuf"},{"family":"See","given":"Kurt Gerrard"}],"issued":{"date-parts":[["2020",10]]}}},{"id":4107,"uris":["http://zotero.org/groups/5086540/items/FLZCUAY9"],"itemData":{"id":4107,"type":"report","genre":"OECD Economics Department Working Papers","language":"en","note":"collection-title: OECD Economics Department Working Papers\nvolume: 1677\nDOI: 10.1787/2f6e7cb1-en","source":"DOI.org (Crossref)","title":"The COVID-19 Shock and Productivity-Enhancing Reallocation in Australia: Real-time evidence from Single Touch Payroll","title-short":"The COVID-19 Shock and Productivity-Enhancing Reallocation in Australia","URL":"https://www.oecd-ilibrary.org/economics/the-covid-19-shock-and-productivity-enhancing-reallocation-in-australia-real-time-evidence-from-single-touch-payroll_2f6e7cb1-en","author":[{"family":"Andrews","given":"Dan"},{"family":"Bahar","given":"Elif"},{"family":"Hambur","given":"Jonathan"}],"accessed":{"date-parts":[["2023",6,13]]},"issued":{"date-parts":[["2021",7,22]]}}}],"schema":"https://github.com/citation-style-language/schema/raw/master/csl-citation.json"} </w:instrText>
      </w:r>
      <w:r>
        <w:fldChar w:fldCharType="separate"/>
      </w:r>
      <w:r w:rsidR="004320BE" w:rsidRPr="004320BE">
        <w:rPr>
          <w:rFonts w:ascii="Arial" w:hAnsi="Arial" w:cs="Arial"/>
          <w:szCs w:val="24"/>
        </w:rPr>
        <w:t>(Andrews et al. 2021; Birinci et al. 2020)</w:t>
      </w:r>
      <w:r>
        <w:fldChar w:fldCharType="end"/>
      </w:r>
      <w:r>
        <w:t>. Less productive firms were more likely to pause production and less productive workers were more likely to become unemployed – leading to a temporary increase in labour productivity observed in 2021-22. However, this reallocation effect has likely reversed in 2022-23.</w:t>
      </w:r>
    </w:p>
  </w:footnote>
  <w:footnote w:id="5">
    <w:p w14:paraId="3AEC3A69" w14:textId="77777777" w:rsidR="009E5D9A" w:rsidRDefault="009E5D9A">
      <w:pPr>
        <w:pStyle w:val="FootnoteText"/>
      </w:pPr>
      <w:r w:rsidRPr="007D15B3">
        <w:rPr>
          <w:rStyle w:val="FootnoteReference"/>
        </w:rPr>
        <w:footnoteRef/>
      </w:r>
      <w:r>
        <w:t xml:space="preserve"> A number of factors could explain high MFP growth in 2021-22. First, it could be output driven due to the rebound in economic growth following the unwinding of COVID-19 restrictions. Second, capital utilisation may have increased in 2021-22, following previous declines during the COVID-19 pandemic. The national accounts assume 100% capital utilisation. Therefore, if capital utilisation rebounded in 2021-22, capital services growth would be underestimated, and therefore, MFP growth would be overestimated. Further, the digitalisation of the economy since COVID-19, and increased investment in other types of capital such as intangible capital (section 3), could have led to an underestimation of capital services growth and an overestimation of MFP growth.</w:t>
      </w:r>
    </w:p>
  </w:footnote>
  <w:footnote w:id="6">
    <w:p w14:paraId="1389AA89" w14:textId="77777777" w:rsidR="009E5D9A" w:rsidRPr="007139C3" w:rsidRDefault="009E5D9A" w:rsidP="00D249A9">
      <w:pPr>
        <w:pStyle w:val="FootnoteText"/>
        <w:rPr>
          <w:spacing w:val="-2"/>
        </w:rPr>
      </w:pPr>
      <w:r w:rsidRPr="007D15B3">
        <w:rPr>
          <w:rStyle w:val="FootnoteReference"/>
        </w:rPr>
        <w:footnoteRef/>
      </w:r>
      <w:r w:rsidRPr="007139C3">
        <w:rPr>
          <w:spacing w:val="-2"/>
        </w:rPr>
        <w:t xml:space="preserve"> The capital-labour ratio is an indicator of an economy’s ability to augment labour</w:t>
      </w:r>
      <w:r>
        <w:rPr>
          <w:spacing w:val="-2"/>
        </w:rPr>
        <w:t xml:space="preserve"> </w:t>
      </w:r>
      <w:r w:rsidRPr="007139C3">
        <w:rPr>
          <w:spacing w:val="-2"/>
        </w:rPr>
        <w:fldChar w:fldCharType="begin"/>
      </w:r>
      <w:r w:rsidRPr="007139C3">
        <w:rPr>
          <w:spacing w:val="-2"/>
        </w:rPr>
        <w:instrText xml:space="preserve"> ADDIN ZOTERO_ITEM CSL_CITATION {"citationID":"jraONo30","properties":{"formattedCitation":"(ABS\\uc0\\u160{}2022b)","plainCitation":"(ABS 2022b)","noteIndex":5},"citationItems":[{"id":4068,"uris":["http://zotero.org/groups/5086540/items/Z6A9TDC9"],"itemData":{"id":4068,"type":"webpage","abstract":"Updates estimates of multifactor productivity (MFP) for industries and market sector aggregates.","title":"Estimates of Industry Multifactor Productivity, 2021-22 financial year","URL":"https://www.abs.gov.au/statistics/industry/industry-overview/estimates-industry-multifactor-productivity/latest-release","author":[{"literal":"Australian Bureau of Statistics"}],"translator":[{"literal":"ABS"}],"accessed":{"date-parts":[["2023",5,30]]},"issued":{"date-parts":[["2022",12,13]]}}}],"schema":"https://github.com/citation-style-language/schema/raw/master/csl-citation.json"} </w:instrText>
      </w:r>
      <w:r w:rsidRPr="007139C3">
        <w:rPr>
          <w:spacing w:val="-2"/>
        </w:rPr>
        <w:fldChar w:fldCharType="separate"/>
      </w:r>
      <w:r w:rsidRPr="007139C3">
        <w:rPr>
          <w:rFonts w:cs="Arial"/>
          <w:spacing w:val="-2"/>
          <w:szCs w:val="24"/>
        </w:rPr>
        <w:t>(ABS 2022b)</w:t>
      </w:r>
      <w:r w:rsidRPr="007139C3">
        <w:rPr>
          <w:spacing w:val="-2"/>
        </w:rPr>
        <w:fldChar w:fldCharType="end"/>
      </w:r>
      <w:r w:rsidRPr="007139C3">
        <w:rPr>
          <w:spacing w:val="-2"/>
        </w:rPr>
        <w:t>. Increases in the capital-labour ratio (capital deepening) means that, on average, each unit of labour has more capital to work with to produce output.</w:t>
      </w:r>
    </w:p>
  </w:footnote>
  <w:footnote w:id="7">
    <w:p w14:paraId="235FFBD3" w14:textId="77777777" w:rsidR="009E5D9A" w:rsidRDefault="009E5D9A" w:rsidP="007533BC">
      <w:pPr>
        <w:pStyle w:val="FootnoteText"/>
        <w:spacing w:after="120"/>
      </w:pPr>
      <w:r w:rsidRPr="007D15B3">
        <w:rPr>
          <w:rStyle w:val="FootnoteReference"/>
        </w:rPr>
        <w:footnoteRef/>
      </w:r>
      <w:r>
        <w:t xml:space="preserve"> The capital-labour ratio assumes 100% capital utilisation, however, actual capital utilisation likely decreased during the beginning of the COVID-19 pandemic. In 2021-22 capital utilisation may have increased as the economy recovered, and hence, capital services might have increased at a greater rate than reported by the ABS, causing the appearance of capital shallowing. Further, labour hours increased by a large amount (3.1%), as workers returned to work following the COVID</w:t>
      </w:r>
      <w:r>
        <w:noBreakHyphen/>
        <w:t>19 pandemic, which also could have caused the appearance of capital shallowing.</w:t>
      </w:r>
    </w:p>
  </w:footnote>
  <w:footnote w:id="8">
    <w:p w14:paraId="344C8E04" w14:textId="77777777" w:rsidR="009E5D9A" w:rsidRDefault="009E5D9A" w:rsidP="007533BC">
      <w:pPr>
        <w:pStyle w:val="FootnoteText"/>
        <w:spacing w:before="120"/>
      </w:pPr>
      <w:r w:rsidRPr="007D15B3">
        <w:rPr>
          <w:rStyle w:val="FootnoteReference"/>
        </w:rPr>
        <w:footnoteRef/>
      </w:r>
      <w:r>
        <w:t xml:space="preserve"> </w:t>
      </w:r>
      <w:r w:rsidRPr="00003A70">
        <w:rPr>
          <w:rStyle w:val="FootnoteTextChar"/>
        </w:rPr>
        <w:t xml:space="preserve">Examining the components of income </w:t>
      </w:r>
      <w:r w:rsidRPr="002B798E">
        <w:t>growth</w:t>
      </w:r>
      <w:r w:rsidRPr="00003A70">
        <w:rPr>
          <w:rStyle w:val="FootnoteTextChar"/>
        </w:rPr>
        <w:t xml:space="preserve"> over the past decades highlights the importance of productivity growth for the typical household (figure </w:t>
      </w:r>
      <w:r>
        <w:rPr>
          <w:rStyle w:val="FootnoteTextChar"/>
        </w:rPr>
        <w:t>4</w:t>
      </w:r>
      <w:r w:rsidRPr="00003A70">
        <w:rPr>
          <w:rStyle w:val="FootnoteTextChar"/>
        </w:rPr>
        <w:t xml:space="preserve">). </w:t>
      </w:r>
      <w:r w:rsidRPr="006A2130">
        <w:rPr>
          <w:rStyle w:val="FootnoteTextChar"/>
        </w:rPr>
        <w:t>Growth in incomes (GNI per capita) can be decomposed into the contributions from: labour productivity (production per hour); labour utilisation; the terms of trade (which boost the income from production); and the net flow of foreign income (the income from overseas assets owned by Australians minus the income paid to foreigners from domestic assets).</w:t>
      </w:r>
    </w:p>
  </w:footnote>
  <w:footnote w:id="9">
    <w:p w14:paraId="77F10A6A" w14:textId="77777777" w:rsidR="009E5D9A" w:rsidRPr="00A412B3" w:rsidRDefault="009E5D9A" w:rsidP="00E73D6B">
      <w:pPr>
        <w:pStyle w:val="FootnoteText"/>
        <w:rPr>
          <w:lang w:val="en-US"/>
        </w:rPr>
      </w:pPr>
      <w:r w:rsidRPr="007D15B3">
        <w:rPr>
          <w:rStyle w:val="FootnoteReference"/>
        </w:rPr>
        <w:footnoteRef/>
      </w:r>
      <w:r>
        <w:t xml:space="preserve"> Flooding in the December 2022 quarter negatively affected transport output due to damaged road closures. This extended the delivery time and increased freight costs for transport </w:t>
      </w:r>
      <w:r>
        <w:fldChar w:fldCharType="begin"/>
      </w:r>
      <w:r>
        <w:instrText xml:space="preserve"> ADDIN ZOTERO_ITEM CSL_CITATION {"citationID":"Ub5JDqav","properties":{"formattedCitation":"(ABS\\uc0\\u160{}2023e)","plainCitation":"(ABS 2023e)","noteIndex":8},"citationItems":[{"id":4066,"uris":["http://zotero.org/groups/5086540/items/NBEMGS6C"],"itemData":{"id":4066,"type":"webpage","language":"en","title":"Impacts of Flooding in December Quarter 2022","URL":"https://www.abs.gov.au/articles/impacts-flooding-december-quarter-2022","author":[{"literal":"Australian Bureau of Statistics"}],"translator":[{"literal":"ABS"}],"accessed":{"date-parts":[["2023",5,30]]},"issued":{"date-parts":[["2023",3,1]]}}}],"schema":"https://github.com/citation-style-language/schema/raw/master/csl-citation.json"} </w:instrText>
      </w:r>
      <w:r>
        <w:fldChar w:fldCharType="separate"/>
      </w:r>
      <w:r w:rsidRPr="00ED120D">
        <w:rPr>
          <w:rFonts w:ascii="Arial" w:hAnsi="Arial" w:cs="Arial"/>
          <w:szCs w:val="24"/>
        </w:rPr>
        <w:t>(ABS 2023e)</w:t>
      </w:r>
      <w:r>
        <w:fldChar w:fldCharType="end"/>
      </w:r>
      <w:r>
        <w:t xml:space="preserve">. Consequently, road transport GVA declined 1.1% over the December 2022 quarter. On the other hand, flooding had limited effect on rails so rail, pipeline and other transport GVA continued to rise by 1.8%. </w:t>
      </w:r>
    </w:p>
  </w:footnote>
  <w:footnote w:id="10">
    <w:p w14:paraId="752971FA" w14:textId="77777777" w:rsidR="009E5D9A" w:rsidRPr="0081698A" w:rsidRDefault="009E5D9A" w:rsidP="00743AB2">
      <w:pPr>
        <w:pStyle w:val="FootnoteText"/>
        <w:rPr>
          <w:lang w:val="en-US"/>
        </w:rPr>
      </w:pPr>
      <w:r w:rsidRPr="007D15B3">
        <w:rPr>
          <w:rStyle w:val="FootnoteReference"/>
        </w:rPr>
        <w:footnoteRef/>
      </w:r>
      <w:r>
        <w:t xml:space="preserve"> </w:t>
      </w:r>
      <w:r>
        <w:rPr>
          <w:lang w:val="en-US"/>
        </w:rPr>
        <w:t xml:space="preserve">Some of the potential MFP drivers for the agricultural sector are weather conditions, technological progress, government policy, market conditions and infrastructure </w:t>
      </w:r>
      <w:r>
        <w:rPr>
          <w:lang w:val="en-US"/>
        </w:rPr>
        <w:fldChar w:fldCharType="begin"/>
      </w:r>
      <w:r>
        <w:rPr>
          <w:lang w:val="en-US"/>
        </w:rPr>
        <w:instrText xml:space="preserve"> ADDIN ZOTERO_ITEM CSL_CITATION {"citationID":"RhclON35","properties":{"formattedCitation":"(DAFF\\uc0\\u160{}2023)","plainCitation":"(DAFF 2023)","noteIndex":9},"citationItems":[{"id":4105,"uris":["http://zotero.org/groups/5086540/items/LUHKHVMR"],"itemData":{"id":4105,"type":"webpage","title":"Productivity Drivers","URL":"https://www.agriculture.gov.au/abares/research-topics/productivity/productivity-drivers#financial-capacity","author":[{"literal":"Department of Agriculture, Fisheries and Forestry"}],"translator":[{"literal":"DAFF"}],"accessed":{"date-parts":[["2023",6,14]]},"issued":{"date-parts":[["2023"]]}}}],"schema":"https://github.com/citation-style-language/schema/raw/master/csl-citation.json"} </w:instrText>
      </w:r>
      <w:r>
        <w:rPr>
          <w:lang w:val="en-US"/>
        </w:rPr>
        <w:fldChar w:fldCharType="separate"/>
      </w:r>
      <w:r w:rsidRPr="00E55EA1">
        <w:rPr>
          <w:rFonts w:ascii="Arial" w:hAnsi="Arial" w:cs="Arial"/>
          <w:szCs w:val="24"/>
        </w:rPr>
        <w:t>(DAFF 2023)</w:t>
      </w:r>
      <w:r>
        <w:rPr>
          <w:lang w:val="en-US"/>
        </w:rPr>
        <w:fldChar w:fldCharType="end"/>
      </w:r>
      <w:r>
        <w:rPr>
          <w:lang w:val="en-US"/>
        </w:rPr>
        <w:t xml:space="preserve">. </w:t>
      </w:r>
    </w:p>
  </w:footnote>
  <w:footnote w:id="11">
    <w:p w14:paraId="52066C32" w14:textId="77777777" w:rsidR="009E5D9A" w:rsidRDefault="009E5D9A" w:rsidP="00974FE4">
      <w:pPr>
        <w:pStyle w:val="FootnoteText"/>
      </w:pPr>
      <w:r w:rsidRPr="007D15B3">
        <w:rPr>
          <w:rStyle w:val="FootnoteReference"/>
        </w:rPr>
        <w:footnoteRef/>
      </w:r>
      <w:r>
        <w:t xml:space="preserve"> </w:t>
      </w:r>
      <w:r w:rsidRPr="00445B68">
        <w:t>Furthermore, the labour productivity growth also remained weaker than MFP growth in the agricultural sector over 2021-22</w:t>
      </w:r>
      <w:r>
        <w:t xml:space="preserve"> (section 2)</w:t>
      </w:r>
      <w:r w:rsidRPr="00445B68">
        <w:t xml:space="preserve">, indicating capital shallowing (decreased quantities of capital per hour worked). Capital shallowing </w:t>
      </w:r>
      <w:r>
        <w:t xml:space="preserve">may affect future productivity growth for the sector. </w:t>
      </w:r>
    </w:p>
  </w:footnote>
  <w:footnote w:id="12">
    <w:p w14:paraId="5B71950D" w14:textId="77777777" w:rsidR="009E5D9A" w:rsidRPr="008006AE" w:rsidRDefault="009E5D9A">
      <w:pPr>
        <w:pStyle w:val="FootnoteText"/>
        <w:rPr>
          <w:lang w:val="en-US"/>
        </w:rPr>
      </w:pPr>
      <w:r w:rsidRPr="007D15B3">
        <w:rPr>
          <w:rStyle w:val="FootnoteReference"/>
        </w:rPr>
        <w:footnoteRef/>
      </w:r>
      <w:r>
        <w:t xml:space="preserve"> Nevertheless, the negative effects of the flooding are expected to be temporary, as the outlook for the agricultural sector remains positive in 2023 due to anticipated favourable weather conditions.</w:t>
      </w:r>
    </w:p>
  </w:footnote>
  <w:footnote w:id="13">
    <w:p w14:paraId="2F6FFA3A" w14:textId="77777777" w:rsidR="009E5D9A" w:rsidRPr="002609AE" w:rsidRDefault="009E5D9A" w:rsidP="00974FE4">
      <w:pPr>
        <w:pStyle w:val="FootnoteText"/>
        <w:rPr>
          <w:lang w:val="en-US"/>
        </w:rPr>
      </w:pPr>
      <w:r w:rsidRPr="007D15B3">
        <w:rPr>
          <w:rStyle w:val="FootnoteReference"/>
        </w:rPr>
        <w:footnoteRef/>
      </w:r>
      <w:r>
        <w:t xml:space="preserve"> </w:t>
      </w:r>
      <w:r>
        <w:rPr>
          <w:lang w:val="en-US"/>
        </w:rPr>
        <w:t xml:space="preserve">As the investment phase ends, commodity prices and mining investment should fall, while capital stock and volume of output increases </w:t>
      </w:r>
      <w:r>
        <w:rPr>
          <w:lang w:val="en-US"/>
        </w:rPr>
        <w:fldChar w:fldCharType="begin"/>
      </w:r>
      <w:r>
        <w:rPr>
          <w:lang w:val="en-US"/>
        </w:rPr>
        <w:instrText xml:space="preserve"> ADDIN ZOTERO_ITEM CSL_CITATION {"citationID":"Zy86Y2WL","properties":{"formattedCitation":"(Jenner et al.\\uc0\\u160{}2018)","plainCitation":"(Jenner et al. 2018)","noteIndex":12},"citationItems":[{"id":4083,"uris":["http://zotero.org/groups/5086540/items/2GESIAXQ"],"itemData":{"id":4083,"type":"report","publisher":"Reserve Bank of Australia","title":"Mining Investment Beyond the Boom","URL":"https://www.rba.gov.au/publications/bulletin/2018/mar/pdf/mining-investment-beyond-the-boom.pdf","author":[{"family":"Jenner","given":"Keaton"},{"family":"Walker","given":"Aaron"},{"family":"Close","given":"Cathie"},{"family":"Saunders","given":"Trent"}],"issued":{"date-parts":[["2018",3]]}}}],"schema":"https://github.com/citation-style-language/schema/raw/master/csl-citation.json"} </w:instrText>
      </w:r>
      <w:r>
        <w:rPr>
          <w:lang w:val="en-US"/>
        </w:rPr>
        <w:fldChar w:fldCharType="separate"/>
      </w:r>
      <w:r w:rsidRPr="001C3105">
        <w:rPr>
          <w:rFonts w:ascii="Arial" w:hAnsi="Arial" w:cs="Arial"/>
          <w:szCs w:val="24"/>
        </w:rPr>
        <w:t>(Jenner et al. 2018)</w:t>
      </w:r>
      <w:r>
        <w:rPr>
          <w:lang w:val="en-US"/>
        </w:rPr>
        <w:fldChar w:fldCharType="end"/>
      </w:r>
      <w:r>
        <w:rPr>
          <w:lang w:val="en-US"/>
        </w:rPr>
        <w:t xml:space="preserve">. </w:t>
      </w:r>
    </w:p>
  </w:footnote>
  <w:footnote w:id="14">
    <w:p w14:paraId="75DF4920" w14:textId="77777777" w:rsidR="009E5D9A" w:rsidRPr="00551942" w:rsidRDefault="009E5D9A" w:rsidP="00974FE4">
      <w:pPr>
        <w:pStyle w:val="FootnoteText"/>
        <w:rPr>
          <w:lang w:val="en-US"/>
        </w:rPr>
      </w:pPr>
      <w:r w:rsidRPr="007D15B3">
        <w:rPr>
          <w:rStyle w:val="FootnoteReference"/>
        </w:rPr>
        <w:footnoteRef/>
      </w:r>
      <w:r>
        <w:t xml:space="preserve"> </w:t>
      </w:r>
      <w:r>
        <w:rPr>
          <w:lang w:val="en-US"/>
        </w:rPr>
        <w:t>Based on ABS data, current investment is still 62% below the investment peak reached during the mining boom.</w:t>
      </w:r>
    </w:p>
  </w:footnote>
  <w:footnote w:id="15">
    <w:p w14:paraId="12054A76" w14:textId="77777777" w:rsidR="009E5D9A" w:rsidRDefault="009E5D9A">
      <w:pPr>
        <w:pStyle w:val="FootnoteText"/>
      </w:pPr>
      <w:r w:rsidRPr="007D15B3">
        <w:rPr>
          <w:rStyle w:val="FootnoteReference"/>
        </w:rPr>
        <w:footnoteRef/>
      </w:r>
      <w:r>
        <w:t xml:space="preserve"> Other explanations included lower job mobility from less to more productive firms </w:t>
      </w:r>
      <w:r>
        <w:fldChar w:fldCharType="begin"/>
      </w:r>
      <w:r>
        <w:instrText xml:space="preserve"> ADDIN ZOTERO_ITEM CSL_CITATION {"citationID":"drRS5jrs","properties":{"formattedCitation":"(Hambur and Andrews\\uc0\\u160{}2023, p.\\uc0\\u160{}1)","plainCitation":"(Hambur and Andrews 2023, p. 1)","noteIndex":14},"citationItems":[{"id":4077,"uris":["http://zotero.org/groups/5086540/items/HJCI775X"],"itemData":{"id":4077,"type":"report","event-place":"Reserve Bank of Australia","publisher-place":"Reserve Bank of Australia","title":"Doing Less, with Less: Capital Misallocation, Investment and the Productivity Slowdown in Australia","URL":"https://www.rba.gov.au/publications/rdp/2023/pdf/rdp2023-03.pdf","author":[{"family":"Hambur","given":"Jonathan"},{"family":"Andrews","given":"Dan"}],"issued":{"date-parts":[["2023",3]]}},"locator":"1"}],"schema":"https://github.com/citation-style-language/schema/raw/master/csl-citation.json"} </w:instrText>
      </w:r>
      <w:r>
        <w:fldChar w:fldCharType="separate"/>
      </w:r>
      <w:r w:rsidRPr="002E0F0D">
        <w:rPr>
          <w:rFonts w:ascii="Arial" w:hAnsi="Arial" w:cs="Arial"/>
          <w:szCs w:val="24"/>
        </w:rPr>
        <w:t>(Hambur and Andrews 2023, p. 1)</w:t>
      </w:r>
      <w:r>
        <w:fldChar w:fldCharType="end"/>
      </w:r>
      <w:r>
        <w:t>.</w:t>
      </w:r>
    </w:p>
  </w:footnote>
  <w:footnote w:id="16">
    <w:p w14:paraId="700651D4" w14:textId="0D070039" w:rsidR="009E5D9A" w:rsidRDefault="009E5D9A">
      <w:pPr>
        <w:pStyle w:val="FootnoteText"/>
      </w:pPr>
      <w:r w:rsidRPr="007D15B3">
        <w:rPr>
          <w:rStyle w:val="FootnoteReference"/>
        </w:rPr>
        <w:footnoteRef/>
      </w:r>
      <w:r>
        <w:rPr>
          <w:rStyle w:val="FootnoteTextChar"/>
        </w:rPr>
        <w:t xml:space="preserve"> As suggested by </w:t>
      </w:r>
      <w:r>
        <w:fldChar w:fldCharType="begin"/>
      </w:r>
      <w:r>
        <w:instrText xml:space="preserve"> ADDIN ZOTERO_ITEM CSL_CITATION {"citationID":"j5utTi59","properties":{"formattedCitation":"(Hambur and Andrews\\uc0\\u160{}2023, p.\\uc0\\u160{}3)","plainCitation":"(Hambur and Andrews 2023, p. 3)","noteIndex":15},"citationItems":[{"id":4077,"uris":["http://zotero.org/groups/5086540/items/HJCI775X"],"itemData":{"id":4077,"type":"report","event-place":"Reserve Bank of Australia","publisher-place":"Reserve Bank of Australia","title":"Doing Less, with Less: Capital Misallocation, Investment and the Productivity Slowdown in Australia","URL":"https://www.rba.gov.au/publications/rdp/2023/pdf/rdp2023-03.pdf","author":[{"family":"Hambur","given":"Jonathan"},{"family":"Andrews","given":"Dan"}],"issued":{"date-parts":[["2023",3]]}},"locator":"3"}],"schema":"https://github.com/citation-style-language/schema/raw/master/csl-citation.json"} </w:instrText>
      </w:r>
      <w:r>
        <w:fldChar w:fldCharType="separate"/>
      </w:r>
      <w:r w:rsidRPr="6A83EAFB">
        <w:rPr>
          <w:rFonts w:ascii="Arial" w:hAnsi="Arial" w:cs="Arial"/>
        </w:rPr>
        <w:t>(Hambur and Andrews 2023, p. 3)</w:t>
      </w:r>
      <w:r>
        <w:fldChar w:fldCharType="end"/>
      </w:r>
      <w:r w:rsidRPr="5E185883">
        <w:rPr>
          <w:rFonts w:ascii="Arial" w:hAnsi="Arial" w:cs="Arial"/>
        </w:rPr>
        <w:t xml:space="preserve">, </w:t>
      </w:r>
      <w:r w:rsidRPr="363206CC">
        <w:rPr>
          <w:rFonts w:ascii="Arial" w:hAnsi="Arial" w:cs="Arial"/>
        </w:rPr>
        <w:t>noting that</w:t>
      </w:r>
      <w:r>
        <w:rPr>
          <w:rStyle w:val="FootnoteTextChar"/>
        </w:rPr>
        <w:t xml:space="preserve"> </w:t>
      </w:r>
      <w:r w:rsidRPr="00461784">
        <w:rPr>
          <w:rStyle w:val="FootnoteTextChar"/>
        </w:rPr>
        <w:t>in many ways, investment is a symptom of productivity growth as much as it is a cause</w:t>
      </w:r>
      <w:r>
        <w:rPr>
          <w:rStyle w:val="FootnoteTextChar"/>
        </w:rPr>
        <w:t xml:space="preserve"> </w:t>
      </w:r>
      <w:r>
        <w:rPr>
          <w:rStyle w:val="FootnoteTextChar"/>
        </w:rPr>
        <w:fldChar w:fldCharType="begin"/>
      </w:r>
      <w:r w:rsidR="005F3722">
        <w:rPr>
          <w:rStyle w:val="FootnoteTextChar"/>
        </w:rPr>
        <w:instrText xml:space="preserve"> ADDIN ZOTERO_ITEM CSL_CITATION {"citationID":"5Tvc5t8a","properties":{"formattedCitation":"(PC\\uc0\\u160{}2023a, p.\\uc0\\u160{}40)","plainCitation":"(PC 2023a, p. 40)","noteIndex":15},"citationItems":[{"id":4164,"uris":["http://zotero.org/groups/164861/items/S2UPHB35"],"itemData":{"id":4164,"type":"report","event-place":"Canberra","genre":"Inquiry Report no. 100","number":"Vol. 3","publisher-place":"Canberra","title":"5-year Productivity inquiry: A competitive, dynamic and sustainable future","author":[{"family":"Productivity Commission","given":""}],"translator":[{"family":"PC","given":""}],"issued":{"date-parts":[["2023"]]}},"locator":"40","label":"page"}],"schema":"https://github.com/citation-style-language/schema/raw/master/csl-citation.json"} </w:instrText>
      </w:r>
      <w:r>
        <w:rPr>
          <w:rStyle w:val="FootnoteTextChar"/>
        </w:rPr>
        <w:fldChar w:fldCharType="separate"/>
      </w:r>
      <w:r w:rsidR="005F3722" w:rsidRPr="005F3722">
        <w:rPr>
          <w:rFonts w:ascii="Arial" w:hAnsi="Arial" w:cs="Arial"/>
          <w:szCs w:val="24"/>
        </w:rPr>
        <w:t>(PC 2023a, p. 40)</w:t>
      </w:r>
      <w:r>
        <w:rPr>
          <w:rStyle w:val="FootnoteTextChar"/>
        </w:rPr>
        <w:fldChar w:fldCharType="end"/>
      </w:r>
      <w:r w:rsidRPr="00461784">
        <w:rPr>
          <w:rStyle w:val="FootnoteTextChar"/>
        </w:rPr>
        <w:t xml:space="preserve">. </w:t>
      </w:r>
    </w:p>
  </w:footnote>
  <w:footnote w:id="17">
    <w:p w14:paraId="3D7E1E5D" w14:textId="77777777" w:rsidR="009E5D9A" w:rsidRDefault="009E5D9A" w:rsidP="00493DC8">
      <w:pPr>
        <w:pStyle w:val="FootnoteText"/>
      </w:pPr>
      <w:r w:rsidRPr="007D15B3">
        <w:rPr>
          <w:rStyle w:val="FootnoteReference"/>
        </w:rPr>
        <w:footnoteRef/>
      </w:r>
      <w:r>
        <w:t xml:space="preserve"> The GFC could have affected investment decisions in other ways including: weak economic growth, reduced spillovers from the mining sector; or tightened financial conditions </w:t>
      </w:r>
      <w:r>
        <w:fldChar w:fldCharType="begin"/>
      </w:r>
      <w:r>
        <w:instrText xml:space="preserve"> ADDIN ZOTERO_ITEM CSL_CITATION {"citationID":"nG7mTBo5","properties":{"formattedCitation":"(Debelle\\uc0\\u160{}2017)","plainCitation":"(Debelle 2017)","noteIndex":16},"citationItems":[{"id":4081,"uris":["http://zotero.org/groups/5086540/items/HLYB5R22"],"itemData":{"id":4081,"type":"webpage","container-title":"Reserve Bank of Australia","title":"Business Investment in Australia","URL":"https://www.rba.gov.au/speeches/2017/sp-dg-2017-11-13.html","author":[{"family":"Debelle","given":"Guy"}],"accessed":{"date-parts":[["2023",6,8]]},"issued":{"date-parts":[["2017"]]}}}],"schema":"https://github.com/citation-style-language/schema/raw/master/csl-citation.json"} </w:instrText>
      </w:r>
      <w:r>
        <w:fldChar w:fldCharType="separate"/>
      </w:r>
      <w:r w:rsidRPr="00B13780">
        <w:rPr>
          <w:rFonts w:ascii="Arial" w:hAnsi="Arial" w:cs="Arial"/>
          <w:szCs w:val="24"/>
        </w:rPr>
        <w:t>(Debelle 2017)</w:t>
      </w:r>
      <w:r>
        <w:fldChar w:fldCharType="end"/>
      </w:r>
      <w:r>
        <w:t>.</w:t>
      </w:r>
    </w:p>
  </w:footnote>
  <w:footnote w:id="18">
    <w:p w14:paraId="2A5FA270" w14:textId="77777777" w:rsidR="009E5D9A" w:rsidRDefault="009E5D9A" w:rsidP="00A87A5B">
      <w:pPr>
        <w:pStyle w:val="FootnoteText"/>
      </w:pPr>
      <w:r w:rsidRPr="007D15B3">
        <w:rPr>
          <w:rStyle w:val="FootnoteReference"/>
        </w:rPr>
        <w:footnoteRef/>
      </w:r>
      <w:r>
        <w:t xml:space="preserve"> </w:t>
      </w:r>
      <w:r w:rsidRPr="006822E3">
        <w:rPr>
          <w:rStyle w:val="FootnoteTextChar"/>
        </w:rPr>
        <w:t>However, it is difficult to link a rising risk premium specifically to rising risk aversion from the investor; it may just reflect that economic environment it more uncertain.</w:t>
      </w:r>
      <w:r>
        <w:rPr>
          <w:rStyle w:val="FootnoteTextChar"/>
        </w:rPr>
        <w:t xml:space="preserve"> </w:t>
      </w:r>
    </w:p>
  </w:footnote>
  <w:footnote w:id="19">
    <w:p w14:paraId="31E7758F" w14:textId="77777777" w:rsidR="009E5D9A" w:rsidRDefault="009E5D9A" w:rsidP="00E72360">
      <w:pPr>
        <w:pStyle w:val="FootnoteText"/>
      </w:pPr>
      <w:r w:rsidRPr="007D15B3">
        <w:rPr>
          <w:rStyle w:val="FootnoteReference"/>
        </w:rPr>
        <w:footnoteRef/>
      </w:r>
      <w:r>
        <w:t xml:space="preserve"> </w:t>
      </w:r>
      <w:r w:rsidRPr="00D572C3">
        <w:rPr>
          <w:rStyle w:val="FootnoteTextChar"/>
        </w:rPr>
        <w:t xml:space="preserve">Although this could reflect other factors such as declining mining investment. </w:t>
      </w:r>
    </w:p>
  </w:footnote>
  <w:footnote w:id="20">
    <w:p w14:paraId="1795C4BF" w14:textId="77777777" w:rsidR="009E5D9A" w:rsidRDefault="009E5D9A" w:rsidP="070AAB34">
      <w:pPr>
        <w:pStyle w:val="FootnoteText"/>
      </w:pPr>
      <w:r w:rsidRPr="007D15B3">
        <w:rPr>
          <w:rStyle w:val="FootnoteReference"/>
        </w:rPr>
        <w:footnoteRef/>
      </w:r>
      <w:r>
        <w:t xml:space="preserve"> Over the long term, wages generally grow in step with labour productivity (paper forthcoming).</w:t>
      </w:r>
    </w:p>
  </w:footnote>
  <w:footnote w:id="21">
    <w:p w14:paraId="67A98609" w14:textId="77777777" w:rsidR="009E5D9A" w:rsidRDefault="009E5D9A" w:rsidP="070AAB34">
      <w:pPr>
        <w:pStyle w:val="FootnoteText"/>
      </w:pPr>
      <w:r w:rsidRPr="007D15B3">
        <w:rPr>
          <w:rStyle w:val="FootnoteReference"/>
        </w:rPr>
        <w:footnoteRef/>
      </w:r>
      <w:r>
        <w:t xml:space="preserve"> </w:t>
      </w:r>
      <w:r w:rsidRPr="070AAB34">
        <w:rPr>
          <w:rStyle w:val="FootnoteTextChar"/>
        </w:rPr>
        <w:t>Usually, the growth in labour productivity exceeds the growth in multifactor productivity. The difference between the two is the contribution from ‘capital deepening’. That is, the accumulation of more and better capital equipment over time helps to make workers more productive.</w:t>
      </w:r>
    </w:p>
  </w:footnote>
  <w:footnote w:id="22">
    <w:p w14:paraId="6D87FF61" w14:textId="77777777" w:rsidR="009E5D9A" w:rsidRDefault="009E5D9A" w:rsidP="070AAB34">
      <w:pPr>
        <w:pStyle w:val="FootnoteText"/>
        <w:rPr>
          <w:lang w:val="en-US"/>
        </w:rPr>
      </w:pPr>
      <w:r w:rsidRPr="007D15B3">
        <w:rPr>
          <w:rStyle w:val="FootnoteReference"/>
        </w:rPr>
        <w:footnoteRef/>
      </w:r>
      <w:r>
        <w:t xml:space="preserve"> Labour productivity can also be measured for the whole economy (in terms of real GDP per hour worked). Labour productivity measured in this way contributes to growth in living standards (commonly measured as GDP per capita) but is a poorer indicator of technological change and efficiency improvement because of the difficulty measuring output in health, education and public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AF57" w14:textId="26A050F5" w:rsidR="006D4212" w:rsidRDefault="00344A78" w:rsidP="00946C03">
    <w:pPr>
      <w:pStyle w:val="Header-Keyline"/>
    </w:pPr>
    <w:r>
      <w:rPr>
        <w:rStyle w:val="Strong"/>
      </w:rPr>
      <w:t>PC productivity insights</w:t>
    </w:r>
    <w:r w:rsidR="006D4212">
      <w:t xml:space="preserve"> Annual </w:t>
    </w:r>
    <w:r w:rsidR="00485C2B">
      <w:t>r</w:t>
    </w:r>
    <w:r w:rsidR="006D4212">
      <w:t xml:space="preserve">eport </w:t>
    </w:r>
    <w:r w:rsidR="00485C2B">
      <w:t>s</w:t>
    </w:r>
    <w:r w:rsidR="006D4212">
      <w:t>eries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AC32" w14:textId="4C04CF83" w:rsidR="006D4212" w:rsidRDefault="006D4212" w:rsidP="006D4212">
    <w:pPr>
      <w:pStyle w:val="Header-KeylineRight"/>
    </w:pPr>
    <w:r>
      <w:fldChar w:fldCharType="begin"/>
    </w:r>
    <w:r>
      <w:instrText xml:space="preserve"> STYLEREF  "Heading 1"  \* MERGEFORMAT </w:instrText>
    </w:r>
    <w:r>
      <w:fldChar w:fldCharType="separate"/>
    </w:r>
    <w:r w:rsidR="00B63E35">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6EA8" w14:textId="77777777" w:rsidR="00F04EA7" w:rsidRPr="007215EF" w:rsidRDefault="00F04EA7" w:rsidP="007215EF">
    <w:r w:rsidRPr="007215EF">
      <w:rPr>
        <w:noProof/>
      </w:rPr>
      <w:drawing>
        <wp:anchor distT="0" distB="0" distL="114300" distR="114300" simplePos="0" relativeHeight="251658240" behindDoc="0" locked="1" layoutInCell="1" allowOverlap="1" wp14:anchorId="69D1BBCE" wp14:editId="2E1ECDF7">
          <wp:simplePos x="0" y="0"/>
          <wp:positionH relativeFrom="margin">
            <wp:align>left</wp:align>
          </wp:positionH>
          <wp:positionV relativeFrom="page">
            <wp:align>top</wp:align>
          </wp:positionV>
          <wp:extent cx="2235600" cy="1058400"/>
          <wp:effectExtent l="0" t="0" r="0" b="8890"/>
          <wp:wrapNone/>
          <wp:docPr id="10" name="Graphic 10"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EF934" w14:textId="77777777" w:rsidR="00F04EA7" w:rsidRPr="005965BC" w:rsidRDefault="00F04EA7"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43D2" w14:textId="3DFCE085" w:rsidR="006D4212" w:rsidRPr="00CD38A1" w:rsidRDefault="00CD38A1" w:rsidP="00CD38A1">
    <w:pPr>
      <w:pStyle w:val="Header-KeylineRight"/>
    </w:pPr>
    <w:r>
      <w:t>Productivity Bulletin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6244" w14:textId="5060C056" w:rsidR="009E5D9A" w:rsidRDefault="00485C2B" w:rsidP="00F173EF">
    <w:pPr>
      <w:pStyle w:val="Header-Keyline"/>
    </w:pPr>
    <w:r>
      <w:rPr>
        <w:rStyle w:val="Strong"/>
      </w:rPr>
      <w:t>PC productivity insights</w:t>
    </w:r>
    <w:r w:rsidR="009E5D9A">
      <w:t xml:space="preserve"> </w:t>
    </w:r>
    <w:r w:rsidR="00CD38A1">
      <w:t xml:space="preserve">Annual </w:t>
    </w:r>
    <w:r w:rsidR="00A55B8D">
      <w:t>r</w:t>
    </w:r>
    <w:r w:rsidR="00CD38A1">
      <w:t xml:space="preserve">eport </w:t>
    </w:r>
    <w:r w:rsidR="00A55B8D">
      <w:t>s</w:t>
    </w:r>
    <w:r w:rsidR="00CD38A1">
      <w:t>eries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386" w14:textId="7B9AB737" w:rsidR="009E5D9A" w:rsidRDefault="00CD38A1" w:rsidP="00F173EF">
    <w:pPr>
      <w:pStyle w:val="Header-KeylineRight"/>
    </w:pPr>
    <w:r>
      <w:t>Productivity Bulletin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0D04CE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FF027C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D044C2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40A2D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1" w15:restartNumberingAfterBreak="0">
    <w:nsid w:val="183F54D6"/>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C63268"/>
    <w:multiLevelType w:val="hybridMultilevel"/>
    <w:tmpl w:val="5328B55E"/>
    <w:lvl w:ilvl="0" w:tplc="0BFC278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D73F81"/>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D665246"/>
    <w:multiLevelType w:val="multilevel"/>
    <w:tmpl w:val="55366B42"/>
    <w:numStyleLink w:val="LetteredList"/>
  </w:abstractNum>
  <w:abstractNum w:abstractNumId="17" w15:restartNumberingAfterBreak="0">
    <w:nsid w:val="2DFE29AF"/>
    <w:multiLevelType w:val="multilevel"/>
    <w:tmpl w:val="72768BCE"/>
    <w:numStyleLink w:val="AppendixHeadingList"/>
  </w:abstractNum>
  <w:abstractNum w:abstractNumId="18"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356094"/>
    <w:multiLevelType w:val="hybridMultilevel"/>
    <w:tmpl w:val="8EFE0FE6"/>
    <w:lvl w:ilvl="0" w:tplc="4F920CC2">
      <w:start w:val="1"/>
      <w:numFmt w:val="bullet"/>
      <w:lvlText w:val=""/>
      <w:lvlJc w:val="left"/>
      <w:pPr>
        <w:ind w:left="940" w:hanging="360"/>
      </w:pPr>
      <w:rPr>
        <w:rFonts w:ascii="Symbol" w:hAnsi="Symbol"/>
      </w:rPr>
    </w:lvl>
    <w:lvl w:ilvl="1" w:tplc="C24A3108">
      <w:start w:val="1"/>
      <w:numFmt w:val="bullet"/>
      <w:lvlText w:val=""/>
      <w:lvlJc w:val="left"/>
      <w:pPr>
        <w:ind w:left="940" w:hanging="360"/>
      </w:pPr>
      <w:rPr>
        <w:rFonts w:ascii="Symbol" w:hAnsi="Symbol"/>
      </w:rPr>
    </w:lvl>
    <w:lvl w:ilvl="2" w:tplc="7A70AA02">
      <w:start w:val="1"/>
      <w:numFmt w:val="bullet"/>
      <w:lvlText w:val=""/>
      <w:lvlJc w:val="left"/>
      <w:pPr>
        <w:ind w:left="940" w:hanging="360"/>
      </w:pPr>
      <w:rPr>
        <w:rFonts w:ascii="Symbol" w:hAnsi="Symbol"/>
      </w:rPr>
    </w:lvl>
    <w:lvl w:ilvl="3" w:tplc="909A1052">
      <w:start w:val="1"/>
      <w:numFmt w:val="bullet"/>
      <w:lvlText w:val=""/>
      <w:lvlJc w:val="left"/>
      <w:pPr>
        <w:ind w:left="940" w:hanging="360"/>
      </w:pPr>
      <w:rPr>
        <w:rFonts w:ascii="Symbol" w:hAnsi="Symbol"/>
      </w:rPr>
    </w:lvl>
    <w:lvl w:ilvl="4" w:tplc="81A6387A">
      <w:start w:val="1"/>
      <w:numFmt w:val="bullet"/>
      <w:lvlText w:val=""/>
      <w:lvlJc w:val="left"/>
      <w:pPr>
        <w:ind w:left="940" w:hanging="360"/>
      </w:pPr>
      <w:rPr>
        <w:rFonts w:ascii="Symbol" w:hAnsi="Symbol"/>
      </w:rPr>
    </w:lvl>
    <w:lvl w:ilvl="5" w:tplc="2880FF26">
      <w:start w:val="1"/>
      <w:numFmt w:val="bullet"/>
      <w:lvlText w:val=""/>
      <w:lvlJc w:val="left"/>
      <w:pPr>
        <w:ind w:left="940" w:hanging="360"/>
      </w:pPr>
      <w:rPr>
        <w:rFonts w:ascii="Symbol" w:hAnsi="Symbol"/>
      </w:rPr>
    </w:lvl>
    <w:lvl w:ilvl="6" w:tplc="FF086AF4">
      <w:start w:val="1"/>
      <w:numFmt w:val="bullet"/>
      <w:lvlText w:val=""/>
      <w:lvlJc w:val="left"/>
      <w:pPr>
        <w:ind w:left="940" w:hanging="360"/>
      </w:pPr>
      <w:rPr>
        <w:rFonts w:ascii="Symbol" w:hAnsi="Symbol"/>
      </w:rPr>
    </w:lvl>
    <w:lvl w:ilvl="7" w:tplc="7B305FF8">
      <w:start w:val="1"/>
      <w:numFmt w:val="bullet"/>
      <w:lvlText w:val=""/>
      <w:lvlJc w:val="left"/>
      <w:pPr>
        <w:ind w:left="940" w:hanging="360"/>
      </w:pPr>
      <w:rPr>
        <w:rFonts w:ascii="Symbol" w:hAnsi="Symbol"/>
      </w:rPr>
    </w:lvl>
    <w:lvl w:ilvl="8" w:tplc="3FF61E70">
      <w:start w:val="1"/>
      <w:numFmt w:val="bullet"/>
      <w:lvlText w:val=""/>
      <w:lvlJc w:val="left"/>
      <w:pPr>
        <w:ind w:left="940" w:hanging="360"/>
      </w:pPr>
      <w:rPr>
        <w:rFonts w:ascii="Symbol" w:hAnsi="Symbol"/>
      </w:rPr>
    </w:lvl>
  </w:abstractNum>
  <w:abstractNum w:abstractNumId="20" w15:restartNumberingAfterBreak="0">
    <w:nsid w:val="38E860CA"/>
    <w:multiLevelType w:val="hybridMultilevel"/>
    <w:tmpl w:val="533E0886"/>
    <w:lvl w:ilvl="0" w:tplc="FF18FAF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4" w15:restartNumberingAfterBreak="0">
    <w:nsid w:val="60E33AAE"/>
    <w:multiLevelType w:val="hybridMultilevel"/>
    <w:tmpl w:val="D4F2FAF0"/>
    <w:lvl w:ilvl="0" w:tplc="817E2642">
      <w:start w:val="1"/>
      <w:numFmt w:val="bullet"/>
      <w:lvlText w:val=""/>
      <w:lvlJc w:val="left"/>
      <w:pPr>
        <w:ind w:left="940" w:hanging="360"/>
      </w:pPr>
      <w:rPr>
        <w:rFonts w:ascii="Symbol" w:hAnsi="Symbol"/>
      </w:rPr>
    </w:lvl>
    <w:lvl w:ilvl="1" w:tplc="268C20CE">
      <w:start w:val="1"/>
      <w:numFmt w:val="bullet"/>
      <w:lvlText w:val=""/>
      <w:lvlJc w:val="left"/>
      <w:pPr>
        <w:ind w:left="940" w:hanging="360"/>
      </w:pPr>
      <w:rPr>
        <w:rFonts w:ascii="Symbol" w:hAnsi="Symbol"/>
      </w:rPr>
    </w:lvl>
    <w:lvl w:ilvl="2" w:tplc="E82C8536">
      <w:start w:val="1"/>
      <w:numFmt w:val="bullet"/>
      <w:lvlText w:val=""/>
      <w:lvlJc w:val="left"/>
      <w:pPr>
        <w:ind w:left="940" w:hanging="360"/>
      </w:pPr>
      <w:rPr>
        <w:rFonts w:ascii="Symbol" w:hAnsi="Symbol"/>
      </w:rPr>
    </w:lvl>
    <w:lvl w:ilvl="3" w:tplc="D166EBEE">
      <w:start w:val="1"/>
      <w:numFmt w:val="bullet"/>
      <w:lvlText w:val=""/>
      <w:lvlJc w:val="left"/>
      <w:pPr>
        <w:ind w:left="940" w:hanging="360"/>
      </w:pPr>
      <w:rPr>
        <w:rFonts w:ascii="Symbol" w:hAnsi="Symbol"/>
      </w:rPr>
    </w:lvl>
    <w:lvl w:ilvl="4" w:tplc="AF52782E">
      <w:start w:val="1"/>
      <w:numFmt w:val="bullet"/>
      <w:lvlText w:val=""/>
      <w:lvlJc w:val="left"/>
      <w:pPr>
        <w:ind w:left="940" w:hanging="360"/>
      </w:pPr>
      <w:rPr>
        <w:rFonts w:ascii="Symbol" w:hAnsi="Symbol"/>
      </w:rPr>
    </w:lvl>
    <w:lvl w:ilvl="5" w:tplc="FD5694A4">
      <w:start w:val="1"/>
      <w:numFmt w:val="bullet"/>
      <w:lvlText w:val=""/>
      <w:lvlJc w:val="left"/>
      <w:pPr>
        <w:ind w:left="940" w:hanging="360"/>
      </w:pPr>
      <w:rPr>
        <w:rFonts w:ascii="Symbol" w:hAnsi="Symbol"/>
      </w:rPr>
    </w:lvl>
    <w:lvl w:ilvl="6" w:tplc="E8000B7C">
      <w:start w:val="1"/>
      <w:numFmt w:val="bullet"/>
      <w:lvlText w:val=""/>
      <w:lvlJc w:val="left"/>
      <w:pPr>
        <w:ind w:left="940" w:hanging="360"/>
      </w:pPr>
      <w:rPr>
        <w:rFonts w:ascii="Symbol" w:hAnsi="Symbol"/>
      </w:rPr>
    </w:lvl>
    <w:lvl w:ilvl="7" w:tplc="1310D06A">
      <w:start w:val="1"/>
      <w:numFmt w:val="bullet"/>
      <w:lvlText w:val=""/>
      <w:lvlJc w:val="left"/>
      <w:pPr>
        <w:ind w:left="940" w:hanging="360"/>
      </w:pPr>
      <w:rPr>
        <w:rFonts w:ascii="Symbol" w:hAnsi="Symbol"/>
      </w:rPr>
    </w:lvl>
    <w:lvl w:ilvl="8" w:tplc="2794DC32">
      <w:start w:val="1"/>
      <w:numFmt w:val="bullet"/>
      <w:lvlText w:val=""/>
      <w:lvlJc w:val="left"/>
      <w:pPr>
        <w:ind w:left="940" w:hanging="360"/>
      </w:pPr>
      <w:rPr>
        <w:rFonts w:ascii="Symbol" w:hAnsi="Symbol"/>
      </w:rPr>
    </w:lvl>
  </w:abstractNum>
  <w:abstractNum w:abstractNumId="25" w15:restartNumberingAfterBreak="0">
    <w:nsid w:val="6134636A"/>
    <w:multiLevelType w:val="multilevel"/>
    <w:tmpl w:val="1FA8DC2A"/>
    <w:numStyleLink w:val="Numbering"/>
  </w:abstractNum>
  <w:abstractNum w:abstractNumId="26" w15:restartNumberingAfterBreak="0">
    <w:nsid w:val="62B20ABF"/>
    <w:multiLevelType w:val="hybridMultilevel"/>
    <w:tmpl w:val="3E2682DE"/>
    <w:lvl w:ilvl="0" w:tplc="4DBC7B8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BE5126"/>
    <w:multiLevelType w:val="hybridMultilevel"/>
    <w:tmpl w:val="D234A13C"/>
    <w:lvl w:ilvl="0" w:tplc="8654ABFE">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EE4B71"/>
    <w:multiLevelType w:val="hybridMultilevel"/>
    <w:tmpl w:val="7960C520"/>
    <w:lvl w:ilvl="0" w:tplc="3F286D9A">
      <w:start w:val="1"/>
      <w:numFmt w:val="bullet"/>
      <w:lvlText w:val=""/>
      <w:lvlJc w:val="left"/>
      <w:pPr>
        <w:ind w:left="940" w:hanging="360"/>
      </w:pPr>
      <w:rPr>
        <w:rFonts w:ascii="Symbol" w:hAnsi="Symbol"/>
      </w:rPr>
    </w:lvl>
    <w:lvl w:ilvl="1" w:tplc="D28867E0">
      <w:start w:val="1"/>
      <w:numFmt w:val="bullet"/>
      <w:lvlText w:val=""/>
      <w:lvlJc w:val="left"/>
      <w:pPr>
        <w:ind w:left="1160" w:hanging="360"/>
      </w:pPr>
      <w:rPr>
        <w:rFonts w:ascii="Symbol" w:hAnsi="Symbol"/>
      </w:rPr>
    </w:lvl>
    <w:lvl w:ilvl="2" w:tplc="20A0F8A0">
      <w:start w:val="1"/>
      <w:numFmt w:val="bullet"/>
      <w:lvlText w:val=""/>
      <w:lvlJc w:val="left"/>
      <w:pPr>
        <w:ind w:left="940" w:hanging="360"/>
      </w:pPr>
      <w:rPr>
        <w:rFonts w:ascii="Symbol" w:hAnsi="Symbol"/>
      </w:rPr>
    </w:lvl>
    <w:lvl w:ilvl="3" w:tplc="BAAA9B5C">
      <w:start w:val="1"/>
      <w:numFmt w:val="bullet"/>
      <w:lvlText w:val=""/>
      <w:lvlJc w:val="left"/>
      <w:pPr>
        <w:ind w:left="940" w:hanging="360"/>
      </w:pPr>
      <w:rPr>
        <w:rFonts w:ascii="Symbol" w:hAnsi="Symbol"/>
      </w:rPr>
    </w:lvl>
    <w:lvl w:ilvl="4" w:tplc="A288A8CA">
      <w:start w:val="1"/>
      <w:numFmt w:val="bullet"/>
      <w:lvlText w:val=""/>
      <w:lvlJc w:val="left"/>
      <w:pPr>
        <w:ind w:left="940" w:hanging="360"/>
      </w:pPr>
      <w:rPr>
        <w:rFonts w:ascii="Symbol" w:hAnsi="Symbol"/>
      </w:rPr>
    </w:lvl>
    <w:lvl w:ilvl="5" w:tplc="EC507DFC">
      <w:start w:val="1"/>
      <w:numFmt w:val="bullet"/>
      <w:lvlText w:val=""/>
      <w:lvlJc w:val="left"/>
      <w:pPr>
        <w:ind w:left="940" w:hanging="360"/>
      </w:pPr>
      <w:rPr>
        <w:rFonts w:ascii="Symbol" w:hAnsi="Symbol"/>
      </w:rPr>
    </w:lvl>
    <w:lvl w:ilvl="6" w:tplc="CBBC60FA">
      <w:start w:val="1"/>
      <w:numFmt w:val="bullet"/>
      <w:lvlText w:val=""/>
      <w:lvlJc w:val="left"/>
      <w:pPr>
        <w:ind w:left="940" w:hanging="360"/>
      </w:pPr>
      <w:rPr>
        <w:rFonts w:ascii="Symbol" w:hAnsi="Symbol"/>
      </w:rPr>
    </w:lvl>
    <w:lvl w:ilvl="7" w:tplc="CBCABAE0">
      <w:start w:val="1"/>
      <w:numFmt w:val="bullet"/>
      <w:lvlText w:val=""/>
      <w:lvlJc w:val="left"/>
      <w:pPr>
        <w:ind w:left="940" w:hanging="360"/>
      </w:pPr>
      <w:rPr>
        <w:rFonts w:ascii="Symbol" w:hAnsi="Symbol"/>
      </w:rPr>
    </w:lvl>
    <w:lvl w:ilvl="8" w:tplc="C420AF10">
      <w:start w:val="1"/>
      <w:numFmt w:val="bullet"/>
      <w:lvlText w:val=""/>
      <w:lvlJc w:val="left"/>
      <w:pPr>
        <w:ind w:left="940" w:hanging="360"/>
      </w:pPr>
      <w:rPr>
        <w:rFonts w:ascii="Symbol" w:hAnsi="Symbol"/>
      </w:rPr>
    </w:lvl>
  </w:abstractNum>
  <w:abstractNum w:abstractNumId="29" w15:restartNumberingAfterBreak="0">
    <w:nsid w:val="746B0DAD"/>
    <w:multiLevelType w:val="hybridMultilevel"/>
    <w:tmpl w:val="433262B6"/>
    <w:lvl w:ilvl="0" w:tplc="72965F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1B4A1B"/>
    <w:multiLevelType w:val="multilevel"/>
    <w:tmpl w:val="4F48000A"/>
    <w:numStyleLink w:val="Alphalist"/>
  </w:abstractNum>
  <w:abstractNum w:abstractNumId="31" w15:restartNumberingAfterBreak="0">
    <w:nsid w:val="79FD3F21"/>
    <w:multiLevelType w:val="hybridMultilevel"/>
    <w:tmpl w:val="FFFFFFFF"/>
    <w:lvl w:ilvl="0" w:tplc="698C7BD6">
      <w:start w:val="1"/>
      <w:numFmt w:val="lowerLetter"/>
      <w:lvlText w:val="%1."/>
      <w:lvlJc w:val="left"/>
      <w:pPr>
        <w:ind w:left="720" w:hanging="360"/>
      </w:pPr>
    </w:lvl>
    <w:lvl w:ilvl="1" w:tplc="6582AEE4">
      <w:start w:val="1"/>
      <w:numFmt w:val="lowerLetter"/>
      <w:lvlText w:val="%2."/>
      <w:lvlJc w:val="left"/>
      <w:pPr>
        <w:ind w:left="1440" w:hanging="360"/>
      </w:pPr>
    </w:lvl>
    <w:lvl w:ilvl="2" w:tplc="FA067E78">
      <w:start w:val="1"/>
      <w:numFmt w:val="lowerRoman"/>
      <w:lvlText w:val="%3."/>
      <w:lvlJc w:val="right"/>
      <w:pPr>
        <w:ind w:left="2160" w:hanging="180"/>
      </w:pPr>
    </w:lvl>
    <w:lvl w:ilvl="3" w:tplc="2EE8CF30">
      <w:start w:val="1"/>
      <w:numFmt w:val="decimal"/>
      <w:lvlText w:val="%4."/>
      <w:lvlJc w:val="left"/>
      <w:pPr>
        <w:ind w:left="2880" w:hanging="360"/>
      </w:pPr>
    </w:lvl>
    <w:lvl w:ilvl="4" w:tplc="D8BEAC86">
      <w:start w:val="1"/>
      <w:numFmt w:val="lowerLetter"/>
      <w:lvlText w:val="%5."/>
      <w:lvlJc w:val="left"/>
      <w:pPr>
        <w:ind w:left="3600" w:hanging="360"/>
      </w:pPr>
    </w:lvl>
    <w:lvl w:ilvl="5" w:tplc="38E049C2">
      <w:start w:val="1"/>
      <w:numFmt w:val="lowerRoman"/>
      <w:lvlText w:val="%6."/>
      <w:lvlJc w:val="right"/>
      <w:pPr>
        <w:ind w:left="4320" w:hanging="180"/>
      </w:pPr>
    </w:lvl>
    <w:lvl w:ilvl="6" w:tplc="2BA26B60">
      <w:start w:val="1"/>
      <w:numFmt w:val="decimal"/>
      <w:lvlText w:val="%7."/>
      <w:lvlJc w:val="left"/>
      <w:pPr>
        <w:ind w:left="5040" w:hanging="360"/>
      </w:pPr>
    </w:lvl>
    <w:lvl w:ilvl="7" w:tplc="DD20AA28">
      <w:start w:val="1"/>
      <w:numFmt w:val="lowerLetter"/>
      <w:lvlText w:val="%8."/>
      <w:lvlJc w:val="left"/>
      <w:pPr>
        <w:ind w:left="5760" w:hanging="360"/>
      </w:pPr>
    </w:lvl>
    <w:lvl w:ilvl="8" w:tplc="6A1072FC">
      <w:start w:val="1"/>
      <w:numFmt w:val="lowerRoman"/>
      <w:lvlText w:val="%9."/>
      <w:lvlJc w:val="right"/>
      <w:pPr>
        <w:ind w:left="6480" w:hanging="180"/>
      </w:pPr>
    </w:lvl>
  </w:abstractNum>
  <w:num w:numId="1" w16cid:durableId="1321301961">
    <w:abstractNumId w:val="9"/>
  </w:num>
  <w:num w:numId="2" w16cid:durableId="555315942">
    <w:abstractNumId w:val="5"/>
  </w:num>
  <w:num w:numId="3" w16cid:durableId="615795781">
    <w:abstractNumId w:val="14"/>
  </w:num>
  <w:num w:numId="4" w16cid:durableId="741752615">
    <w:abstractNumId w:val="22"/>
  </w:num>
  <w:num w:numId="5" w16cid:durableId="218169856">
    <w:abstractNumId w:val="23"/>
  </w:num>
  <w:num w:numId="6" w16cid:durableId="1788695656">
    <w:abstractNumId w:val="21"/>
  </w:num>
  <w:num w:numId="7" w16cid:durableId="647440314">
    <w:abstractNumId w:val="17"/>
  </w:num>
  <w:num w:numId="8" w16cid:durableId="1045910394">
    <w:abstractNumId w:val="10"/>
  </w:num>
  <w:num w:numId="9" w16cid:durableId="1324746363">
    <w:abstractNumId w:val="16"/>
  </w:num>
  <w:num w:numId="10" w16cid:durableId="1165244517">
    <w:abstractNumId w:val="30"/>
  </w:num>
  <w:num w:numId="11" w16cid:durableId="1220902291">
    <w:abstractNumId w:val="0"/>
  </w:num>
  <w:num w:numId="12" w16cid:durableId="1254243418">
    <w:abstractNumId w:val="6"/>
  </w:num>
  <w:num w:numId="13" w16cid:durableId="1484468523">
    <w:abstractNumId w:val="12"/>
  </w:num>
  <w:num w:numId="14" w16cid:durableId="1811362719">
    <w:abstractNumId w:val="8"/>
  </w:num>
  <w:num w:numId="15" w16cid:durableId="1783841590">
    <w:abstractNumId w:val="7"/>
  </w:num>
  <w:num w:numId="16" w16cid:durableId="868644978">
    <w:abstractNumId w:val="4"/>
  </w:num>
  <w:num w:numId="17" w16cid:durableId="241917242">
    <w:abstractNumId w:val="18"/>
  </w:num>
  <w:num w:numId="18" w16cid:durableId="1222791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53916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5435440">
    <w:abstractNumId w:val="26"/>
  </w:num>
  <w:num w:numId="21" w16cid:durableId="248394765">
    <w:abstractNumId w:val="20"/>
  </w:num>
  <w:num w:numId="22" w16cid:durableId="168524610">
    <w:abstractNumId w:val="3"/>
  </w:num>
  <w:num w:numId="23" w16cid:durableId="1682512918">
    <w:abstractNumId w:val="1"/>
  </w:num>
  <w:num w:numId="24" w16cid:durableId="1005136531">
    <w:abstractNumId w:val="28"/>
  </w:num>
  <w:num w:numId="25" w16cid:durableId="310596990">
    <w:abstractNumId w:val="24"/>
  </w:num>
  <w:num w:numId="26" w16cid:durableId="2126801979">
    <w:abstractNumId w:val="19"/>
  </w:num>
  <w:num w:numId="27" w16cid:durableId="1546139536">
    <w:abstractNumId w:val="13"/>
  </w:num>
  <w:num w:numId="28" w16cid:durableId="1050030665">
    <w:abstractNumId w:val="29"/>
  </w:num>
  <w:num w:numId="29" w16cid:durableId="14295438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796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020130">
    <w:abstractNumId w:val="31"/>
  </w:num>
  <w:num w:numId="32" w16cid:durableId="2079090273">
    <w:abstractNumId w:val="11"/>
  </w:num>
  <w:num w:numId="33" w16cid:durableId="1712608700">
    <w:abstractNumId w:val="15"/>
  </w:num>
  <w:num w:numId="34" w16cid:durableId="749156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9439829">
    <w:abstractNumId w:val="2"/>
  </w:num>
  <w:num w:numId="36" w16cid:durableId="968970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6793795">
    <w:abstractNumId w:val="8"/>
    <w:lvlOverride w:ilvl="0">
      <w:startOverride w:val="1"/>
      <w:lvl w:ilvl="0">
        <w:start w:val="1"/>
        <w:numFmt w:val="decimal"/>
        <w:pStyle w:val="ListNumber"/>
        <w:lvlText w:val="%1."/>
        <w:lvlJc w:val="left"/>
        <w:pPr>
          <w:ind w:left="454" w:hanging="454"/>
        </w:pPr>
        <w:rPr>
          <w:rFonts w:hint="default"/>
        </w:rPr>
      </w:lvl>
    </w:lvlOverride>
    <w:lvlOverride w:ilvl="1">
      <w:startOverride w:val="1"/>
      <w:lvl w:ilvl="1">
        <w:start w:val="1"/>
        <w:numFmt w:val="decimal"/>
        <w:pStyle w:val="ListNumber2"/>
        <w:lvlText w:val="%1.%2."/>
        <w:lvlJc w:val="left"/>
        <w:pPr>
          <w:ind w:left="680" w:hanging="680"/>
        </w:pPr>
        <w:rPr>
          <w:rFonts w:hint="default"/>
        </w:rPr>
      </w:lvl>
    </w:lvlOverride>
    <w:lvlOverride w:ilvl="2">
      <w:startOverride w:val="1"/>
      <w:lvl w:ilvl="2">
        <w:start w:val="1"/>
        <w:numFmt w:val="decimal"/>
        <w:pStyle w:val="ListNumber3"/>
        <w:lvlText w:val="%1.%2.%3."/>
        <w:lvlJc w:val="left"/>
        <w:pPr>
          <w:ind w:left="907" w:hanging="907"/>
        </w:pPr>
        <w:rPr>
          <w:rFonts w:hint="default"/>
        </w:rPr>
      </w:lvl>
    </w:lvlOverride>
    <w:lvlOverride w:ilvl="3">
      <w:startOverride w:val="1"/>
      <w:lvl w:ilvl="3">
        <w:start w:val="1"/>
        <w:numFmt w:val="decimal"/>
        <w:pStyle w:val="ListNumber4"/>
        <w:lvlText w:val="%1.%2.%3.%4."/>
        <w:lvlJc w:val="left"/>
        <w:pPr>
          <w:ind w:left="1134" w:hanging="1134"/>
        </w:pPr>
        <w:rPr>
          <w:rFonts w:hint="default"/>
        </w:rPr>
      </w:lvl>
    </w:lvlOverride>
    <w:lvlOverride w:ilvl="4">
      <w:startOverride w:val="1"/>
      <w:lvl w:ilvl="4">
        <w:start w:val="1"/>
        <w:numFmt w:val="decimal"/>
        <w:pStyle w:val="ListNumber5"/>
        <w:lvlText w:val="%1.%2.%3.%4.%5"/>
        <w:lvlJc w:val="left"/>
        <w:pPr>
          <w:ind w:left="1361" w:hanging="1361"/>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38" w16cid:durableId="962881931">
    <w:abstractNumId w:val="8"/>
    <w:lvlOverride w:ilvl="0">
      <w:startOverride w:val="1"/>
      <w:lvl w:ilvl="0">
        <w:start w:val="1"/>
        <w:numFmt w:val="decimal"/>
        <w:pStyle w:val="ListNumber"/>
        <w:lvlText w:val="%1."/>
        <w:lvlJc w:val="left"/>
        <w:pPr>
          <w:ind w:left="454" w:hanging="454"/>
        </w:pPr>
        <w:rPr>
          <w:rFonts w:hint="default"/>
        </w:rPr>
      </w:lvl>
    </w:lvlOverride>
    <w:lvlOverride w:ilvl="1">
      <w:startOverride w:val="1"/>
      <w:lvl w:ilvl="1">
        <w:start w:val="1"/>
        <w:numFmt w:val="decimal"/>
        <w:pStyle w:val="ListNumber2"/>
        <w:lvlText w:val="%1.%2."/>
        <w:lvlJc w:val="left"/>
        <w:pPr>
          <w:ind w:left="680" w:hanging="680"/>
        </w:pPr>
        <w:rPr>
          <w:rFonts w:hint="default"/>
        </w:rPr>
      </w:lvl>
    </w:lvlOverride>
    <w:lvlOverride w:ilvl="2">
      <w:startOverride w:val="1"/>
      <w:lvl w:ilvl="2">
        <w:start w:val="1"/>
        <w:numFmt w:val="decimal"/>
        <w:pStyle w:val="ListNumber3"/>
        <w:lvlText w:val="%1.%2.%3."/>
        <w:lvlJc w:val="left"/>
        <w:pPr>
          <w:ind w:left="907" w:hanging="907"/>
        </w:pPr>
        <w:rPr>
          <w:rFonts w:hint="default"/>
        </w:rPr>
      </w:lvl>
    </w:lvlOverride>
    <w:lvlOverride w:ilvl="3">
      <w:startOverride w:val="1"/>
      <w:lvl w:ilvl="3">
        <w:start w:val="1"/>
        <w:numFmt w:val="decimal"/>
        <w:pStyle w:val="ListNumber4"/>
        <w:lvlText w:val="%1.%2.%3.%4."/>
        <w:lvlJc w:val="left"/>
        <w:pPr>
          <w:ind w:left="1134" w:hanging="1134"/>
        </w:pPr>
        <w:rPr>
          <w:rFonts w:hint="default"/>
        </w:rPr>
      </w:lvl>
    </w:lvlOverride>
    <w:lvlOverride w:ilvl="4">
      <w:startOverride w:val="1"/>
      <w:lvl w:ilvl="4">
        <w:start w:val="1"/>
        <w:numFmt w:val="decimal"/>
        <w:pStyle w:val="ListNumber5"/>
        <w:lvlText w:val="%1.%2.%3.%4.%5"/>
        <w:lvlJc w:val="left"/>
        <w:pPr>
          <w:ind w:left="1361" w:hanging="1361"/>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39" w16cid:durableId="1076056844">
    <w:abstractNumId w:val="25"/>
  </w:num>
  <w:num w:numId="40" w16cid:durableId="1200240526">
    <w:abstractNumId w:val="27"/>
  </w:num>
  <w:num w:numId="41" w16cid:durableId="1807510359">
    <w:abstractNumId w:val="25"/>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907" w:hanging="907"/>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Text w:val="%8."/>
        <w:lvlJc w:val="left"/>
        <w:pPr>
          <w:ind w:left="567" w:hanging="567"/>
        </w:pPr>
        <w:rPr>
          <w:rFonts w:hint="default"/>
        </w:rPr>
      </w:lvl>
    </w:lvlOverride>
    <w:lvlOverride w:ilvl="8">
      <w:lvl w:ilvl="8">
        <w:start w:val="1"/>
        <w:numFmt w:val="none"/>
        <w:lvlText w:val=""/>
        <w:lvlJc w:val="right"/>
        <w:pPr>
          <w:ind w:left="567" w:hanging="567"/>
        </w:pPr>
        <w:rPr>
          <w:rFonts w:hint="default"/>
        </w:rPr>
      </w:lvl>
    </w:lvlOverride>
  </w:num>
  <w:num w:numId="42" w16cid:durableId="305204702">
    <w:abstractNumId w:val="25"/>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907" w:hanging="907"/>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Text w:val="%8."/>
        <w:lvlJc w:val="left"/>
        <w:pPr>
          <w:ind w:left="567" w:hanging="567"/>
        </w:pPr>
        <w:rPr>
          <w:rFonts w:hint="default"/>
        </w:rPr>
      </w:lvl>
    </w:lvlOverride>
    <w:lvlOverride w:ilvl="8">
      <w:lvl w:ilvl="8">
        <w:start w:val="1"/>
        <w:numFmt w:val="none"/>
        <w:lvlText w:val=""/>
        <w:lvlJc w:val="right"/>
        <w:pPr>
          <w:ind w:left="567" w:hanging="567"/>
        </w:pPr>
        <w:rPr>
          <w:rFonts w:hint="default"/>
        </w:rPr>
      </w:lvl>
    </w:lvlOverride>
  </w:num>
  <w:num w:numId="43" w16cid:durableId="88744521">
    <w:abstractNumId w:val="25"/>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907" w:hanging="907"/>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Text w:val="%8."/>
        <w:lvlJc w:val="left"/>
        <w:pPr>
          <w:ind w:left="567" w:hanging="567"/>
        </w:pPr>
        <w:rPr>
          <w:rFonts w:hint="default"/>
        </w:rPr>
      </w:lvl>
    </w:lvlOverride>
    <w:lvlOverride w:ilvl="8">
      <w:lvl w:ilvl="8">
        <w:start w:val="1"/>
        <w:numFmt w:val="none"/>
        <w:lvlText w:val=""/>
        <w:lvlJc w:val="right"/>
        <w:pPr>
          <w:ind w:left="567" w:hanging="567"/>
        </w:pPr>
        <w:rPr>
          <w:rFonts w:hint="default"/>
        </w:rPr>
      </w:lvl>
    </w:lvlOverride>
  </w:num>
  <w:num w:numId="44" w16cid:durableId="1245871497">
    <w:abstractNumId w:val="25"/>
    <w:lvlOverride w:ilvl="0">
      <w:startOverride w:val="2"/>
      <w:lvl w:ilvl="0">
        <w:start w:val="2"/>
        <w:numFmt w:val="decimal"/>
        <w:lvlText w:val="%1."/>
        <w:lvlJc w:val="left"/>
        <w:pPr>
          <w:ind w:left="454" w:hanging="454"/>
        </w:pPr>
        <w:rPr>
          <w:rFonts w:hint="default"/>
        </w:rPr>
      </w:lvl>
    </w:lvlOverride>
    <w:lvlOverride w:ilvl="1">
      <w:startOverride w:val="1"/>
      <w:lvl w:ilvl="1">
        <w:start w:val="1"/>
        <w:numFmt w:val="decimal"/>
        <w:lvlText w:val="%1.%2."/>
        <w:lvlJc w:val="left"/>
        <w:pPr>
          <w:ind w:left="680" w:hanging="680"/>
        </w:pPr>
        <w:rPr>
          <w:rFonts w:hint="default"/>
        </w:rPr>
      </w:lvl>
    </w:lvlOverride>
    <w:lvlOverride w:ilvl="2">
      <w:startOverride w:val="1"/>
      <w:lvl w:ilvl="2">
        <w:start w:val="1"/>
        <w:numFmt w:val="decimal"/>
        <w:lvlText w:val="%1.%2.%3."/>
        <w:lvlJc w:val="left"/>
        <w:pPr>
          <w:ind w:left="907" w:hanging="907"/>
        </w:pPr>
        <w:rPr>
          <w:rFonts w:hint="default"/>
        </w:rPr>
      </w:lvl>
    </w:lvlOverride>
    <w:lvlOverride w:ilvl="3">
      <w:startOverride w:val="1"/>
      <w:lvl w:ilvl="3">
        <w:start w:val="1"/>
        <w:numFmt w:val="decimal"/>
        <w:lvlText w:val="%1.%2.%3.%4."/>
        <w:lvlJc w:val="left"/>
        <w:pPr>
          <w:ind w:left="1134" w:hanging="1134"/>
        </w:pPr>
        <w:rPr>
          <w:rFonts w:hint="default"/>
        </w:rPr>
      </w:lvl>
    </w:lvlOverride>
    <w:lvlOverride w:ilvl="4">
      <w:startOverride w:val="1"/>
      <w:lvl w:ilvl="4">
        <w:start w:val="1"/>
        <w:numFmt w:val="decimal"/>
        <w:lvlText w:val="%1.%2.%3.%4.%5"/>
        <w:lvlJc w:val="left"/>
        <w:pPr>
          <w:ind w:left="1361" w:hanging="1361"/>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45" w16cid:durableId="1830829215">
    <w:abstractNumId w:val="25"/>
    <w:lvlOverride w:ilvl="0">
      <w:startOverride w:val="2"/>
      <w:lvl w:ilvl="0">
        <w:start w:val="2"/>
        <w:numFmt w:val="decimal"/>
        <w:lvlText w:val="%1."/>
        <w:lvlJc w:val="left"/>
        <w:pPr>
          <w:ind w:left="454" w:hanging="454"/>
        </w:pPr>
        <w:rPr>
          <w:rFonts w:hint="default"/>
        </w:rPr>
      </w:lvl>
    </w:lvlOverride>
    <w:lvlOverride w:ilvl="1">
      <w:startOverride w:val="1"/>
      <w:lvl w:ilvl="1">
        <w:start w:val="1"/>
        <w:numFmt w:val="decimal"/>
        <w:lvlText w:val="%1.%2."/>
        <w:lvlJc w:val="left"/>
        <w:pPr>
          <w:ind w:left="680" w:hanging="680"/>
        </w:pPr>
        <w:rPr>
          <w:rFonts w:hint="default"/>
        </w:rPr>
      </w:lvl>
    </w:lvlOverride>
    <w:lvlOverride w:ilvl="2">
      <w:startOverride w:val="1"/>
      <w:lvl w:ilvl="2">
        <w:start w:val="1"/>
        <w:numFmt w:val="decimal"/>
        <w:lvlText w:val="%1.%2.%3."/>
        <w:lvlJc w:val="left"/>
        <w:pPr>
          <w:ind w:left="907" w:hanging="907"/>
        </w:pPr>
        <w:rPr>
          <w:rFonts w:hint="default"/>
        </w:rPr>
      </w:lvl>
    </w:lvlOverride>
    <w:lvlOverride w:ilvl="3">
      <w:startOverride w:val="1"/>
      <w:lvl w:ilvl="3">
        <w:start w:val="1"/>
        <w:numFmt w:val="decimal"/>
        <w:lvlText w:val="%1.%2.%3.%4."/>
        <w:lvlJc w:val="left"/>
        <w:pPr>
          <w:ind w:left="1134" w:hanging="1134"/>
        </w:pPr>
        <w:rPr>
          <w:rFonts w:hint="default"/>
        </w:rPr>
      </w:lvl>
    </w:lvlOverride>
    <w:lvlOverride w:ilvl="4">
      <w:startOverride w:val="1"/>
      <w:lvl w:ilvl="4">
        <w:start w:val="1"/>
        <w:numFmt w:val="decimal"/>
        <w:lvlText w:val="%1.%2.%3.%4.%5"/>
        <w:lvlJc w:val="left"/>
        <w:pPr>
          <w:ind w:left="1361" w:hanging="1361"/>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46" w16cid:durableId="799499646">
    <w:abstractNumId w:val="25"/>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680" w:hanging="680"/>
        </w:pPr>
        <w:rPr>
          <w:rFonts w:hint="default"/>
        </w:rPr>
      </w:lvl>
    </w:lvlOverride>
    <w:lvlOverride w:ilvl="2">
      <w:startOverride w:val="1"/>
      <w:lvl w:ilvl="2">
        <w:start w:val="1"/>
        <w:numFmt w:val="decimal"/>
        <w:lvlText w:val="%1.%2.%3."/>
        <w:lvlJc w:val="left"/>
        <w:pPr>
          <w:ind w:left="907" w:hanging="907"/>
        </w:pPr>
        <w:rPr>
          <w:rFonts w:hint="default"/>
        </w:rPr>
      </w:lvl>
    </w:lvlOverride>
    <w:lvlOverride w:ilvl="3">
      <w:startOverride w:val="1"/>
      <w:lvl w:ilvl="3">
        <w:start w:val="1"/>
        <w:numFmt w:val="decimal"/>
        <w:lvlText w:val="%1.%2.%3.%4."/>
        <w:lvlJc w:val="left"/>
        <w:pPr>
          <w:ind w:left="1134" w:hanging="1134"/>
        </w:pPr>
        <w:rPr>
          <w:rFonts w:hint="default"/>
        </w:rPr>
      </w:lvl>
    </w:lvlOverride>
    <w:lvlOverride w:ilvl="4">
      <w:startOverride w:val="1"/>
      <w:lvl w:ilvl="4">
        <w:start w:val="1"/>
        <w:numFmt w:val="decimal"/>
        <w:lvlText w:val="%1.%2.%3.%4.%5"/>
        <w:lvlJc w:val="left"/>
        <w:pPr>
          <w:ind w:left="1361" w:hanging="1361"/>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1NzQ3NrE0NzEzMLNU0lEKTi0uzszPAykwrAUA/vW3jCwAAAA="/>
  </w:docVars>
  <w:rsids>
    <w:rsidRoot w:val="00305A67"/>
    <w:rsid w:val="00000075"/>
    <w:rsid w:val="00000F3C"/>
    <w:rsid w:val="00003E87"/>
    <w:rsid w:val="00004489"/>
    <w:rsid w:val="00005C79"/>
    <w:rsid w:val="000145F5"/>
    <w:rsid w:val="00026C04"/>
    <w:rsid w:val="000300AF"/>
    <w:rsid w:val="000331E4"/>
    <w:rsid w:val="0003338D"/>
    <w:rsid w:val="00033619"/>
    <w:rsid w:val="00045422"/>
    <w:rsid w:val="00047894"/>
    <w:rsid w:val="0005151B"/>
    <w:rsid w:val="00054C95"/>
    <w:rsid w:val="000561CF"/>
    <w:rsid w:val="0005774F"/>
    <w:rsid w:val="00062A44"/>
    <w:rsid w:val="0007141B"/>
    <w:rsid w:val="000724AE"/>
    <w:rsid w:val="000730F4"/>
    <w:rsid w:val="0007776A"/>
    <w:rsid w:val="00077A76"/>
    <w:rsid w:val="0008037D"/>
    <w:rsid w:val="00082E27"/>
    <w:rsid w:val="00084660"/>
    <w:rsid w:val="00085FB9"/>
    <w:rsid w:val="00091286"/>
    <w:rsid w:val="000A0F08"/>
    <w:rsid w:val="000A2AE9"/>
    <w:rsid w:val="000A38AA"/>
    <w:rsid w:val="000B497F"/>
    <w:rsid w:val="000B4A72"/>
    <w:rsid w:val="000B5105"/>
    <w:rsid w:val="000C6B77"/>
    <w:rsid w:val="000D5CDF"/>
    <w:rsid w:val="000E1C03"/>
    <w:rsid w:val="000E2EAF"/>
    <w:rsid w:val="000E43B0"/>
    <w:rsid w:val="000E7DAF"/>
    <w:rsid w:val="000F1A93"/>
    <w:rsid w:val="000F4488"/>
    <w:rsid w:val="000F71DA"/>
    <w:rsid w:val="00100FAB"/>
    <w:rsid w:val="0011217E"/>
    <w:rsid w:val="00112E8F"/>
    <w:rsid w:val="0011476C"/>
    <w:rsid w:val="00120792"/>
    <w:rsid w:val="001268BC"/>
    <w:rsid w:val="0013722E"/>
    <w:rsid w:val="00137FAB"/>
    <w:rsid w:val="00146668"/>
    <w:rsid w:val="00154E0D"/>
    <w:rsid w:val="001600E9"/>
    <w:rsid w:val="00160FEC"/>
    <w:rsid w:val="001610E5"/>
    <w:rsid w:val="00161BC8"/>
    <w:rsid w:val="001714F3"/>
    <w:rsid w:val="001843D1"/>
    <w:rsid w:val="00185D2D"/>
    <w:rsid w:val="00187F05"/>
    <w:rsid w:val="00194446"/>
    <w:rsid w:val="001957BF"/>
    <w:rsid w:val="001A0D77"/>
    <w:rsid w:val="001A196A"/>
    <w:rsid w:val="001A1D95"/>
    <w:rsid w:val="001A2565"/>
    <w:rsid w:val="001A7CE7"/>
    <w:rsid w:val="001B1762"/>
    <w:rsid w:val="001B17AC"/>
    <w:rsid w:val="001B38B0"/>
    <w:rsid w:val="001B588D"/>
    <w:rsid w:val="001C2652"/>
    <w:rsid w:val="001C6448"/>
    <w:rsid w:val="001C7835"/>
    <w:rsid w:val="001D4050"/>
    <w:rsid w:val="001D7D9B"/>
    <w:rsid w:val="001F13C1"/>
    <w:rsid w:val="001F1E9A"/>
    <w:rsid w:val="001F446D"/>
    <w:rsid w:val="001F6B0A"/>
    <w:rsid w:val="00201320"/>
    <w:rsid w:val="0020204A"/>
    <w:rsid w:val="00203AAB"/>
    <w:rsid w:val="002112EC"/>
    <w:rsid w:val="002171BA"/>
    <w:rsid w:val="00221800"/>
    <w:rsid w:val="00221AB7"/>
    <w:rsid w:val="002222B1"/>
    <w:rsid w:val="00227712"/>
    <w:rsid w:val="002326E0"/>
    <w:rsid w:val="0023270E"/>
    <w:rsid w:val="00243341"/>
    <w:rsid w:val="002446FF"/>
    <w:rsid w:val="002457DE"/>
    <w:rsid w:val="00246435"/>
    <w:rsid w:val="00246BCF"/>
    <w:rsid w:val="00251245"/>
    <w:rsid w:val="002516A8"/>
    <w:rsid w:val="00251CA2"/>
    <w:rsid w:val="002601BB"/>
    <w:rsid w:val="00265918"/>
    <w:rsid w:val="00270834"/>
    <w:rsid w:val="00273E86"/>
    <w:rsid w:val="002814E6"/>
    <w:rsid w:val="00281A54"/>
    <w:rsid w:val="00282AE5"/>
    <w:rsid w:val="00287114"/>
    <w:rsid w:val="002936B4"/>
    <w:rsid w:val="002951E6"/>
    <w:rsid w:val="00295330"/>
    <w:rsid w:val="002A09A8"/>
    <w:rsid w:val="002A1350"/>
    <w:rsid w:val="002B0577"/>
    <w:rsid w:val="002B1901"/>
    <w:rsid w:val="002C797E"/>
    <w:rsid w:val="002D50CB"/>
    <w:rsid w:val="002D6F32"/>
    <w:rsid w:val="002E3F19"/>
    <w:rsid w:val="002E51D2"/>
    <w:rsid w:val="002E7A0E"/>
    <w:rsid w:val="002E7EFA"/>
    <w:rsid w:val="002F6386"/>
    <w:rsid w:val="00303704"/>
    <w:rsid w:val="00305171"/>
    <w:rsid w:val="00305A67"/>
    <w:rsid w:val="00320569"/>
    <w:rsid w:val="00323400"/>
    <w:rsid w:val="00323A03"/>
    <w:rsid w:val="00326A36"/>
    <w:rsid w:val="00336ECB"/>
    <w:rsid w:val="00341017"/>
    <w:rsid w:val="00344A78"/>
    <w:rsid w:val="0034680A"/>
    <w:rsid w:val="00350CA2"/>
    <w:rsid w:val="00354696"/>
    <w:rsid w:val="0035519A"/>
    <w:rsid w:val="00355365"/>
    <w:rsid w:val="0036059A"/>
    <w:rsid w:val="00363FF8"/>
    <w:rsid w:val="003640E1"/>
    <w:rsid w:val="003725B1"/>
    <w:rsid w:val="00376491"/>
    <w:rsid w:val="0037721D"/>
    <w:rsid w:val="0038102A"/>
    <w:rsid w:val="003833B4"/>
    <w:rsid w:val="003867DD"/>
    <w:rsid w:val="0039109E"/>
    <w:rsid w:val="003A38C2"/>
    <w:rsid w:val="003A743E"/>
    <w:rsid w:val="003A7ADE"/>
    <w:rsid w:val="003B2A34"/>
    <w:rsid w:val="003B6E2C"/>
    <w:rsid w:val="003B7DB1"/>
    <w:rsid w:val="003C01D4"/>
    <w:rsid w:val="003C2CC3"/>
    <w:rsid w:val="003C69BF"/>
    <w:rsid w:val="003D09EE"/>
    <w:rsid w:val="003D23A3"/>
    <w:rsid w:val="003D5856"/>
    <w:rsid w:val="003D682E"/>
    <w:rsid w:val="003D7128"/>
    <w:rsid w:val="003E6055"/>
    <w:rsid w:val="003F6F1A"/>
    <w:rsid w:val="0040060F"/>
    <w:rsid w:val="00404E4F"/>
    <w:rsid w:val="004064F7"/>
    <w:rsid w:val="0041747F"/>
    <w:rsid w:val="00420F0E"/>
    <w:rsid w:val="0042339A"/>
    <w:rsid w:val="00423B15"/>
    <w:rsid w:val="00424CB8"/>
    <w:rsid w:val="0042508F"/>
    <w:rsid w:val="004320BE"/>
    <w:rsid w:val="0043326D"/>
    <w:rsid w:val="004379C2"/>
    <w:rsid w:val="004400E8"/>
    <w:rsid w:val="00447755"/>
    <w:rsid w:val="00450C80"/>
    <w:rsid w:val="004544D6"/>
    <w:rsid w:val="00461CE9"/>
    <w:rsid w:val="00462407"/>
    <w:rsid w:val="004631DD"/>
    <w:rsid w:val="004635FD"/>
    <w:rsid w:val="00470129"/>
    <w:rsid w:val="004728A0"/>
    <w:rsid w:val="004742DD"/>
    <w:rsid w:val="00475231"/>
    <w:rsid w:val="0047689A"/>
    <w:rsid w:val="00482FE5"/>
    <w:rsid w:val="00484E96"/>
    <w:rsid w:val="0048514D"/>
    <w:rsid w:val="00485C2B"/>
    <w:rsid w:val="00496700"/>
    <w:rsid w:val="004A2FB8"/>
    <w:rsid w:val="004A5586"/>
    <w:rsid w:val="004A6A31"/>
    <w:rsid w:val="004B1531"/>
    <w:rsid w:val="004B4F4D"/>
    <w:rsid w:val="004B609E"/>
    <w:rsid w:val="004C34D2"/>
    <w:rsid w:val="004C4823"/>
    <w:rsid w:val="004D6D4C"/>
    <w:rsid w:val="004E1233"/>
    <w:rsid w:val="004E28C6"/>
    <w:rsid w:val="004E6DE1"/>
    <w:rsid w:val="004F10E0"/>
    <w:rsid w:val="004F138F"/>
    <w:rsid w:val="004F2D0A"/>
    <w:rsid w:val="004F420C"/>
    <w:rsid w:val="00500123"/>
    <w:rsid w:val="0050192E"/>
    <w:rsid w:val="0050670B"/>
    <w:rsid w:val="00511B29"/>
    <w:rsid w:val="005124ED"/>
    <w:rsid w:val="005141E8"/>
    <w:rsid w:val="00516A89"/>
    <w:rsid w:val="00517257"/>
    <w:rsid w:val="00522DA5"/>
    <w:rsid w:val="00526CBC"/>
    <w:rsid w:val="00527A18"/>
    <w:rsid w:val="00540265"/>
    <w:rsid w:val="00540B70"/>
    <w:rsid w:val="00550C99"/>
    <w:rsid w:val="00553413"/>
    <w:rsid w:val="00555AB2"/>
    <w:rsid w:val="00561129"/>
    <w:rsid w:val="00562410"/>
    <w:rsid w:val="005706F9"/>
    <w:rsid w:val="00571371"/>
    <w:rsid w:val="00571C54"/>
    <w:rsid w:val="005754AB"/>
    <w:rsid w:val="005826F4"/>
    <w:rsid w:val="0058369E"/>
    <w:rsid w:val="00585395"/>
    <w:rsid w:val="005872B2"/>
    <w:rsid w:val="00590D09"/>
    <w:rsid w:val="0059156A"/>
    <w:rsid w:val="00593314"/>
    <w:rsid w:val="0059368E"/>
    <w:rsid w:val="00593BF5"/>
    <w:rsid w:val="00594496"/>
    <w:rsid w:val="005956D3"/>
    <w:rsid w:val="00596365"/>
    <w:rsid w:val="005965BC"/>
    <w:rsid w:val="005A07CA"/>
    <w:rsid w:val="005A35F6"/>
    <w:rsid w:val="005A7E78"/>
    <w:rsid w:val="005B03ED"/>
    <w:rsid w:val="005B1776"/>
    <w:rsid w:val="005B1BA3"/>
    <w:rsid w:val="005B32FB"/>
    <w:rsid w:val="005B5513"/>
    <w:rsid w:val="005B7FE4"/>
    <w:rsid w:val="005C05E0"/>
    <w:rsid w:val="005C37E0"/>
    <w:rsid w:val="005C54B9"/>
    <w:rsid w:val="005C5A1C"/>
    <w:rsid w:val="005C5C44"/>
    <w:rsid w:val="005C6618"/>
    <w:rsid w:val="005D0189"/>
    <w:rsid w:val="005D1E98"/>
    <w:rsid w:val="005E4470"/>
    <w:rsid w:val="005E5794"/>
    <w:rsid w:val="005E78D4"/>
    <w:rsid w:val="005F3722"/>
    <w:rsid w:val="00603FD5"/>
    <w:rsid w:val="00607F03"/>
    <w:rsid w:val="00610627"/>
    <w:rsid w:val="00610F6C"/>
    <w:rsid w:val="00616DC8"/>
    <w:rsid w:val="00620548"/>
    <w:rsid w:val="00624B3F"/>
    <w:rsid w:val="00624B90"/>
    <w:rsid w:val="00630F02"/>
    <w:rsid w:val="006475BD"/>
    <w:rsid w:val="006527FF"/>
    <w:rsid w:val="00656A8A"/>
    <w:rsid w:val="00662209"/>
    <w:rsid w:val="00665CB3"/>
    <w:rsid w:val="00681434"/>
    <w:rsid w:val="0068724F"/>
    <w:rsid w:val="006949BA"/>
    <w:rsid w:val="006A1DEF"/>
    <w:rsid w:val="006A7069"/>
    <w:rsid w:val="006A7426"/>
    <w:rsid w:val="006B637E"/>
    <w:rsid w:val="006C36D5"/>
    <w:rsid w:val="006C4AF4"/>
    <w:rsid w:val="006C4C82"/>
    <w:rsid w:val="006C6657"/>
    <w:rsid w:val="006C7E89"/>
    <w:rsid w:val="006D095B"/>
    <w:rsid w:val="006D3F2F"/>
    <w:rsid w:val="006D4212"/>
    <w:rsid w:val="006D4D65"/>
    <w:rsid w:val="006D4F09"/>
    <w:rsid w:val="006D5F4F"/>
    <w:rsid w:val="006E3536"/>
    <w:rsid w:val="006E6720"/>
    <w:rsid w:val="00701100"/>
    <w:rsid w:val="00714488"/>
    <w:rsid w:val="007158C6"/>
    <w:rsid w:val="00720507"/>
    <w:rsid w:val="007215EF"/>
    <w:rsid w:val="007301C9"/>
    <w:rsid w:val="007359B0"/>
    <w:rsid w:val="007373F6"/>
    <w:rsid w:val="00740B13"/>
    <w:rsid w:val="00742F0D"/>
    <w:rsid w:val="00743548"/>
    <w:rsid w:val="00744120"/>
    <w:rsid w:val="00753465"/>
    <w:rsid w:val="0075386F"/>
    <w:rsid w:val="00760304"/>
    <w:rsid w:val="00760E1B"/>
    <w:rsid w:val="00762F69"/>
    <w:rsid w:val="00764FE1"/>
    <w:rsid w:val="007669DE"/>
    <w:rsid w:val="00767EAE"/>
    <w:rsid w:val="00770DB0"/>
    <w:rsid w:val="0077105F"/>
    <w:rsid w:val="007710A0"/>
    <w:rsid w:val="00775165"/>
    <w:rsid w:val="0078533C"/>
    <w:rsid w:val="007915CD"/>
    <w:rsid w:val="007934F6"/>
    <w:rsid w:val="007A0363"/>
    <w:rsid w:val="007B6CF0"/>
    <w:rsid w:val="007C3475"/>
    <w:rsid w:val="007C4BFC"/>
    <w:rsid w:val="007C6054"/>
    <w:rsid w:val="007C677C"/>
    <w:rsid w:val="007D1569"/>
    <w:rsid w:val="007D15B3"/>
    <w:rsid w:val="007D186F"/>
    <w:rsid w:val="007D25EB"/>
    <w:rsid w:val="007E1A38"/>
    <w:rsid w:val="008017BC"/>
    <w:rsid w:val="0080322B"/>
    <w:rsid w:val="008035C3"/>
    <w:rsid w:val="00803F26"/>
    <w:rsid w:val="00804AE6"/>
    <w:rsid w:val="00804B8B"/>
    <w:rsid w:val="00806F63"/>
    <w:rsid w:val="00807F06"/>
    <w:rsid w:val="00811196"/>
    <w:rsid w:val="00813B77"/>
    <w:rsid w:val="0081533C"/>
    <w:rsid w:val="008161D7"/>
    <w:rsid w:val="00820661"/>
    <w:rsid w:val="0082437F"/>
    <w:rsid w:val="008301F0"/>
    <w:rsid w:val="00836262"/>
    <w:rsid w:val="00836E3A"/>
    <w:rsid w:val="00837210"/>
    <w:rsid w:val="008405ED"/>
    <w:rsid w:val="0084238D"/>
    <w:rsid w:val="00842734"/>
    <w:rsid w:val="008472B8"/>
    <w:rsid w:val="008529A2"/>
    <w:rsid w:val="0085439B"/>
    <w:rsid w:val="008579B4"/>
    <w:rsid w:val="00871A6C"/>
    <w:rsid w:val="00872A6F"/>
    <w:rsid w:val="00875CCB"/>
    <w:rsid w:val="00876F2B"/>
    <w:rsid w:val="00882675"/>
    <w:rsid w:val="008833F3"/>
    <w:rsid w:val="00892F68"/>
    <w:rsid w:val="00897793"/>
    <w:rsid w:val="008A1632"/>
    <w:rsid w:val="008A6F83"/>
    <w:rsid w:val="008A748F"/>
    <w:rsid w:val="008B05C3"/>
    <w:rsid w:val="008B3566"/>
    <w:rsid w:val="008B4965"/>
    <w:rsid w:val="008B78B1"/>
    <w:rsid w:val="008C1CCF"/>
    <w:rsid w:val="008D19FD"/>
    <w:rsid w:val="008D1ABD"/>
    <w:rsid w:val="008D3A0D"/>
    <w:rsid w:val="008E08BD"/>
    <w:rsid w:val="008E25D6"/>
    <w:rsid w:val="008E7BD4"/>
    <w:rsid w:val="008F0A95"/>
    <w:rsid w:val="008F567D"/>
    <w:rsid w:val="008F6F1A"/>
    <w:rsid w:val="008F7897"/>
    <w:rsid w:val="00900218"/>
    <w:rsid w:val="0090137A"/>
    <w:rsid w:val="00903370"/>
    <w:rsid w:val="0091349A"/>
    <w:rsid w:val="00914399"/>
    <w:rsid w:val="0091530C"/>
    <w:rsid w:val="009158BF"/>
    <w:rsid w:val="00924E15"/>
    <w:rsid w:val="00933E08"/>
    <w:rsid w:val="009342FC"/>
    <w:rsid w:val="00936068"/>
    <w:rsid w:val="00943806"/>
    <w:rsid w:val="00946351"/>
    <w:rsid w:val="00946C03"/>
    <w:rsid w:val="009517CC"/>
    <w:rsid w:val="00956586"/>
    <w:rsid w:val="0095741F"/>
    <w:rsid w:val="00957B07"/>
    <w:rsid w:val="009615D4"/>
    <w:rsid w:val="00962905"/>
    <w:rsid w:val="00966150"/>
    <w:rsid w:val="00970A20"/>
    <w:rsid w:val="0097163D"/>
    <w:rsid w:val="009721F8"/>
    <w:rsid w:val="00974677"/>
    <w:rsid w:val="00976023"/>
    <w:rsid w:val="00977F41"/>
    <w:rsid w:val="00980461"/>
    <w:rsid w:val="009853D8"/>
    <w:rsid w:val="009864AF"/>
    <w:rsid w:val="009901F4"/>
    <w:rsid w:val="009969C3"/>
    <w:rsid w:val="009A2F17"/>
    <w:rsid w:val="009A3C2B"/>
    <w:rsid w:val="009C6075"/>
    <w:rsid w:val="009D0BD3"/>
    <w:rsid w:val="009D24F5"/>
    <w:rsid w:val="009E19A3"/>
    <w:rsid w:val="009E2BF5"/>
    <w:rsid w:val="009E4DC0"/>
    <w:rsid w:val="009E5D9A"/>
    <w:rsid w:val="00A0757A"/>
    <w:rsid w:val="00A128B7"/>
    <w:rsid w:val="00A13664"/>
    <w:rsid w:val="00A14AC0"/>
    <w:rsid w:val="00A416AD"/>
    <w:rsid w:val="00A471AE"/>
    <w:rsid w:val="00A50CD9"/>
    <w:rsid w:val="00A51374"/>
    <w:rsid w:val="00A52751"/>
    <w:rsid w:val="00A5529A"/>
    <w:rsid w:val="00A55B8D"/>
    <w:rsid w:val="00A5703F"/>
    <w:rsid w:val="00A628B0"/>
    <w:rsid w:val="00A65DCB"/>
    <w:rsid w:val="00A75DCB"/>
    <w:rsid w:val="00A81659"/>
    <w:rsid w:val="00A8183A"/>
    <w:rsid w:val="00A86051"/>
    <w:rsid w:val="00A8625F"/>
    <w:rsid w:val="00A87AB4"/>
    <w:rsid w:val="00A90151"/>
    <w:rsid w:val="00A90256"/>
    <w:rsid w:val="00A9359B"/>
    <w:rsid w:val="00A94C72"/>
    <w:rsid w:val="00A9545C"/>
    <w:rsid w:val="00A970A6"/>
    <w:rsid w:val="00AA0C0D"/>
    <w:rsid w:val="00AA163B"/>
    <w:rsid w:val="00AA3569"/>
    <w:rsid w:val="00AB10F4"/>
    <w:rsid w:val="00AB2D17"/>
    <w:rsid w:val="00AB34AD"/>
    <w:rsid w:val="00AB46E2"/>
    <w:rsid w:val="00AC4F7C"/>
    <w:rsid w:val="00AC587D"/>
    <w:rsid w:val="00AD1100"/>
    <w:rsid w:val="00AD1AA2"/>
    <w:rsid w:val="00AD5657"/>
    <w:rsid w:val="00AD574E"/>
    <w:rsid w:val="00AD7A30"/>
    <w:rsid w:val="00AE6060"/>
    <w:rsid w:val="00AF28A2"/>
    <w:rsid w:val="00AF3BD9"/>
    <w:rsid w:val="00AF479F"/>
    <w:rsid w:val="00B044BC"/>
    <w:rsid w:val="00B11F80"/>
    <w:rsid w:val="00B23258"/>
    <w:rsid w:val="00B23603"/>
    <w:rsid w:val="00B302FA"/>
    <w:rsid w:val="00B32D6C"/>
    <w:rsid w:val="00B34048"/>
    <w:rsid w:val="00B3749D"/>
    <w:rsid w:val="00B443CC"/>
    <w:rsid w:val="00B63E35"/>
    <w:rsid w:val="00B65DAA"/>
    <w:rsid w:val="00B66B2F"/>
    <w:rsid w:val="00B720EC"/>
    <w:rsid w:val="00B74F7F"/>
    <w:rsid w:val="00B75B08"/>
    <w:rsid w:val="00B7663C"/>
    <w:rsid w:val="00B84869"/>
    <w:rsid w:val="00B86607"/>
    <w:rsid w:val="00B87859"/>
    <w:rsid w:val="00B91D47"/>
    <w:rsid w:val="00B953E2"/>
    <w:rsid w:val="00B954A0"/>
    <w:rsid w:val="00BA3CB8"/>
    <w:rsid w:val="00BA7623"/>
    <w:rsid w:val="00BA7647"/>
    <w:rsid w:val="00BB1E81"/>
    <w:rsid w:val="00BC0BFA"/>
    <w:rsid w:val="00BC0DCE"/>
    <w:rsid w:val="00BC127C"/>
    <w:rsid w:val="00BC6606"/>
    <w:rsid w:val="00BC7C1B"/>
    <w:rsid w:val="00BD190D"/>
    <w:rsid w:val="00BF0EF2"/>
    <w:rsid w:val="00BF11A0"/>
    <w:rsid w:val="00BF3E01"/>
    <w:rsid w:val="00BF68C8"/>
    <w:rsid w:val="00C016A3"/>
    <w:rsid w:val="00C01E68"/>
    <w:rsid w:val="00C061D9"/>
    <w:rsid w:val="00C11924"/>
    <w:rsid w:val="00C14016"/>
    <w:rsid w:val="00C1577B"/>
    <w:rsid w:val="00C17B40"/>
    <w:rsid w:val="00C221A0"/>
    <w:rsid w:val="00C238D1"/>
    <w:rsid w:val="00C25C46"/>
    <w:rsid w:val="00C31E23"/>
    <w:rsid w:val="00C326F9"/>
    <w:rsid w:val="00C36FFC"/>
    <w:rsid w:val="00C37A29"/>
    <w:rsid w:val="00C70878"/>
    <w:rsid w:val="00C70D80"/>
    <w:rsid w:val="00C70EFC"/>
    <w:rsid w:val="00C71688"/>
    <w:rsid w:val="00C75C56"/>
    <w:rsid w:val="00C84AE1"/>
    <w:rsid w:val="00C932F3"/>
    <w:rsid w:val="00CA034C"/>
    <w:rsid w:val="00CA0B3F"/>
    <w:rsid w:val="00CA5231"/>
    <w:rsid w:val="00CB09AF"/>
    <w:rsid w:val="00CC315F"/>
    <w:rsid w:val="00CC3DE4"/>
    <w:rsid w:val="00CC455A"/>
    <w:rsid w:val="00CC459B"/>
    <w:rsid w:val="00CC5F5B"/>
    <w:rsid w:val="00CD0ECA"/>
    <w:rsid w:val="00CD1743"/>
    <w:rsid w:val="00CD38A1"/>
    <w:rsid w:val="00CD61EB"/>
    <w:rsid w:val="00CD7F44"/>
    <w:rsid w:val="00CE43AF"/>
    <w:rsid w:val="00CE4D3A"/>
    <w:rsid w:val="00CE5078"/>
    <w:rsid w:val="00CE64FD"/>
    <w:rsid w:val="00CE7236"/>
    <w:rsid w:val="00CF02F0"/>
    <w:rsid w:val="00CF4BC6"/>
    <w:rsid w:val="00CF7F06"/>
    <w:rsid w:val="00D01615"/>
    <w:rsid w:val="00D02433"/>
    <w:rsid w:val="00D0352E"/>
    <w:rsid w:val="00D046A9"/>
    <w:rsid w:val="00D10F14"/>
    <w:rsid w:val="00D14F25"/>
    <w:rsid w:val="00D15113"/>
    <w:rsid w:val="00D15B7C"/>
    <w:rsid w:val="00D15B7D"/>
    <w:rsid w:val="00D16F74"/>
    <w:rsid w:val="00D20B11"/>
    <w:rsid w:val="00D30791"/>
    <w:rsid w:val="00D31E3E"/>
    <w:rsid w:val="00D330CA"/>
    <w:rsid w:val="00D3316D"/>
    <w:rsid w:val="00D37882"/>
    <w:rsid w:val="00D46FD9"/>
    <w:rsid w:val="00D5184A"/>
    <w:rsid w:val="00D5370F"/>
    <w:rsid w:val="00D54C61"/>
    <w:rsid w:val="00D60649"/>
    <w:rsid w:val="00D612A4"/>
    <w:rsid w:val="00D61E88"/>
    <w:rsid w:val="00D83923"/>
    <w:rsid w:val="00D84673"/>
    <w:rsid w:val="00D9419D"/>
    <w:rsid w:val="00D96F65"/>
    <w:rsid w:val="00DA0DF4"/>
    <w:rsid w:val="00DA136C"/>
    <w:rsid w:val="00DA1380"/>
    <w:rsid w:val="00DA3017"/>
    <w:rsid w:val="00DA5484"/>
    <w:rsid w:val="00DB400F"/>
    <w:rsid w:val="00DB7E8D"/>
    <w:rsid w:val="00DB7FE7"/>
    <w:rsid w:val="00DC1012"/>
    <w:rsid w:val="00DC18D8"/>
    <w:rsid w:val="00DC1B37"/>
    <w:rsid w:val="00DC5DFF"/>
    <w:rsid w:val="00DC74CB"/>
    <w:rsid w:val="00DD134A"/>
    <w:rsid w:val="00DD6473"/>
    <w:rsid w:val="00DE3005"/>
    <w:rsid w:val="00DF21FA"/>
    <w:rsid w:val="00DF4360"/>
    <w:rsid w:val="00DF4E3E"/>
    <w:rsid w:val="00DF5638"/>
    <w:rsid w:val="00DF57D9"/>
    <w:rsid w:val="00DF60B9"/>
    <w:rsid w:val="00DF63B7"/>
    <w:rsid w:val="00E010CD"/>
    <w:rsid w:val="00E0453D"/>
    <w:rsid w:val="00E05FA6"/>
    <w:rsid w:val="00E06939"/>
    <w:rsid w:val="00E15A2F"/>
    <w:rsid w:val="00E16EF9"/>
    <w:rsid w:val="00E25474"/>
    <w:rsid w:val="00E27C28"/>
    <w:rsid w:val="00E32EE5"/>
    <w:rsid w:val="00E32F93"/>
    <w:rsid w:val="00E379F7"/>
    <w:rsid w:val="00E43F4A"/>
    <w:rsid w:val="00E47107"/>
    <w:rsid w:val="00E50474"/>
    <w:rsid w:val="00E54ACD"/>
    <w:rsid w:val="00E54B2B"/>
    <w:rsid w:val="00E61632"/>
    <w:rsid w:val="00E70DD7"/>
    <w:rsid w:val="00E72EE0"/>
    <w:rsid w:val="00E741FB"/>
    <w:rsid w:val="00E91A7E"/>
    <w:rsid w:val="00E91FED"/>
    <w:rsid w:val="00EA1626"/>
    <w:rsid w:val="00EA1943"/>
    <w:rsid w:val="00EB3F9D"/>
    <w:rsid w:val="00EB5DC6"/>
    <w:rsid w:val="00EC1D53"/>
    <w:rsid w:val="00ED4983"/>
    <w:rsid w:val="00EE4BA1"/>
    <w:rsid w:val="00EE6F14"/>
    <w:rsid w:val="00EF1E8F"/>
    <w:rsid w:val="00EF3F23"/>
    <w:rsid w:val="00F04EA7"/>
    <w:rsid w:val="00F161AE"/>
    <w:rsid w:val="00F162D4"/>
    <w:rsid w:val="00F2058B"/>
    <w:rsid w:val="00F25AE6"/>
    <w:rsid w:val="00F3209B"/>
    <w:rsid w:val="00F3214C"/>
    <w:rsid w:val="00F33F8D"/>
    <w:rsid w:val="00F37CB6"/>
    <w:rsid w:val="00F37F65"/>
    <w:rsid w:val="00F4010B"/>
    <w:rsid w:val="00F404C1"/>
    <w:rsid w:val="00F46E42"/>
    <w:rsid w:val="00F4702C"/>
    <w:rsid w:val="00F505B8"/>
    <w:rsid w:val="00F53EFE"/>
    <w:rsid w:val="00F60BA2"/>
    <w:rsid w:val="00F634F6"/>
    <w:rsid w:val="00F748E1"/>
    <w:rsid w:val="00F77B4D"/>
    <w:rsid w:val="00F80E0C"/>
    <w:rsid w:val="00F87B07"/>
    <w:rsid w:val="00F94880"/>
    <w:rsid w:val="00FA33D2"/>
    <w:rsid w:val="00FB016C"/>
    <w:rsid w:val="00FB4E93"/>
    <w:rsid w:val="00FC25D7"/>
    <w:rsid w:val="00FC2D8B"/>
    <w:rsid w:val="00FC2DE0"/>
    <w:rsid w:val="00FC6531"/>
    <w:rsid w:val="00FD18AB"/>
    <w:rsid w:val="00FD3044"/>
    <w:rsid w:val="00FD3306"/>
    <w:rsid w:val="00FD36B1"/>
    <w:rsid w:val="00FE32B8"/>
    <w:rsid w:val="00FE59FD"/>
    <w:rsid w:val="00FE7F98"/>
    <w:rsid w:val="00FF0F1F"/>
    <w:rsid w:val="00FF2E7F"/>
    <w:rsid w:val="00FF306D"/>
    <w:rsid w:val="00FF5B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FB37E"/>
  <w15:chartTrackingRefBased/>
  <w15:docId w15:val="{FFDAAFFA-65F8-4137-825D-1AB3159A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D3044"/>
    <w:pPr>
      <w:spacing w:before="120" w:after="120" w:line="280" w:lineRule="atLeast"/>
    </w:pPr>
    <w:rPr>
      <w:sz w:val="20"/>
      <w:szCs w:val="20"/>
    </w:rPr>
  </w:style>
  <w:style w:type="paragraph" w:styleId="Heading1">
    <w:name w:val="heading 1"/>
    <w:basedOn w:val="Normal"/>
    <w:next w:val="BodyText"/>
    <w:link w:val="Heading1Char"/>
    <w:uiPriority w:val="9"/>
    <w:qFormat/>
    <w:rsid w:val="00FD3044"/>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D3044"/>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D3044"/>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D3044"/>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D3044"/>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D3044"/>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D3044"/>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D3044"/>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D3044"/>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044"/>
    <w:rPr>
      <w:color w:val="808080"/>
    </w:rPr>
  </w:style>
  <w:style w:type="paragraph" w:styleId="Date">
    <w:name w:val="Date"/>
    <w:basedOn w:val="Normal"/>
    <w:next w:val="Normal"/>
    <w:link w:val="DateChar"/>
    <w:uiPriority w:val="99"/>
    <w:unhideWhenUsed/>
    <w:rsid w:val="00FD3044"/>
    <w:pPr>
      <w:spacing w:after="360" w:line="293" w:lineRule="auto"/>
    </w:pPr>
  </w:style>
  <w:style w:type="character" w:customStyle="1" w:styleId="DateChar">
    <w:name w:val="Date Char"/>
    <w:basedOn w:val="DefaultParagraphFont"/>
    <w:link w:val="Date"/>
    <w:uiPriority w:val="99"/>
    <w:rsid w:val="00FD3044"/>
    <w:rPr>
      <w:sz w:val="20"/>
      <w:szCs w:val="20"/>
    </w:rPr>
  </w:style>
  <w:style w:type="paragraph" w:styleId="NoSpacing">
    <w:name w:val="No Spacing"/>
    <w:basedOn w:val="Normal"/>
    <w:link w:val="NoSpacingChar"/>
    <w:uiPriority w:val="10"/>
    <w:qFormat/>
    <w:rsid w:val="00FD3044"/>
    <w:pPr>
      <w:spacing w:before="0" w:after="0"/>
    </w:pPr>
  </w:style>
  <w:style w:type="paragraph" w:styleId="ListBullet">
    <w:name w:val="List Bullet"/>
    <w:basedOn w:val="Normal"/>
    <w:link w:val="ListBulletChar"/>
    <w:uiPriority w:val="1"/>
    <w:qFormat/>
    <w:rsid w:val="00FD3044"/>
    <w:pPr>
      <w:numPr>
        <w:numId w:val="15"/>
      </w:numPr>
      <w:contextualSpacing/>
    </w:pPr>
  </w:style>
  <w:style w:type="paragraph" w:styleId="ListBullet2">
    <w:name w:val="List Bullet 2"/>
    <w:basedOn w:val="Normal"/>
    <w:uiPriority w:val="1"/>
    <w:qFormat/>
    <w:rsid w:val="00FD3044"/>
    <w:pPr>
      <w:numPr>
        <w:ilvl w:val="1"/>
        <w:numId w:val="15"/>
      </w:numPr>
      <w:contextualSpacing/>
    </w:pPr>
  </w:style>
  <w:style w:type="paragraph" w:styleId="ListNumber">
    <w:name w:val="List Number"/>
    <w:basedOn w:val="Normal"/>
    <w:uiPriority w:val="2"/>
    <w:qFormat/>
    <w:rsid w:val="00FD3044"/>
    <w:pPr>
      <w:numPr>
        <w:numId w:val="14"/>
      </w:numPr>
      <w:spacing w:before="60"/>
      <w:contextualSpacing/>
    </w:pPr>
  </w:style>
  <w:style w:type="numbering" w:customStyle="1" w:styleId="Bullets">
    <w:name w:val="Bullets"/>
    <w:uiPriority w:val="99"/>
    <w:rsid w:val="00FD3044"/>
    <w:pPr>
      <w:numPr>
        <w:numId w:val="5"/>
      </w:numPr>
    </w:pPr>
  </w:style>
  <w:style w:type="character" w:customStyle="1" w:styleId="Heading1Char">
    <w:name w:val="Heading 1 Char"/>
    <w:basedOn w:val="DefaultParagraphFont"/>
    <w:link w:val="Heading1"/>
    <w:uiPriority w:val="9"/>
    <w:rsid w:val="00FD304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D3044"/>
    <w:pPr>
      <w:numPr>
        <w:ilvl w:val="1"/>
        <w:numId w:val="14"/>
      </w:numPr>
      <w:spacing w:before="60"/>
      <w:contextualSpacing/>
    </w:pPr>
  </w:style>
  <w:style w:type="character" w:customStyle="1" w:styleId="Heading2Char">
    <w:name w:val="Heading 2 Char"/>
    <w:basedOn w:val="DefaultParagraphFont"/>
    <w:link w:val="Heading2"/>
    <w:uiPriority w:val="9"/>
    <w:rsid w:val="00FD3044"/>
    <w:rPr>
      <w:rFonts w:asciiTheme="majorHAnsi" w:eastAsiaTheme="majorEastAsia" w:hAnsiTheme="majorHAnsi" w:cstheme="majorBidi"/>
      <w:sz w:val="30"/>
      <w:szCs w:val="60"/>
    </w:rPr>
  </w:style>
  <w:style w:type="paragraph" w:styleId="ListParagraph">
    <w:name w:val="List Paragraph"/>
    <w:basedOn w:val="Normal"/>
    <w:uiPriority w:val="34"/>
    <w:rsid w:val="00FD3044"/>
    <w:pPr>
      <w:spacing w:line="293" w:lineRule="auto"/>
      <w:ind w:left="284"/>
      <w:contextualSpacing/>
    </w:pPr>
  </w:style>
  <w:style w:type="paragraph" w:styleId="Header">
    <w:name w:val="header"/>
    <w:basedOn w:val="Normal"/>
    <w:link w:val="HeaderChar"/>
    <w:uiPriority w:val="99"/>
    <w:unhideWhenUsed/>
    <w:rsid w:val="00FD3044"/>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D3044"/>
    <w:rPr>
      <w:sz w:val="16"/>
      <w:szCs w:val="20"/>
    </w:rPr>
  </w:style>
  <w:style w:type="paragraph" w:styleId="Footer">
    <w:name w:val="footer"/>
    <w:basedOn w:val="Normal"/>
    <w:link w:val="FooterChar"/>
    <w:uiPriority w:val="11"/>
    <w:rsid w:val="00FD3044"/>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D3044"/>
    <w:rPr>
      <w:rFonts w:asciiTheme="majorHAnsi" w:hAnsiTheme="majorHAnsi"/>
      <w:sz w:val="17"/>
    </w:rPr>
  </w:style>
  <w:style w:type="numbering" w:customStyle="1" w:styleId="Numbering">
    <w:name w:val="Numbering"/>
    <w:uiPriority w:val="99"/>
    <w:rsid w:val="00FD3044"/>
    <w:pPr>
      <w:numPr>
        <w:numId w:val="14"/>
      </w:numPr>
    </w:pPr>
  </w:style>
  <w:style w:type="paragraph" w:styleId="ListBullet3">
    <w:name w:val="List Bullet 3"/>
    <w:basedOn w:val="Normal"/>
    <w:uiPriority w:val="1"/>
    <w:qFormat/>
    <w:rsid w:val="00FD3044"/>
    <w:pPr>
      <w:numPr>
        <w:ilvl w:val="2"/>
        <w:numId w:val="15"/>
      </w:numPr>
      <w:contextualSpacing/>
    </w:pPr>
  </w:style>
  <w:style w:type="paragraph" w:styleId="ListContinue2">
    <w:name w:val="List Continue 2"/>
    <w:basedOn w:val="Normal"/>
    <w:uiPriority w:val="3"/>
    <w:unhideWhenUsed/>
    <w:qFormat/>
    <w:rsid w:val="00FD3044"/>
    <w:pPr>
      <w:spacing w:before="60"/>
      <w:ind w:left="454"/>
    </w:pPr>
  </w:style>
  <w:style w:type="paragraph" w:styleId="ListNumber3">
    <w:name w:val="List Number 3"/>
    <w:basedOn w:val="Normal"/>
    <w:uiPriority w:val="13"/>
    <w:semiHidden/>
    <w:qFormat/>
    <w:rsid w:val="00FD3044"/>
    <w:pPr>
      <w:numPr>
        <w:ilvl w:val="2"/>
        <w:numId w:val="14"/>
      </w:numPr>
      <w:spacing w:before="60"/>
      <w:contextualSpacing/>
    </w:pPr>
  </w:style>
  <w:style w:type="paragraph" w:styleId="ListNumber4">
    <w:name w:val="List Number 4"/>
    <w:basedOn w:val="Normal"/>
    <w:uiPriority w:val="13"/>
    <w:semiHidden/>
    <w:qFormat/>
    <w:rsid w:val="00FD3044"/>
    <w:pPr>
      <w:numPr>
        <w:ilvl w:val="3"/>
        <w:numId w:val="14"/>
      </w:numPr>
      <w:spacing w:after="200" w:line="293" w:lineRule="auto"/>
      <w:contextualSpacing/>
    </w:pPr>
  </w:style>
  <w:style w:type="paragraph" w:styleId="ListNumber5">
    <w:name w:val="List Number 5"/>
    <w:basedOn w:val="Normal"/>
    <w:uiPriority w:val="13"/>
    <w:semiHidden/>
    <w:rsid w:val="00FD3044"/>
    <w:pPr>
      <w:numPr>
        <w:ilvl w:val="4"/>
        <w:numId w:val="14"/>
      </w:numPr>
      <w:spacing w:after="200" w:line="293" w:lineRule="auto"/>
      <w:contextualSpacing/>
    </w:pPr>
  </w:style>
  <w:style w:type="paragraph" w:styleId="ListContinue">
    <w:name w:val="List Continue"/>
    <w:basedOn w:val="Normal"/>
    <w:uiPriority w:val="3"/>
    <w:unhideWhenUsed/>
    <w:qFormat/>
    <w:rsid w:val="00FD3044"/>
    <w:pPr>
      <w:spacing w:before="60"/>
      <w:ind w:left="227"/>
    </w:pPr>
  </w:style>
  <w:style w:type="paragraph" w:styleId="ListContinue3">
    <w:name w:val="List Continue 3"/>
    <w:basedOn w:val="Normal"/>
    <w:uiPriority w:val="3"/>
    <w:unhideWhenUsed/>
    <w:qFormat/>
    <w:rsid w:val="00FD3044"/>
    <w:pPr>
      <w:spacing w:before="60"/>
      <w:ind w:left="907"/>
    </w:pPr>
  </w:style>
  <w:style w:type="paragraph" w:styleId="ListContinue4">
    <w:name w:val="List Continue 4"/>
    <w:basedOn w:val="Normal"/>
    <w:uiPriority w:val="3"/>
    <w:unhideWhenUsed/>
    <w:qFormat/>
    <w:rsid w:val="00FD3044"/>
    <w:pPr>
      <w:spacing w:line="293" w:lineRule="auto"/>
      <w:ind w:left="907"/>
      <w:contextualSpacing/>
    </w:pPr>
  </w:style>
  <w:style w:type="character" w:customStyle="1" w:styleId="Heading3Char">
    <w:name w:val="Heading 3 Char"/>
    <w:basedOn w:val="DefaultParagraphFont"/>
    <w:link w:val="Heading3"/>
    <w:uiPriority w:val="9"/>
    <w:rsid w:val="00FD3044"/>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D3044"/>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D3044"/>
    <w:rPr>
      <w:rFonts w:eastAsiaTheme="majorEastAsia" w:cstheme="majorBidi"/>
      <w:b/>
      <w:color w:val="265A9A" w:themeColor="background2"/>
      <w:szCs w:val="29"/>
    </w:rPr>
  </w:style>
  <w:style w:type="numbering" w:customStyle="1" w:styleId="ListHeadings">
    <w:name w:val="List Headings"/>
    <w:uiPriority w:val="99"/>
    <w:rsid w:val="00FD3044"/>
    <w:pPr>
      <w:numPr>
        <w:numId w:val="12"/>
      </w:numPr>
    </w:pPr>
  </w:style>
  <w:style w:type="paragraph" w:styleId="Title">
    <w:name w:val="Title"/>
    <w:basedOn w:val="Heading1"/>
    <w:next w:val="Normal"/>
    <w:link w:val="TitleChar"/>
    <w:uiPriority w:val="39"/>
    <w:rsid w:val="00FD3044"/>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D3044"/>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D3044"/>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D3044"/>
    <w:rPr>
      <w:b/>
    </w:rPr>
  </w:style>
  <w:style w:type="character" w:customStyle="1" w:styleId="Pull-outQuoteChar">
    <w:name w:val="Pull-out Quote Char"/>
    <w:basedOn w:val="DefaultParagraphFont"/>
    <w:link w:val="Pull-outQuote"/>
    <w:uiPriority w:val="99"/>
    <w:semiHidden/>
    <w:rsid w:val="00FD3044"/>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D3044"/>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D3044"/>
  </w:style>
  <w:style w:type="paragraph" w:customStyle="1" w:styleId="NumberedHeading2">
    <w:name w:val="Numbered Heading 2"/>
    <w:basedOn w:val="Heading2"/>
    <w:next w:val="Normal"/>
    <w:link w:val="NumberedHeading2Char"/>
    <w:uiPriority w:val="9"/>
    <w:semiHidden/>
    <w:rsid w:val="00FD3044"/>
  </w:style>
  <w:style w:type="character" w:customStyle="1" w:styleId="NumberedHeading1Char">
    <w:name w:val="Numbered Heading 1 Char"/>
    <w:basedOn w:val="Heading1Char"/>
    <w:link w:val="NumberedHeading1"/>
    <w:uiPriority w:val="9"/>
    <w:semiHidden/>
    <w:rsid w:val="00FD3044"/>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D3044"/>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D3044"/>
    <w:pPr>
      <w:ind w:left="1134"/>
      <w:contextualSpacing/>
    </w:pPr>
  </w:style>
  <w:style w:type="table" w:styleId="TableGrid">
    <w:name w:val="Table Grid"/>
    <w:basedOn w:val="TableNormal"/>
    <w:uiPriority w:val="39"/>
    <w:rsid w:val="00FD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D3044"/>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D3044"/>
    <w:pPr>
      <w:numPr>
        <w:numId w:val="9"/>
      </w:numPr>
      <w:spacing w:before="60"/>
    </w:pPr>
  </w:style>
  <w:style w:type="paragraph" w:styleId="List2">
    <w:name w:val="List 2"/>
    <w:basedOn w:val="Normal"/>
    <w:uiPriority w:val="99"/>
    <w:semiHidden/>
    <w:qFormat/>
    <w:rsid w:val="00FD3044"/>
    <w:pPr>
      <w:numPr>
        <w:ilvl w:val="1"/>
        <w:numId w:val="9"/>
      </w:numPr>
      <w:spacing w:before="60"/>
    </w:pPr>
  </w:style>
  <w:style w:type="numbering" w:customStyle="1" w:styleId="LetteredList">
    <w:name w:val="Lettered List"/>
    <w:uiPriority w:val="99"/>
    <w:rsid w:val="00FD3044"/>
    <w:pPr>
      <w:numPr>
        <w:numId w:val="8"/>
      </w:numPr>
    </w:pPr>
  </w:style>
  <w:style w:type="paragraph" w:styleId="Subtitle">
    <w:name w:val="Subtitle"/>
    <w:basedOn w:val="Normal"/>
    <w:next w:val="Normal"/>
    <w:link w:val="SubtitleChar"/>
    <w:uiPriority w:val="39"/>
    <w:rsid w:val="00FD3044"/>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D3044"/>
    <w:rPr>
      <w:rFonts w:eastAsiaTheme="minorEastAsia"/>
      <w:color w:val="FFFFFF" w:themeColor="background1"/>
      <w:sz w:val="52"/>
      <w:szCs w:val="20"/>
    </w:rPr>
  </w:style>
  <w:style w:type="character" w:styleId="Strong">
    <w:name w:val="Strong"/>
    <w:basedOn w:val="DefaultParagraphFont"/>
    <w:uiPriority w:val="22"/>
    <w:qFormat/>
    <w:rsid w:val="00FD3044"/>
    <w:rPr>
      <w:rFonts w:asciiTheme="minorHAnsi" w:hAnsiTheme="minorHAnsi"/>
      <w:b/>
      <w:bCs/>
    </w:rPr>
  </w:style>
  <w:style w:type="paragraph" w:customStyle="1" w:styleId="Header-Keyline">
    <w:name w:val="Header - Keyline"/>
    <w:basedOn w:val="Header"/>
    <w:link w:val="Header-KeylineChar"/>
    <w:uiPriority w:val="99"/>
    <w:rsid w:val="00FD3044"/>
    <w:pPr>
      <w:pBdr>
        <w:bottom w:val="single" w:sz="4" w:space="31" w:color="66BCDB" w:themeColor="text2"/>
      </w:pBdr>
      <w:spacing w:after="600"/>
    </w:pPr>
  </w:style>
  <w:style w:type="character" w:customStyle="1" w:styleId="Heading6Char">
    <w:name w:val="Heading 6 Char"/>
    <w:basedOn w:val="DefaultParagraphFont"/>
    <w:link w:val="Heading6"/>
    <w:uiPriority w:val="9"/>
    <w:rsid w:val="00FD3044"/>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D3044"/>
    <w:rPr>
      <w:sz w:val="16"/>
      <w:szCs w:val="20"/>
    </w:rPr>
  </w:style>
  <w:style w:type="character" w:customStyle="1" w:styleId="Heading7Char">
    <w:name w:val="Heading 7 Char"/>
    <w:basedOn w:val="DefaultParagraphFont"/>
    <w:link w:val="Heading7"/>
    <w:uiPriority w:val="9"/>
    <w:semiHidden/>
    <w:rsid w:val="00FD3044"/>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D3044"/>
    <w:rPr>
      <w:rFonts w:eastAsiaTheme="majorEastAsia" w:cstheme="majorBidi"/>
      <w:b/>
      <w:sz w:val="18"/>
      <w:szCs w:val="21"/>
    </w:rPr>
  </w:style>
  <w:style w:type="table" w:customStyle="1" w:styleId="ProductivityCommissionTable1">
    <w:name w:val="Productivity Commission Table 1"/>
    <w:basedOn w:val="TableNormal"/>
    <w:uiPriority w:val="99"/>
    <w:rsid w:val="00FD3044"/>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D3044"/>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D3044"/>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D3044"/>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D3044"/>
    <w:pPr>
      <w:spacing w:before="60" w:after="60" w:line="293" w:lineRule="auto"/>
      <w:contextualSpacing/>
    </w:pPr>
    <w:rPr>
      <w:sz w:val="18"/>
    </w:rPr>
  </w:style>
  <w:style w:type="paragraph" w:styleId="TOC1">
    <w:name w:val="toc 1"/>
    <w:basedOn w:val="Normal"/>
    <w:next w:val="BodyText"/>
    <w:autoRedefine/>
    <w:uiPriority w:val="39"/>
    <w:unhideWhenUsed/>
    <w:rsid w:val="00FD3044"/>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D3044"/>
    <w:rPr>
      <w:sz w:val="18"/>
      <w:szCs w:val="20"/>
    </w:rPr>
  </w:style>
  <w:style w:type="character" w:styleId="FootnoteReference">
    <w:name w:val="footnote reference"/>
    <w:basedOn w:val="DefaultParagraphFont"/>
    <w:uiPriority w:val="99"/>
    <w:semiHidden/>
    <w:unhideWhenUsed/>
    <w:rsid w:val="00FD3044"/>
    <w:rPr>
      <w:vertAlign w:val="superscript"/>
    </w:rPr>
  </w:style>
  <w:style w:type="character" w:styleId="Hyperlink">
    <w:name w:val="Hyperlink"/>
    <w:basedOn w:val="DefaultParagraphFont"/>
    <w:uiPriority w:val="99"/>
    <w:unhideWhenUsed/>
    <w:rsid w:val="00FD3044"/>
    <w:rPr>
      <w:color w:val="000000" w:themeColor="hyperlink"/>
      <w:u w:val="single"/>
    </w:rPr>
  </w:style>
  <w:style w:type="character" w:styleId="HTMLVariable">
    <w:name w:val="HTML Variable"/>
    <w:basedOn w:val="DefaultParagraphFont"/>
    <w:uiPriority w:val="99"/>
    <w:unhideWhenUsed/>
    <w:rsid w:val="00FD3044"/>
    <w:rPr>
      <w:i/>
      <w:iCs/>
    </w:rPr>
  </w:style>
  <w:style w:type="paragraph" w:styleId="TOC2">
    <w:name w:val="toc 2"/>
    <w:basedOn w:val="Normal"/>
    <w:next w:val="Normal"/>
    <w:autoRedefine/>
    <w:uiPriority w:val="39"/>
    <w:unhideWhenUsed/>
    <w:rsid w:val="00FD3044"/>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D3044"/>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D3044"/>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D3044"/>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D30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D304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D3044"/>
    <w:rPr>
      <w:sz w:val="20"/>
      <w:szCs w:val="20"/>
    </w:rPr>
  </w:style>
  <w:style w:type="character" w:customStyle="1" w:styleId="Copyrightpage-Heading2Char">
    <w:name w:val="Copyright page-Heading 2 Char"/>
    <w:basedOn w:val="NoSpacingChar"/>
    <w:link w:val="Copyrightpage-Heading2"/>
    <w:uiPriority w:val="19"/>
    <w:rsid w:val="00FD3044"/>
    <w:rPr>
      <w:b/>
      <w:color w:val="FFFFFF" w:themeColor="background1"/>
      <w:sz w:val="16"/>
      <w:szCs w:val="16"/>
    </w:rPr>
  </w:style>
  <w:style w:type="paragraph" w:customStyle="1" w:styleId="Copyrightpage-Heading">
    <w:name w:val="Copyright page-Heading"/>
    <w:basedOn w:val="Subtitle2"/>
    <w:link w:val="Copyrightpage-HeadingChar"/>
    <w:uiPriority w:val="19"/>
    <w:rsid w:val="00FD3044"/>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D3044"/>
    <w:rPr>
      <w:color w:val="FFFFFF" w:themeColor="background1"/>
      <w:sz w:val="16"/>
      <w:szCs w:val="20"/>
    </w:rPr>
  </w:style>
  <w:style w:type="paragraph" w:customStyle="1" w:styleId="Subtitle4">
    <w:name w:val="Subtitle 4"/>
    <w:basedOn w:val="Copyrightpage-Heading"/>
    <w:link w:val="Subtitle4Char"/>
    <w:uiPriority w:val="39"/>
    <w:rsid w:val="00FD3044"/>
    <w:pPr>
      <w:spacing w:after="40"/>
    </w:pPr>
    <w:rPr>
      <w:b/>
      <w:sz w:val="16"/>
    </w:rPr>
  </w:style>
  <w:style w:type="character" w:customStyle="1" w:styleId="Copyrightpage-HeadingChar">
    <w:name w:val="Copyright page-Heading Char"/>
    <w:basedOn w:val="Subtitle2Char"/>
    <w:link w:val="Copyrightpage-Heading"/>
    <w:uiPriority w:val="19"/>
    <w:rsid w:val="00FD3044"/>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D3044"/>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D30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D3044"/>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D3044"/>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D3044"/>
    <w:pPr>
      <w:spacing w:line="360" w:lineRule="auto"/>
      <w:jc w:val="right"/>
    </w:pPr>
    <w:rPr>
      <w:sz w:val="16"/>
    </w:rPr>
  </w:style>
  <w:style w:type="paragraph" w:customStyle="1" w:styleId="Letterlogo">
    <w:name w:val="Letter logo"/>
    <w:basedOn w:val="LetterRight"/>
    <w:uiPriority w:val="99"/>
    <w:rsid w:val="00FD3044"/>
    <w:pPr>
      <w:spacing w:after="320"/>
    </w:pPr>
  </w:style>
  <w:style w:type="character" w:customStyle="1" w:styleId="LetterRightChar">
    <w:name w:val="Letter Right Char"/>
    <w:basedOn w:val="DefaultParagraphFont"/>
    <w:link w:val="LetterRight"/>
    <w:uiPriority w:val="99"/>
    <w:rsid w:val="00FD3044"/>
    <w:rPr>
      <w:sz w:val="16"/>
      <w:szCs w:val="20"/>
    </w:rPr>
  </w:style>
  <w:style w:type="character" w:styleId="UnresolvedMention">
    <w:name w:val="Unresolved Mention"/>
    <w:basedOn w:val="DefaultParagraphFont"/>
    <w:uiPriority w:val="99"/>
    <w:semiHidden/>
    <w:unhideWhenUsed/>
    <w:rsid w:val="00FD3044"/>
    <w:rPr>
      <w:color w:val="605E5C"/>
      <w:shd w:val="clear" w:color="auto" w:fill="E1DFDD"/>
    </w:rPr>
  </w:style>
  <w:style w:type="paragraph" w:customStyle="1" w:styleId="LetterRight-NoSpace">
    <w:name w:val="Letter Right-No Space"/>
    <w:basedOn w:val="LetterRight"/>
    <w:uiPriority w:val="99"/>
    <w:rsid w:val="00FD3044"/>
    <w:pPr>
      <w:spacing w:after="0"/>
    </w:pPr>
  </w:style>
  <w:style w:type="table" w:customStyle="1" w:styleId="Blank">
    <w:name w:val="Blank"/>
    <w:basedOn w:val="TableNormal"/>
    <w:uiPriority w:val="99"/>
    <w:rsid w:val="00FD3044"/>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D3044"/>
    <w:pPr>
      <w:numPr>
        <w:numId w:val="11"/>
      </w:numPr>
      <w:contextualSpacing/>
    </w:pPr>
  </w:style>
  <w:style w:type="paragraph" w:customStyle="1" w:styleId="Coverdate">
    <w:name w:val="Cover date"/>
    <w:basedOn w:val="Normal"/>
    <w:uiPriority w:val="29"/>
    <w:rsid w:val="00FD3044"/>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D3044"/>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D3044"/>
    <w:rPr>
      <w:color w:val="FFFFFF" w:themeColor="background1"/>
    </w:rPr>
  </w:style>
  <w:style w:type="paragraph" w:customStyle="1" w:styleId="Copyrightpage-Keylinenotext">
    <w:name w:val="Copyright page-Keyline (no text)"/>
    <w:basedOn w:val="Copyrightpage-Heading2"/>
    <w:uiPriority w:val="19"/>
    <w:rsid w:val="00FD3044"/>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D3044"/>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D3044"/>
    <w:rPr>
      <w:b/>
    </w:rPr>
  </w:style>
  <w:style w:type="paragraph" w:customStyle="1" w:styleId="CoverImage">
    <w:name w:val="Cover Image"/>
    <w:basedOn w:val="Normal"/>
    <w:uiPriority w:val="29"/>
    <w:rsid w:val="00FD3044"/>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D3044"/>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D3044"/>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D3044"/>
    <w:pPr>
      <w:spacing w:before="60"/>
      <w:ind w:left="113" w:right="851"/>
    </w:pPr>
    <w:rPr>
      <w:color w:val="58585B"/>
    </w:rPr>
  </w:style>
  <w:style w:type="numbering" w:customStyle="1" w:styleId="TOCList">
    <w:name w:val="TOC List"/>
    <w:uiPriority w:val="99"/>
    <w:rsid w:val="00FD3044"/>
    <w:pPr>
      <w:numPr>
        <w:numId w:val="17"/>
      </w:numPr>
    </w:pPr>
  </w:style>
  <w:style w:type="paragraph" w:customStyle="1" w:styleId="Heading1-Section-fullpage">
    <w:name w:val="Heading 1-Section-full page"/>
    <w:basedOn w:val="Heading1-nobackground"/>
    <w:uiPriority w:val="9"/>
    <w:qFormat/>
    <w:rsid w:val="00FD3044"/>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D3044"/>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D3044"/>
    <w:pPr>
      <w:keepNext/>
      <w:spacing w:before="240"/>
    </w:pPr>
  </w:style>
  <w:style w:type="paragraph" w:customStyle="1" w:styleId="Source">
    <w:name w:val="Source"/>
    <w:basedOn w:val="Normal"/>
    <w:uiPriority w:val="9"/>
    <w:qFormat/>
    <w:rsid w:val="00FD3044"/>
    <w:pPr>
      <w:spacing w:before="80" w:after="240" w:line="216" w:lineRule="atLeast"/>
    </w:pPr>
    <w:rPr>
      <w:sz w:val="18"/>
    </w:rPr>
  </w:style>
  <w:style w:type="paragraph" w:customStyle="1" w:styleId="Note">
    <w:name w:val="Note"/>
    <w:basedOn w:val="Source"/>
    <w:uiPriority w:val="9"/>
    <w:qFormat/>
    <w:rsid w:val="00FD3044"/>
    <w:pPr>
      <w:spacing w:after="20"/>
    </w:pPr>
  </w:style>
  <w:style w:type="numbering" w:customStyle="1" w:styleId="Figure">
    <w:name w:val="Figure"/>
    <w:uiPriority w:val="99"/>
    <w:rsid w:val="00FD3044"/>
    <w:pPr>
      <w:numPr>
        <w:numId w:val="6"/>
      </w:numPr>
    </w:pPr>
  </w:style>
  <w:style w:type="table" w:customStyle="1" w:styleId="Boxtable">
    <w:name w:val="Box table"/>
    <w:basedOn w:val="Texttable-Paleblue"/>
    <w:uiPriority w:val="99"/>
    <w:rsid w:val="00FD3044"/>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D3044"/>
    <w:pPr>
      <w:numPr>
        <w:numId w:val="4"/>
      </w:numPr>
    </w:pPr>
  </w:style>
  <w:style w:type="paragraph" w:customStyle="1" w:styleId="BoxHeading2">
    <w:name w:val="Box Heading 2"/>
    <w:basedOn w:val="Normal"/>
    <w:next w:val="BodyText"/>
    <w:uiPriority w:val="4"/>
    <w:qFormat/>
    <w:rsid w:val="00FD3044"/>
    <w:rPr>
      <w:b/>
    </w:rPr>
  </w:style>
  <w:style w:type="table" w:customStyle="1" w:styleId="ProductivityCommissionTable2-Dark">
    <w:name w:val="Productivity Commission Table 2 - Dark"/>
    <w:basedOn w:val="ProductivityCommissionTable2"/>
    <w:uiPriority w:val="99"/>
    <w:rsid w:val="00FD3044"/>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D3044"/>
    <w:rPr>
      <w:i/>
    </w:rPr>
  </w:style>
  <w:style w:type="paragraph" w:customStyle="1" w:styleId="TableHeading">
    <w:name w:val="Table Heading"/>
    <w:basedOn w:val="NoSpacing"/>
    <w:uiPriority w:val="4"/>
    <w:qFormat/>
    <w:rsid w:val="00FD3044"/>
    <w:pPr>
      <w:spacing w:after="20"/>
      <w:ind w:left="57"/>
    </w:pPr>
    <w:rPr>
      <w:b/>
      <w:color w:val="265A9A" w:themeColor="background2"/>
      <w:sz w:val="18"/>
    </w:rPr>
  </w:style>
  <w:style w:type="paragraph" w:customStyle="1" w:styleId="BodyText-Blue">
    <w:name w:val="Body Text-Blue"/>
    <w:basedOn w:val="BodyText"/>
    <w:link w:val="BodyText-BlueChar"/>
    <w:semiHidden/>
    <w:qFormat/>
    <w:rsid w:val="00FD3044"/>
    <w:rPr>
      <w:color w:val="265A9A" w:themeColor="background2"/>
    </w:rPr>
  </w:style>
  <w:style w:type="table" w:customStyle="1" w:styleId="Texttable-Keyline">
    <w:name w:val="Text table-Keyline"/>
    <w:basedOn w:val="Texttable-Paleblue"/>
    <w:uiPriority w:val="99"/>
    <w:rsid w:val="00FD3044"/>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D3044"/>
    <w:pPr>
      <w:jc w:val="right"/>
    </w:pPr>
  </w:style>
  <w:style w:type="table" w:customStyle="1" w:styleId="CopyrightPage">
    <w:name w:val="Copyright Page"/>
    <w:basedOn w:val="OverviewPageBannerTableStyle"/>
    <w:uiPriority w:val="99"/>
    <w:rsid w:val="00FD3044"/>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D3044"/>
    <w:pPr>
      <w:spacing w:line="312" w:lineRule="atLeast"/>
    </w:pPr>
    <w:rPr>
      <w:color w:val="2C9BC2"/>
    </w:rPr>
  </w:style>
  <w:style w:type="paragraph" w:styleId="BodyText">
    <w:name w:val="Body Text"/>
    <w:basedOn w:val="Normal"/>
    <w:link w:val="BodyTextChar"/>
    <w:qFormat/>
    <w:rsid w:val="00FD3044"/>
  </w:style>
  <w:style w:type="character" w:customStyle="1" w:styleId="BodyTextChar">
    <w:name w:val="Body Text Char"/>
    <w:basedOn w:val="DefaultParagraphFont"/>
    <w:link w:val="BodyText"/>
    <w:rsid w:val="00FD3044"/>
    <w:rPr>
      <w:sz w:val="20"/>
      <w:szCs w:val="20"/>
    </w:rPr>
  </w:style>
  <w:style w:type="paragraph" w:styleId="List4">
    <w:name w:val="List 4"/>
    <w:basedOn w:val="Normal"/>
    <w:uiPriority w:val="99"/>
    <w:semiHidden/>
    <w:rsid w:val="00FD3044"/>
    <w:pPr>
      <w:numPr>
        <w:ilvl w:val="3"/>
        <w:numId w:val="9"/>
      </w:numPr>
      <w:contextualSpacing/>
    </w:pPr>
  </w:style>
  <w:style w:type="paragraph" w:styleId="List3">
    <w:name w:val="List 3"/>
    <w:basedOn w:val="Normal"/>
    <w:uiPriority w:val="99"/>
    <w:semiHidden/>
    <w:rsid w:val="00FD3044"/>
    <w:pPr>
      <w:numPr>
        <w:ilvl w:val="2"/>
        <w:numId w:val="9"/>
      </w:numPr>
      <w:contextualSpacing/>
    </w:pPr>
  </w:style>
  <w:style w:type="paragraph" w:customStyle="1" w:styleId="Heading1-nonumber">
    <w:name w:val="Heading 1-no number"/>
    <w:basedOn w:val="Heading1"/>
    <w:next w:val="BodyText"/>
    <w:uiPriority w:val="9"/>
    <w:qFormat/>
    <w:rsid w:val="00FD3044"/>
    <w:pPr>
      <w:numPr>
        <w:numId w:val="0"/>
      </w:numPr>
      <w:ind w:left="567"/>
    </w:pPr>
  </w:style>
  <w:style w:type="paragraph" w:customStyle="1" w:styleId="ListAlpha1">
    <w:name w:val="List Alpha 1"/>
    <w:basedOn w:val="Normal"/>
    <w:uiPriority w:val="3"/>
    <w:qFormat/>
    <w:rsid w:val="00FD3044"/>
    <w:pPr>
      <w:numPr>
        <w:numId w:val="10"/>
      </w:numPr>
      <w:spacing w:before="60"/>
      <w:contextualSpacing/>
    </w:pPr>
  </w:style>
  <w:style w:type="paragraph" w:customStyle="1" w:styleId="ListAlpha2">
    <w:name w:val="List Alpha 2"/>
    <w:basedOn w:val="ListAlpha1"/>
    <w:uiPriority w:val="3"/>
    <w:qFormat/>
    <w:rsid w:val="00FD3044"/>
    <w:pPr>
      <w:numPr>
        <w:ilvl w:val="1"/>
      </w:numPr>
    </w:pPr>
  </w:style>
  <w:style w:type="paragraph" w:customStyle="1" w:styleId="ListAlpha3">
    <w:name w:val="List Alpha 3"/>
    <w:basedOn w:val="ListAlpha2"/>
    <w:uiPriority w:val="3"/>
    <w:qFormat/>
    <w:rsid w:val="00FD3044"/>
    <w:pPr>
      <w:numPr>
        <w:ilvl w:val="2"/>
      </w:numPr>
    </w:pPr>
  </w:style>
  <w:style w:type="paragraph" w:customStyle="1" w:styleId="ListAlpha4">
    <w:name w:val="List Alpha 4"/>
    <w:basedOn w:val="ListAlpha3"/>
    <w:uiPriority w:val="3"/>
    <w:semiHidden/>
    <w:qFormat/>
    <w:rsid w:val="00FD3044"/>
    <w:pPr>
      <w:numPr>
        <w:ilvl w:val="3"/>
      </w:numPr>
    </w:pPr>
  </w:style>
  <w:style w:type="numbering" w:customStyle="1" w:styleId="Alphalist">
    <w:name w:val="Alpha list"/>
    <w:uiPriority w:val="99"/>
    <w:rsid w:val="00FD3044"/>
    <w:pPr>
      <w:numPr>
        <w:numId w:val="1"/>
      </w:numPr>
    </w:pPr>
  </w:style>
  <w:style w:type="paragraph" w:customStyle="1" w:styleId="KeyPoints-Bold">
    <w:name w:val="Key Points-Bold"/>
    <w:basedOn w:val="Normal"/>
    <w:uiPriority w:val="10"/>
    <w:qFormat/>
    <w:rsid w:val="00FD3044"/>
    <w:pPr>
      <w:spacing w:before="40" w:after="60" w:line="274" w:lineRule="atLeast"/>
    </w:pPr>
    <w:rPr>
      <w:b/>
      <w:sz w:val="18"/>
    </w:rPr>
  </w:style>
  <w:style w:type="paragraph" w:customStyle="1" w:styleId="Copyrightpage-BodyBold">
    <w:name w:val="Copyright page-Body Bold"/>
    <w:basedOn w:val="Copyrightpage-BodyText"/>
    <w:uiPriority w:val="19"/>
    <w:rsid w:val="00FD3044"/>
    <w:rPr>
      <w:b/>
    </w:rPr>
  </w:style>
  <w:style w:type="paragraph" w:customStyle="1" w:styleId="KeyPoints-Bullet">
    <w:name w:val="Key Points-Bullet"/>
    <w:basedOn w:val="ListBullet"/>
    <w:uiPriority w:val="10"/>
    <w:qFormat/>
    <w:rsid w:val="00FD3044"/>
    <w:pPr>
      <w:spacing w:after="60" w:line="274" w:lineRule="atLeast"/>
    </w:pPr>
    <w:rPr>
      <w:sz w:val="18"/>
    </w:rPr>
  </w:style>
  <w:style w:type="paragraph" w:customStyle="1" w:styleId="BodyText-Grey">
    <w:name w:val="Body Text-Grey"/>
    <w:basedOn w:val="BodyText"/>
    <w:link w:val="BodyText-GreyChar"/>
    <w:semiHidden/>
    <w:qFormat/>
    <w:rsid w:val="00FD3044"/>
    <w:rPr>
      <w:color w:val="58585B"/>
    </w:rPr>
  </w:style>
  <w:style w:type="character" w:customStyle="1" w:styleId="BodyText-GreyChar">
    <w:name w:val="Body Text-Grey Char"/>
    <w:basedOn w:val="BodyTextChar"/>
    <w:link w:val="BodyText-Grey"/>
    <w:semiHidden/>
    <w:rsid w:val="00FD3044"/>
    <w:rPr>
      <w:color w:val="58585B"/>
      <w:sz w:val="20"/>
      <w:szCs w:val="20"/>
    </w:rPr>
  </w:style>
  <w:style w:type="paragraph" w:styleId="BalloonText">
    <w:name w:val="Balloon Text"/>
    <w:basedOn w:val="Normal"/>
    <w:link w:val="BalloonTextChar"/>
    <w:uiPriority w:val="99"/>
    <w:semiHidden/>
    <w:unhideWhenUsed/>
    <w:rsid w:val="00FD3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44"/>
    <w:rPr>
      <w:rFonts w:ascii="Segoe UI" w:hAnsi="Segoe UI" w:cs="Segoe UI"/>
      <w:sz w:val="18"/>
      <w:szCs w:val="18"/>
    </w:rPr>
  </w:style>
  <w:style w:type="character" w:styleId="CommentReference">
    <w:name w:val="annotation reference"/>
    <w:basedOn w:val="DefaultParagraphFont"/>
    <w:uiPriority w:val="99"/>
    <w:semiHidden/>
    <w:unhideWhenUsed/>
    <w:rsid w:val="00FD3044"/>
    <w:rPr>
      <w:sz w:val="16"/>
      <w:szCs w:val="16"/>
    </w:rPr>
  </w:style>
  <w:style w:type="paragraph" w:styleId="CommentText">
    <w:name w:val="annotation text"/>
    <w:basedOn w:val="Normal"/>
    <w:link w:val="CommentTextChar"/>
    <w:uiPriority w:val="99"/>
    <w:unhideWhenUsed/>
    <w:rsid w:val="00FD3044"/>
    <w:pPr>
      <w:spacing w:line="240" w:lineRule="auto"/>
    </w:pPr>
  </w:style>
  <w:style w:type="character" w:customStyle="1" w:styleId="CommentTextChar">
    <w:name w:val="Comment Text Char"/>
    <w:basedOn w:val="DefaultParagraphFont"/>
    <w:link w:val="CommentText"/>
    <w:uiPriority w:val="99"/>
    <w:rsid w:val="00FD3044"/>
    <w:rPr>
      <w:sz w:val="20"/>
      <w:szCs w:val="20"/>
    </w:rPr>
  </w:style>
  <w:style w:type="paragraph" w:styleId="CommentSubject">
    <w:name w:val="annotation subject"/>
    <w:basedOn w:val="CommentText"/>
    <w:next w:val="CommentText"/>
    <w:link w:val="CommentSubjectChar"/>
    <w:uiPriority w:val="99"/>
    <w:semiHidden/>
    <w:unhideWhenUsed/>
    <w:rsid w:val="00FD3044"/>
    <w:rPr>
      <w:b/>
      <w:bCs/>
    </w:rPr>
  </w:style>
  <w:style w:type="character" w:customStyle="1" w:styleId="CommentSubjectChar">
    <w:name w:val="Comment Subject Char"/>
    <w:basedOn w:val="CommentTextChar"/>
    <w:link w:val="CommentSubject"/>
    <w:uiPriority w:val="99"/>
    <w:semiHidden/>
    <w:rsid w:val="00FD3044"/>
    <w:rPr>
      <w:b/>
      <w:bCs/>
      <w:sz w:val="20"/>
      <w:szCs w:val="20"/>
    </w:rPr>
  </w:style>
  <w:style w:type="character" w:customStyle="1" w:styleId="ColourBlue">
    <w:name w:val="Colour Blue"/>
    <w:basedOn w:val="DefaultParagraphFont"/>
    <w:uiPriority w:val="22"/>
    <w:qFormat/>
    <w:rsid w:val="00FD3044"/>
    <w:rPr>
      <w:color w:val="66BCDB" w:themeColor="text2"/>
    </w:rPr>
  </w:style>
  <w:style w:type="character" w:customStyle="1" w:styleId="ColourDarkBlue">
    <w:name w:val="Colour Dark Blue"/>
    <w:basedOn w:val="ColourBlue"/>
    <w:uiPriority w:val="22"/>
    <w:qFormat/>
    <w:rsid w:val="00FD3044"/>
    <w:rPr>
      <w:color w:val="265A9A" w:themeColor="background2"/>
    </w:rPr>
  </w:style>
  <w:style w:type="paragraph" w:customStyle="1" w:styleId="BodyText-Beforebullet">
    <w:name w:val="Body Text-Before bullet"/>
    <w:basedOn w:val="BodyText"/>
    <w:link w:val="BodyText-BeforebulletChar"/>
    <w:semiHidden/>
    <w:unhideWhenUsed/>
    <w:rsid w:val="00FD3044"/>
    <w:pPr>
      <w:spacing w:after="20"/>
    </w:pPr>
  </w:style>
  <w:style w:type="paragraph" w:customStyle="1" w:styleId="PullQuote">
    <w:name w:val="Pull Quote"/>
    <w:basedOn w:val="BodyText"/>
    <w:next w:val="BodyText"/>
    <w:uiPriority w:val="10"/>
    <w:qFormat/>
    <w:rsid w:val="00FD3044"/>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D3044"/>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FD3044"/>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D3044"/>
    <w:pPr>
      <w:spacing w:before="60"/>
      <w:jc w:val="right"/>
    </w:pPr>
  </w:style>
  <w:style w:type="paragraph" w:customStyle="1" w:styleId="FigureTableSubheading">
    <w:name w:val="Figure/Table Subheading"/>
    <w:basedOn w:val="FigureTableHeading"/>
    <w:uiPriority w:val="4"/>
    <w:qFormat/>
    <w:rsid w:val="00FD3044"/>
    <w:pPr>
      <w:spacing w:before="40"/>
    </w:pPr>
    <w:rPr>
      <w:color w:val="58585B"/>
    </w:rPr>
  </w:style>
  <w:style w:type="table" w:customStyle="1" w:styleId="TextTable-Grey">
    <w:name w:val="Text Table-Grey"/>
    <w:basedOn w:val="Texttable-Paleblue"/>
    <w:uiPriority w:val="99"/>
    <w:rsid w:val="00FD304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D3044"/>
    <w:rPr>
      <w:color w:val="265A9A" w:themeColor="background2"/>
      <w:sz w:val="20"/>
      <w:szCs w:val="20"/>
    </w:rPr>
  </w:style>
  <w:style w:type="paragraph" w:customStyle="1" w:styleId="Heading3-nonumber">
    <w:name w:val="Heading 3-no number"/>
    <w:basedOn w:val="Heading3"/>
    <w:uiPriority w:val="9"/>
    <w:semiHidden/>
    <w:qFormat/>
    <w:rsid w:val="00FD3044"/>
  </w:style>
  <w:style w:type="paragraph" w:customStyle="1" w:styleId="Heading1-nobackground">
    <w:name w:val="Heading 1-no background"/>
    <w:basedOn w:val="Heading1"/>
    <w:next w:val="BodyText"/>
    <w:uiPriority w:val="9"/>
    <w:qFormat/>
    <w:rsid w:val="00FD3044"/>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D3044"/>
    <w:rPr>
      <w:color w:val="58585B"/>
      <w:sz w:val="20"/>
      <w:szCs w:val="20"/>
    </w:rPr>
  </w:style>
  <w:style w:type="paragraph" w:customStyle="1" w:styleId="TableHeading-numbered">
    <w:name w:val="Table Heading-numbered"/>
    <w:basedOn w:val="Normal"/>
    <w:semiHidden/>
    <w:qFormat/>
    <w:rsid w:val="00FD3044"/>
    <w:pPr>
      <w:numPr>
        <w:numId w:val="16"/>
      </w:numPr>
      <w:spacing w:before="60"/>
      <w:contextualSpacing/>
    </w:pPr>
    <w:rPr>
      <w:b/>
      <w:color w:val="265A9A" w:themeColor="background2"/>
    </w:rPr>
  </w:style>
  <w:style w:type="numbering" w:customStyle="1" w:styleId="TableList">
    <w:name w:val="TableList"/>
    <w:uiPriority w:val="99"/>
    <w:rsid w:val="00FD3044"/>
    <w:pPr>
      <w:numPr>
        <w:numId w:val="16"/>
      </w:numPr>
    </w:pPr>
  </w:style>
  <w:style w:type="paragraph" w:customStyle="1" w:styleId="Footer-right">
    <w:name w:val="Footer-right"/>
    <w:basedOn w:val="Footer"/>
    <w:uiPriority w:val="11"/>
    <w:rsid w:val="00FD3044"/>
    <w:pPr>
      <w:jc w:val="right"/>
    </w:pPr>
    <w:rPr>
      <w:szCs w:val="24"/>
    </w:rPr>
  </w:style>
  <w:style w:type="paragraph" w:customStyle="1" w:styleId="Heading2-nonumber">
    <w:name w:val="Heading 2-no number"/>
    <w:basedOn w:val="Heading2"/>
    <w:uiPriority w:val="9"/>
    <w:qFormat/>
    <w:rsid w:val="00FD3044"/>
    <w:pPr>
      <w:numPr>
        <w:ilvl w:val="0"/>
        <w:numId w:val="0"/>
      </w:numPr>
    </w:pPr>
  </w:style>
  <w:style w:type="paragraph" w:customStyle="1" w:styleId="Heading-Appendix">
    <w:name w:val="Heading-Appendix"/>
    <w:basedOn w:val="Heading1-nonumber"/>
    <w:next w:val="BodyText"/>
    <w:uiPriority w:val="9"/>
    <w:qFormat/>
    <w:rsid w:val="00FD3044"/>
    <w:pPr>
      <w:numPr>
        <w:numId w:val="7"/>
      </w:numPr>
    </w:pPr>
  </w:style>
  <w:style w:type="numbering" w:customStyle="1" w:styleId="AppendixHeading">
    <w:name w:val="AppendixHeading"/>
    <w:uiPriority w:val="99"/>
    <w:rsid w:val="00FD3044"/>
    <w:pPr>
      <w:numPr>
        <w:numId w:val="3"/>
      </w:numPr>
    </w:pPr>
  </w:style>
  <w:style w:type="paragraph" w:customStyle="1" w:styleId="DraftingNote">
    <w:name w:val="Drafting Note"/>
    <w:basedOn w:val="BodyText"/>
    <w:link w:val="DraftingNoteChar"/>
    <w:qFormat/>
    <w:rsid w:val="00FD3044"/>
    <w:pPr>
      <w:contextualSpacing/>
    </w:pPr>
    <w:rPr>
      <w:color w:val="A22D2B"/>
      <w:sz w:val="24"/>
      <w:u w:val="dotted"/>
    </w:rPr>
  </w:style>
  <w:style w:type="character" w:customStyle="1" w:styleId="DraftingNoteChar">
    <w:name w:val="Drafting Note Char"/>
    <w:basedOn w:val="BodyTextChar"/>
    <w:link w:val="DraftingNote"/>
    <w:rsid w:val="00FD3044"/>
    <w:rPr>
      <w:color w:val="A22D2B"/>
      <w:sz w:val="24"/>
      <w:szCs w:val="20"/>
      <w:u w:val="dotted"/>
    </w:rPr>
  </w:style>
  <w:style w:type="paragraph" w:customStyle="1" w:styleId="BoxHeading1">
    <w:name w:val="Box Heading 1"/>
    <w:basedOn w:val="FigureTableHeading"/>
    <w:next w:val="BodyText"/>
    <w:uiPriority w:val="4"/>
    <w:qFormat/>
    <w:rsid w:val="00FD3044"/>
    <w:pPr>
      <w:spacing w:after="0"/>
    </w:pPr>
  </w:style>
  <w:style w:type="character" w:styleId="Emphasis">
    <w:name w:val="Emphasis"/>
    <w:basedOn w:val="DefaultParagraphFont"/>
    <w:uiPriority w:val="22"/>
    <w:qFormat/>
    <w:rsid w:val="00FD3044"/>
    <w:rPr>
      <w:i/>
      <w:iCs/>
    </w:rPr>
  </w:style>
  <w:style w:type="paragraph" w:customStyle="1" w:styleId="Reference">
    <w:name w:val="Reference"/>
    <w:basedOn w:val="BodyText"/>
    <w:qFormat/>
    <w:rsid w:val="00FD3044"/>
    <w:pPr>
      <w:spacing w:before="0" w:after="60" w:line="200" w:lineRule="exact"/>
    </w:pPr>
    <w:rPr>
      <w:sz w:val="16"/>
    </w:rPr>
  </w:style>
  <w:style w:type="paragraph" w:customStyle="1" w:styleId="Keypoints-heading">
    <w:name w:val="Key points-heading"/>
    <w:basedOn w:val="Heading3"/>
    <w:uiPriority w:val="10"/>
    <w:qFormat/>
    <w:rsid w:val="00FD3044"/>
    <w:rPr>
      <w:color w:val="auto"/>
    </w:rPr>
  </w:style>
  <w:style w:type="paragraph" w:customStyle="1" w:styleId="Heading2-Appendix">
    <w:name w:val="Heading 2-Appendix"/>
    <w:basedOn w:val="Heading2-nonumber"/>
    <w:next w:val="Normal"/>
    <w:uiPriority w:val="10"/>
    <w:qFormat/>
    <w:rsid w:val="00FD3044"/>
    <w:pPr>
      <w:numPr>
        <w:ilvl w:val="1"/>
        <w:numId w:val="7"/>
      </w:numPr>
    </w:pPr>
  </w:style>
  <w:style w:type="numbering" w:customStyle="1" w:styleId="AppendixHeadingList">
    <w:name w:val="Appendix Heading List"/>
    <w:uiPriority w:val="99"/>
    <w:rsid w:val="00FD3044"/>
    <w:pPr>
      <w:numPr>
        <w:numId w:val="2"/>
      </w:numPr>
    </w:pPr>
  </w:style>
  <w:style w:type="paragraph" w:customStyle="1" w:styleId="Space">
    <w:name w:val="Space"/>
    <w:basedOn w:val="BodyText"/>
    <w:uiPriority w:val="1"/>
    <w:rsid w:val="00FD3044"/>
    <w:pPr>
      <w:spacing w:before="0" w:after="0"/>
    </w:pPr>
  </w:style>
  <w:style w:type="paragraph" w:customStyle="1" w:styleId="QuoteBullet">
    <w:name w:val="Quote Bullet"/>
    <w:basedOn w:val="ListBullet"/>
    <w:link w:val="QuoteBulletChar"/>
    <w:uiPriority w:val="1"/>
    <w:qFormat/>
    <w:rsid w:val="00FD3044"/>
    <w:pPr>
      <w:spacing w:before="60"/>
      <w:ind w:left="340" w:right="851"/>
    </w:pPr>
    <w:rPr>
      <w:color w:val="58585B"/>
    </w:rPr>
  </w:style>
  <w:style w:type="character" w:customStyle="1" w:styleId="ListBulletChar">
    <w:name w:val="List Bullet Char"/>
    <w:basedOn w:val="DefaultParagraphFont"/>
    <w:link w:val="ListBullet"/>
    <w:uiPriority w:val="1"/>
    <w:rsid w:val="00FD3044"/>
    <w:rPr>
      <w:sz w:val="20"/>
      <w:szCs w:val="20"/>
    </w:rPr>
  </w:style>
  <w:style w:type="character" w:customStyle="1" w:styleId="QuoteBulletChar">
    <w:name w:val="Quote Bullet Char"/>
    <w:basedOn w:val="ListBulletChar"/>
    <w:link w:val="QuoteBullet"/>
    <w:uiPriority w:val="1"/>
    <w:rsid w:val="00FD3044"/>
    <w:rPr>
      <w:color w:val="58585B"/>
      <w:sz w:val="20"/>
      <w:szCs w:val="20"/>
    </w:rPr>
  </w:style>
  <w:style w:type="paragraph" w:customStyle="1" w:styleId="Figurecharttitle">
    <w:name w:val="Figure chart title"/>
    <w:basedOn w:val="BodyText"/>
    <w:uiPriority w:val="10"/>
    <w:qFormat/>
    <w:rsid w:val="00FD3044"/>
    <w:pPr>
      <w:spacing w:before="0" w:after="0"/>
      <w:ind w:left="284" w:hanging="284"/>
    </w:pPr>
    <w:rPr>
      <w:sz w:val="18"/>
      <w:szCs w:val="18"/>
    </w:rPr>
  </w:style>
  <w:style w:type="paragraph" w:customStyle="1" w:styleId="PullQuoteNoSpacing">
    <w:name w:val="Pull Quote No Spacing"/>
    <w:basedOn w:val="NoSpacing"/>
    <w:link w:val="PullQuoteNoSpacingChar"/>
    <w:uiPriority w:val="10"/>
    <w:qFormat/>
    <w:rsid w:val="00FD3044"/>
    <w:pPr>
      <w:spacing w:line="160" w:lineRule="exact"/>
    </w:pPr>
  </w:style>
  <w:style w:type="character" w:customStyle="1" w:styleId="PullQuoteNoSpacingChar">
    <w:name w:val="Pull Quote No Spacing Char"/>
    <w:basedOn w:val="NoSpacingChar"/>
    <w:link w:val="PullQuoteNoSpacing"/>
    <w:uiPriority w:val="10"/>
    <w:rsid w:val="00FD3044"/>
    <w:rPr>
      <w:sz w:val="20"/>
      <w:szCs w:val="20"/>
    </w:rPr>
  </w:style>
  <w:style w:type="paragraph" w:customStyle="1" w:styleId="PullQuote-Indigenous">
    <w:name w:val="Pull Quote-Indigenous"/>
    <w:basedOn w:val="PullQuote"/>
    <w:uiPriority w:val="10"/>
    <w:qFormat/>
    <w:rsid w:val="00FD3044"/>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FD3044"/>
    <w:pPr>
      <w:spacing w:before="0" w:after="20"/>
      <w:ind w:left="170" w:hanging="113"/>
    </w:pPr>
  </w:style>
  <w:style w:type="character" w:styleId="FollowedHyperlink">
    <w:name w:val="FollowedHyperlink"/>
    <w:basedOn w:val="DefaultParagraphFont"/>
    <w:uiPriority w:val="99"/>
    <w:semiHidden/>
    <w:unhideWhenUsed/>
    <w:rsid w:val="009E5D9A"/>
    <w:rPr>
      <w:color w:val="BFBFBF" w:themeColor="followedHyperlink"/>
      <w:u w:val="single"/>
    </w:rPr>
  </w:style>
  <w:style w:type="character" w:customStyle="1" w:styleId="cf01">
    <w:name w:val="cf01"/>
    <w:basedOn w:val="DefaultParagraphFont"/>
    <w:rsid w:val="009E5D9A"/>
    <w:rPr>
      <w:rFonts w:ascii="Segoe UI" w:hAnsi="Segoe UI" w:cs="Segoe UI" w:hint="default"/>
      <w:sz w:val="18"/>
      <w:szCs w:val="18"/>
    </w:rPr>
  </w:style>
  <w:style w:type="character" w:styleId="EndnoteReference">
    <w:name w:val="endnote reference"/>
    <w:basedOn w:val="DefaultParagraphFont"/>
    <w:uiPriority w:val="99"/>
    <w:semiHidden/>
    <w:unhideWhenUsed/>
    <w:rsid w:val="009E5D9A"/>
    <w:rPr>
      <w:vertAlign w:val="superscript"/>
    </w:rPr>
  </w:style>
  <w:style w:type="paragraph" w:styleId="Bibliography">
    <w:name w:val="Bibliography"/>
    <w:basedOn w:val="Normal"/>
    <w:next w:val="Normal"/>
    <w:uiPriority w:val="37"/>
    <w:unhideWhenUsed/>
    <w:rsid w:val="009E5D9A"/>
    <w:pPr>
      <w:spacing w:after="240" w:line="240" w:lineRule="atLeast"/>
      <w:ind w:left="720" w:hanging="720"/>
    </w:pPr>
  </w:style>
  <w:style w:type="character" w:customStyle="1" w:styleId="ui-provider">
    <w:name w:val="ui-provider"/>
    <w:basedOn w:val="DefaultParagraphFont"/>
    <w:rsid w:val="009E5D9A"/>
  </w:style>
  <w:style w:type="paragraph" w:customStyle="1" w:styleId="pf0">
    <w:name w:val="pf0"/>
    <w:basedOn w:val="Normal"/>
    <w:rsid w:val="009E5D9A"/>
    <w:pPr>
      <w:spacing w:before="100" w:beforeAutospacing="1" w:after="100" w:afterAutospacing="1" w:line="240" w:lineRule="auto"/>
      <w:ind w:left="454"/>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9E5D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9E5D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6.png"/><Relationship Id="rId39" Type="http://schemas.openxmlformats.org/officeDocument/2006/relationships/header" Target="header5.xml"/><Relationship Id="rId21" Type="http://schemas.openxmlformats.org/officeDocument/2006/relationships/image" Target="media/image4.png"/><Relationship Id="rId34" Type="http://schemas.openxmlformats.org/officeDocument/2006/relationships/image" Target="media/image14.emf"/><Relationship Id="rId42" Type="http://schemas.openxmlformats.org/officeDocument/2006/relationships/footer" Target="footer7.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9.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8.emf"/><Relationship Id="rId36" Type="http://schemas.openxmlformats.org/officeDocument/2006/relationships/image" Target="media/image16.emf"/><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svg"/><Relationship Id="rId27" Type="http://schemas.openxmlformats.org/officeDocument/2006/relationships/image" Target="media/image7.svg"/><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image" Target="media/image13.emf"/><Relationship Id="rId38" Type="http://schemas.openxmlformats.org/officeDocument/2006/relationships/image" Target="media/image18.emf"/></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TemplafyTemplateConfiguration><![CDATA[{"elementsMetadata":[],"transformationConfigurations":[],"templateName":"prelims-pc-insights","templateDescription":"Prelims for PC Productivity Insights (annual report series)","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MPWT-2140667901-20971</_dlc_DocId>
    <_dlc_DocIdUrl xmlns="20393cdf-440a-4521-8f19-00ba43423d00">
      <Url>https://pcgov.sharepoint.com/sites/sceteam/_layouts/15/DocIdRedir.aspx?ID=MPWT-2140667901-20971</Url>
      <Description>MPWT-2140667901-20971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7" ma:contentTypeDescription="" ma:contentTypeScope="" ma:versionID="9470118fa0d228f37a1fcb154a38a16e">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9efa14bc1b313158d4171f6e753944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0EFD4-1DD1-4878-96E5-5EE4F130AE2B}">
  <ds:schemaRefs>
    <ds:schemaRef ds:uri="http://schemas.microsoft.com/sharepoint/events"/>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EBB6A36A-9DD9-4782-BD57-2B10B6C11EA6}">
  <ds:schemaRefs>
    <ds:schemaRef ds:uri="http://schemas.microsoft.com/sharepoint/v3/contenttype/forms"/>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1CE81966-43CA-405D-8A76-C4EED53F1325}">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6.xml><?xml version="1.0" encoding="utf-8"?>
<ds:datastoreItem xmlns:ds="http://schemas.openxmlformats.org/officeDocument/2006/customXml" ds:itemID="{024EDB89-7788-4859-A840-F014CEB2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PC-report-template</Template>
  <TotalTime>27</TotalTime>
  <Pages>23</Pages>
  <Words>6307</Words>
  <Characters>35952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Bulletin 2023 - PC Productivity Insights</vt:lpstr>
    </vt:vector>
  </TitlesOfParts>
  <Company>Productivity Commission</Company>
  <LinksUpToDate>false</LinksUpToDate>
  <CharactersWithSpaces>42175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2023 - PC Productivity Insights</dc:title>
  <dc:subject/>
  <dc:creator>Productivity Commission</dc:creator>
  <cp:keywords/>
  <dc:description/>
  <cp:lastModifiedBy>Chris Alston</cp:lastModifiedBy>
  <cp:revision>15</cp:revision>
  <cp:lastPrinted>2023-07-10T23:05:00Z</cp:lastPrinted>
  <dcterms:created xsi:type="dcterms:W3CDTF">2023-07-04T23:33:00Z</dcterms:created>
  <dcterms:modified xsi:type="dcterms:W3CDTF">2023-07-10T23:05:00Z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637734049672506310</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RevIMBCS">
    <vt:lpwstr>1;#Unclassified|3955eeb1-2d18-4582-aeb2-00144ec3aaf5</vt:lpwstr>
  </property>
  <property fmtid="{D5CDD505-2E9C-101B-9397-08002B2CF9AE}" pid="8" name="_dlc_DocIdItemGuid">
    <vt:lpwstr>952041fa-dff0-4cab-b429-a2abb12962ed</vt:lpwstr>
  </property>
  <property fmtid="{D5CDD505-2E9C-101B-9397-08002B2CF9AE}" pid="9" name="MediaServiceImageTags">
    <vt:lpwstr/>
  </property>
  <property fmtid="{D5CDD505-2E9C-101B-9397-08002B2CF9AE}" pid="10" name="ZOTERO_PREF_1">
    <vt:lpwstr>&lt;data data-version="3" zotero-version="6.0.26"&gt;&lt;session id="yKTK9h6s"/&gt;&lt;style id="http://www.zotero.org/styles/Productivity-Commission" hasBibliography="1" bibliographyStyleHasBeenSet="1"/&gt;&lt;prefs&gt;&lt;pref name="fieldType" value="Field"/&gt;&lt;/prefs&gt;&lt;/data&gt;</vt:lpwstr>
  </property>
</Properties>
</file>