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DE4B3" w14:textId="27616600" w:rsidR="0076155F" w:rsidRPr="00F10D3C" w:rsidRDefault="0076155F" w:rsidP="0076155F">
      <w:pPr>
        <w:pStyle w:val="Heading1"/>
        <w:rPr>
          <w:b/>
          <w:sz w:val="16"/>
          <w:szCs w:val="16"/>
        </w:rPr>
      </w:pPr>
      <w:bookmarkStart w:id="0" w:name="_Toc73362143"/>
      <w:bookmarkStart w:id="1" w:name="_Toc73362239"/>
      <w:bookmarkStart w:id="2" w:name="_Toc74138573"/>
      <w:r w:rsidRPr="00F10D3C">
        <w:rPr>
          <w:noProof/>
          <w:sz w:val="16"/>
          <w:szCs w:val="16"/>
        </w:rPr>
        <w:drawing>
          <wp:anchor distT="0" distB="0" distL="114300" distR="114300" simplePos="0" relativeHeight="251658240" behindDoc="0" locked="0" layoutInCell="1" allowOverlap="1" wp14:anchorId="24F1CC22" wp14:editId="1B8F871C">
            <wp:simplePos x="1151890" y="1899920"/>
            <wp:positionH relativeFrom="page">
              <wp:align>center</wp:align>
            </wp:positionH>
            <wp:positionV relativeFrom="page">
              <wp:align>center</wp:align>
            </wp:positionV>
            <wp:extent cx="7811998" cy="11050197"/>
            <wp:effectExtent l="0" t="0" r="0" b="0"/>
            <wp:wrapNone/>
            <wp:docPr id="11" name="Picture 11" descr="Cover for PC Productivity Insights: Recent Developments, Productivity Commission, June 2021, ISSN 2652-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for PC Productivity Insights: Recent Developments, Productivity Commission, June 2021, ISSN 2652-5461"/>
                    <pic:cNvPicPr/>
                  </pic:nvPicPr>
                  <pic:blipFill>
                    <a:blip r:embed="rId8">
                      <a:extLst>
                        <a:ext uri="{28A0092B-C50C-407E-A947-70E740481C1C}">
                          <a14:useLocalDpi xmlns:a14="http://schemas.microsoft.com/office/drawing/2010/main" val="0"/>
                        </a:ext>
                      </a:extLst>
                    </a:blip>
                    <a:stretch>
                      <a:fillRect/>
                    </a:stretch>
                  </pic:blipFill>
                  <pic:spPr>
                    <a:xfrm>
                      <a:off x="0" y="0"/>
                      <a:ext cx="7811998" cy="11050197"/>
                    </a:xfrm>
                    <a:prstGeom prst="rect">
                      <a:avLst/>
                    </a:prstGeom>
                  </pic:spPr>
                </pic:pic>
              </a:graphicData>
            </a:graphic>
            <wp14:sizeRelH relativeFrom="margin">
              <wp14:pctWidth>0</wp14:pctWidth>
            </wp14:sizeRelH>
            <wp14:sizeRelV relativeFrom="margin">
              <wp14:pctHeight>0</wp14:pctHeight>
            </wp14:sizeRelV>
          </wp:anchor>
        </w:drawing>
      </w:r>
      <w:r w:rsidR="00746B0A">
        <w:rPr>
          <w:sz w:val="16"/>
          <w:szCs w:val="16"/>
        </w:rPr>
        <w:softHyphen/>
      </w:r>
      <w:r w:rsidRPr="00F10D3C">
        <w:rPr>
          <w:sz w:val="16"/>
          <w:szCs w:val="16"/>
        </w:rPr>
        <w:t>PC Productivity Insights</w:t>
      </w:r>
      <w:r>
        <w:rPr>
          <w:sz w:val="16"/>
          <w:szCs w:val="16"/>
        </w:rPr>
        <w:t xml:space="preserve"> 202</w:t>
      </w:r>
      <w:r w:rsidR="00D5218F">
        <w:rPr>
          <w:sz w:val="16"/>
          <w:szCs w:val="16"/>
        </w:rPr>
        <w:t>1</w:t>
      </w:r>
      <w:r>
        <w:rPr>
          <w:sz w:val="16"/>
          <w:szCs w:val="16"/>
        </w:rPr>
        <w:t xml:space="preserve">: Recent </w:t>
      </w:r>
      <w:r w:rsidR="00D5218F">
        <w:rPr>
          <w:sz w:val="16"/>
          <w:szCs w:val="16"/>
        </w:rPr>
        <w:t>Developments</w:t>
      </w:r>
      <w:bookmarkEnd w:id="0"/>
      <w:bookmarkEnd w:id="1"/>
      <w:bookmarkEnd w:id="2"/>
      <w:r w:rsidRPr="00F10D3C">
        <w:rPr>
          <w:sz w:val="16"/>
          <w:szCs w:val="16"/>
        </w:rPr>
        <w:br w:type="page"/>
      </w:r>
    </w:p>
    <w:p w14:paraId="5F6B685D" w14:textId="09617DA0" w:rsidR="0076155F" w:rsidRDefault="0076155F" w:rsidP="0076155F">
      <w:pPr>
        <w:pStyle w:val="Copyrightheading"/>
      </w:pPr>
      <w:r w:rsidRPr="008C305F">
        <w:fldChar w:fldCharType="begin"/>
      </w:r>
      <w:r w:rsidRPr="008C305F">
        <w:instrText>SYMBOL 227 \f "Symbol"</w:instrText>
      </w:r>
      <w:r w:rsidRPr="008C305F">
        <w:fldChar w:fldCharType="end"/>
      </w:r>
      <w:r w:rsidRPr="008C305F">
        <w:t xml:space="preserve"> Commonwealth of Australia </w:t>
      </w:r>
      <w:r>
        <w:t>202</w:t>
      </w:r>
      <w:r w:rsidR="00D5218F">
        <w:t>1</w:t>
      </w:r>
    </w:p>
    <w:p w14:paraId="368FA09C" w14:textId="77777777" w:rsidR="0076155F" w:rsidRDefault="0076155F" w:rsidP="0076155F">
      <w:pPr>
        <w:pStyle w:val="BodyText"/>
        <w:spacing w:after="120"/>
      </w:pPr>
      <w:bookmarkStart w:id="3" w:name="ISSN"/>
      <w:bookmarkEnd w:id="3"/>
      <w:r w:rsidRPr="00862D8F">
        <w:rPr>
          <w:noProof/>
          <w:sz w:val="22"/>
          <w:szCs w:val="22"/>
        </w:rPr>
        <w:drawing>
          <wp:inline distT="0" distB="0" distL="0" distR="0" wp14:anchorId="4FB310BF" wp14:editId="23964615">
            <wp:extent cx="843280" cy="295043"/>
            <wp:effectExtent l="0" t="0" r="0" b="0"/>
            <wp:docPr id="48" name="Picture 4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F115EEF" w14:textId="77777777" w:rsidR="0076155F" w:rsidRPr="00E2212E" w:rsidRDefault="0076155F" w:rsidP="0076155F">
      <w:pPr>
        <w:pStyle w:val="Copyrightbodytext"/>
        <w:rPr>
          <w:sz w:val="20"/>
        </w:rPr>
      </w:pPr>
      <w:r w:rsidRPr="00E2212E">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1873BDA2" w14:textId="77777777" w:rsidR="0076155F" w:rsidRPr="008A3857" w:rsidRDefault="0076155F" w:rsidP="0076155F">
      <w:pPr>
        <w:pStyle w:val="Copyrightsubtitle"/>
      </w:pPr>
      <w:r w:rsidRPr="008A3857">
        <w:t>Use of the Commonwealth Coat of Arms</w:t>
      </w:r>
    </w:p>
    <w:p w14:paraId="2B3EBC48" w14:textId="7C1D1DCA" w:rsidR="0076155F" w:rsidRPr="00EB013B" w:rsidRDefault="0076155F" w:rsidP="0076155F">
      <w:pPr>
        <w:pStyle w:val="Copyrightbodytext"/>
        <w:rPr>
          <w:spacing w:val="-4"/>
          <w:sz w:val="20"/>
        </w:rPr>
      </w:pPr>
      <w:r w:rsidRPr="00D5218F">
        <w:rPr>
          <w:spacing w:val="-4"/>
          <w:sz w:val="20"/>
        </w:rPr>
        <w:t xml:space="preserve">Terms of use for the Coat of Arms are available from the Department of the Prime Minister and Cabinet’s website: </w:t>
      </w:r>
      <w:r w:rsidRPr="00EB013B">
        <w:rPr>
          <w:rStyle w:val="Hyperlink"/>
          <w:color w:val="auto"/>
          <w:spacing w:val="-4"/>
          <w:sz w:val="20"/>
          <w:u w:val="none"/>
        </w:rPr>
        <w:t>https://www.pmc.gov.au/government/commonwealth-coat-arms</w:t>
      </w:r>
      <w:r w:rsidR="00D5218F" w:rsidRPr="00EB013B">
        <w:rPr>
          <w:rStyle w:val="Hyperlink"/>
          <w:color w:val="auto"/>
          <w:spacing w:val="-4"/>
          <w:sz w:val="20"/>
          <w:u w:val="none"/>
        </w:rPr>
        <w:t>.</w:t>
      </w:r>
    </w:p>
    <w:p w14:paraId="20C9D420" w14:textId="77777777" w:rsidR="0076155F" w:rsidRPr="008A3857" w:rsidRDefault="0076155F" w:rsidP="0076155F">
      <w:pPr>
        <w:pStyle w:val="Copyrightsubtitle"/>
      </w:pPr>
      <w:r w:rsidRPr="008A3857">
        <w:t>Third party copyright</w:t>
      </w:r>
    </w:p>
    <w:p w14:paraId="79DB8B6A" w14:textId="77777777" w:rsidR="0076155F" w:rsidRPr="00E2212E" w:rsidRDefault="0076155F" w:rsidP="0076155F">
      <w:pPr>
        <w:pStyle w:val="Copyrightbodytext"/>
        <w:rPr>
          <w:sz w:val="20"/>
        </w:rPr>
      </w:pPr>
      <w:r w:rsidRPr="00E2212E">
        <w:rPr>
          <w:sz w:val="20"/>
        </w:rPr>
        <w:t>Wherever a third party holds copyright in this material, the copyright remains with that party. Their permission may be required to use the material, please contact them directly.</w:t>
      </w:r>
    </w:p>
    <w:p w14:paraId="76805FC2" w14:textId="77777777" w:rsidR="0076155F" w:rsidRPr="008A3857" w:rsidRDefault="0076155F" w:rsidP="0076155F">
      <w:pPr>
        <w:pStyle w:val="Copyrightsubtitle"/>
      </w:pPr>
      <w:r w:rsidRPr="008A3857">
        <w:t>Attribution</w:t>
      </w:r>
    </w:p>
    <w:p w14:paraId="35E6983A" w14:textId="3D663E03" w:rsidR="0076155F" w:rsidRPr="00E2212E" w:rsidRDefault="0076155F" w:rsidP="0076155F">
      <w:pPr>
        <w:pStyle w:val="Copyrightbodytext"/>
        <w:rPr>
          <w:sz w:val="20"/>
        </w:rPr>
      </w:pPr>
      <w:r w:rsidRPr="00E2212E">
        <w:rPr>
          <w:sz w:val="20"/>
        </w:rPr>
        <w:t xml:space="preserve">This work should be attributed as follows, </w:t>
      </w:r>
      <w:r w:rsidRPr="00E2212E">
        <w:rPr>
          <w:i/>
          <w:sz w:val="20"/>
        </w:rPr>
        <w:t xml:space="preserve">Source: Productivity Commission, PC Productivity </w:t>
      </w:r>
      <w:r>
        <w:rPr>
          <w:i/>
          <w:sz w:val="20"/>
        </w:rPr>
        <w:t xml:space="preserve">Insights: Recent </w:t>
      </w:r>
      <w:r w:rsidR="00D5218F">
        <w:rPr>
          <w:i/>
          <w:sz w:val="20"/>
        </w:rPr>
        <w:t>Developments</w:t>
      </w:r>
      <w:r w:rsidRPr="00E2212E">
        <w:rPr>
          <w:sz w:val="20"/>
        </w:rPr>
        <w:t>.</w:t>
      </w:r>
    </w:p>
    <w:p w14:paraId="6A6AC18F" w14:textId="74EA3B4B" w:rsidR="0076155F" w:rsidRPr="00E2212E" w:rsidRDefault="0076155F" w:rsidP="0076155F">
      <w:pPr>
        <w:pStyle w:val="Copyrightbodytext"/>
        <w:spacing w:before="120"/>
        <w:rPr>
          <w:sz w:val="20"/>
        </w:rPr>
      </w:pPr>
      <w:r w:rsidRPr="00E2212E">
        <w:rPr>
          <w:sz w:val="20"/>
        </w:rPr>
        <w:t xml:space="preserve">If you have adapted, modified or transformed this work in anyway, please use the following, </w:t>
      </w:r>
      <w:r w:rsidRPr="00E2212E">
        <w:rPr>
          <w:i/>
          <w:sz w:val="20"/>
        </w:rPr>
        <w:t xml:space="preserve">Source: based on Productivity Commission data, PC Productivity </w:t>
      </w:r>
      <w:r>
        <w:rPr>
          <w:i/>
          <w:sz w:val="20"/>
        </w:rPr>
        <w:t xml:space="preserve">Insights: Recent </w:t>
      </w:r>
      <w:r w:rsidR="00D5218F">
        <w:rPr>
          <w:i/>
          <w:sz w:val="20"/>
        </w:rPr>
        <w:t>Developments</w:t>
      </w:r>
      <w:r w:rsidRPr="00E2212E">
        <w:rPr>
          <w:sz w:val="20"/>
        </w:rPr>
        <w:t>.</w:t>
      </w:r>
    </w:p>
    <w:p w14:paraId="1C9078A6" w14:textId="77777777" w:rsidR="0076155F" w:rsidRPr="008A3857" w:rsidRDefault="0076155F" w:rsidP="0076155F">
      <w:pPr>
        <w:pStyle w:val="Copyrightsubtitle"/>
      </w:pPr>
      <w:r w:rsidRPr="008A3857">
        <w:t xml:space="preserve">An appropriate </w:t>
      </w:r>
      <w:r>
        <w:t>reference</w:t>
      </w:r>
      <w:r w:rsidRPr="008A3857">
        <w:t xml:space="preserve"> for this publication is:</w:t>
      </w:r>
    </w:p>
    <w:p w14:paraId="6D7128C8" w14:textId="0B17B4DB" w:rsidR="0076155F" w:rsidRPr="00E2212E" w:rsidRDefault="0076155F" w:rsidP="0076155F">
      <w:pPr>
        <w:pStyle w:val="Copyrightbodytext"/>
        <w:rPr>
          <w:sz w:val="20"/>
        </w:rPr>
      </w:pPr>
      <w:r w:rsidRPr="00E2212E">
        <w:rPr>
          <w:sz w:val="20"/>
        </w:rPr>
        <w:t>Productivity Commission 202</w:t>
      </w:r>
      <w:r w:rsidR="00D5218F">
        <w:rPr>
          <w:sz w:val="20"/>
        </w:rPr>
        <w:t>1</w:t>
      </w:r>
      <w:r w:rsidRPr="00E2212E">
        <w:rPr>
          <w:sz w:val="20"/>
        </w:rPr>
        <w:t xml:space="preserve">, </w:t>
      </w:r>
      <w:r w:rsidRPr="00E2212E">
        <w:rPr>
          <w:i/>
          <w:sz w:val="20"/>
        </w:rPr>
        <w:t xml:space="preserve">PC Productivity </w:t>
      </w:r>
      <w:r>
        <w:rPr>
          <w:i/>
          <w:sz w:val="20"/>
        </w:rPr>
        <w:t xml:space="preserve">Insights: Recent </w:t>
      </w:r>
      <w:r w:rsidR="00D5218F">
        <w:rPr>
          <w:i/>
          <w:sz w:val="20"/>
        </w:rPr>
        <w:t>Developments</w:t>
      </w:r>
      <w:r>
        <w:rPr>
          <w:sz w:val="20"/>
        </w:rPr>
        <w:t xml:space="preserve">, </w:t>
      </w:r>
      <w:r w:rsidRPr="00E2212E">
        <w:rPr>
          <w:sz w:val="20"/>
        </w:rPr>
        <w:t xml:space="preserve">Canberra, </w:t>
      </w:r>
      <w:r w:rsidR="00D5218F">
        <w:rPr>
          <w:sz w:val="20"/>
        </w:rPr>
        <w:t>June</w:t>
      </w:r>
      <w:r w:rsidRPr="00E2212E">
        <w:rPr>
          <w:sz w:val="20"/>
        </w:rPr>
        <w:t>.</w:t>
      </w:r>
    </w:p>
    <w:p w14:paraId="29366E81" w14:textId="77777777" w:rsidR="0076155F" w:rsidRPr="008A3857" w:rsidRDefault="0076155F" w:rsidP="0076155F">
      <w:pPr>
        <w:pStyle w:val="Copyrightsubtitle"/>
      </w:pPr>
      <w:bookmarkStart w:id="4" w:name="JEL"/>
      <w:bookmarkEnd w:id="4"/>
      <w:r w:rsidRPr="008A3857">
        <w:t>Publications enquiries</w:t>
      </w:r>
    </w:p>
    <w:p w14:paraId="283A096E" w14:textId="77777777" w:rsidR="0076155F" w:rsidRPr="00E2212E" w:rsidRDefault="0076155F" w:rsidP="0076155F">
      <w:pPr>
        <w:pStyle w:val="Copyrightbodytext"/>
        <w:rPr>
          <w:sz w:val="20"/>
        </w:rPr>
      </w:pPr>
      <w:r w:rsidRPr="00E2212E">
        <w:rPr>
          <w:sz w:val="20"/>
        </w:rPr>
        <w:t>Media, Publications and Web, phone: (03) 9653 2244 or email: mpw@pc.gov.au</w:t>
      </w:r>
    </w:p>
    <w:p w14:paraId="55888E23" w14:textId="77777777" w:rsidR="0076155F" w:rsidRDefault="0076155F" w:rsidP="0076155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6155F" w14:paraId="0BD68950" w14:textId="77777777" w:rsidTr="00761E30">
        <w:trPr>
          <w:tblHeader/>
        </w:trPr>
        <w:tc>
          <w:tcPr>
            <w:tcW w:w="5000" w:type="pct"/>
            <w:tcBorders>
              <w:top w:val="single" w:sz="6" w:space="0" w:color="78A22F"/>
              <w:left w:val="nil"/>
              <w:bottom w:val="nil"/>
              <w:right w:val="nil"/>
            </w:tcBorders>
            <w:shd w:val="clear" w:color="auto" w:fill="F2F2F2" w:themeFill="background1" w:themeFillShade="F2"/>
          </w:tcPr>
          <w:p w14:paraId="72C1B1FF" w14:textId="77777777" w:rsidR="0076155F" w:rsidRPr="008A3857" w:rsidRDefault="0076155F" w:rsidP="00761E30">
            <w:pPr>
              <w:pStyle w:val="BoxTitle"/>
            </w:pPr>
            <w:r w:rsidRPr="008A3857">
              <w:t>The Productivity Commission</w:t>
            </w:r>
          </w:p>
        </w:tc>
      </w:tr>
      <w:tr w:rsidR="0076155F" w14:paraId="0BBEDC2B" w14:textId="77777777" w:rsidTr="00761E30">
        <w:tc>
          <w:tcPr>
            <w:tcW w:w="5000" w:type="pct"/>
            <w:tcBorders>
              <w:top w:val="nil"/>
              <w:left w:val="nil"/>
              <w:bottom w:val="nil"/>
              <w:right w:val="nil"/>
            </w:tcBorders>
            <w:shd w:val="clear" w:color="auto" w:fill="F2F2F2" w:themeFill="background1" w:themeFillShade="F2"/>
          </w:tcPr>
          <w:p w14:paraId="405E7756" w14:textId="252E1498" w:rsidR="0076155F" w:rsidRDefault="0076155F" w:rsidP="00761E30">
            <w:pPr>
              <w:pStyle w:val="Box"/>
            </w:pPr>
            <w:r w:rsidRPr="00BB5DCF">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r w:rsidR="00B535ED" w:rsidRPr="00BB5DCF">
              <w:t>long-term</w:t>
            </w:r>
            <w:r w:rsidRPr="00BB5DCF">
              <w:t xml:space="preserve"> interest of the Australian community.</w:t>
            </w:r>
          </w:p>
          <w:p w14:paraId="0314FDB4" w14:textId="77777777" w:rsidR="0076155F" w:rsidRDefault="0076155F" w:rsidP="00761E30">
            <w:pPr>
              <w:pStyle w:val="Box"/>
            </w:pPr>
            <w:r w:rsidRPr="00BB5DCF">
              <w:t>The Commission’s independence is underpinned by an Act of Parliament. Its processes and outputs are open to public scrutiny and are driven by concern for the wellbeing of the community as a whole.</w:t>
            </w:r>
          </w:p>
          <w:p w14:paraId="5755A59A" w14:textId="77777777" w:rsidR="0076155F" w:rsidRDefault="0076155F" w:rsidP="00761E30">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76155F" w14:paraId="0DF4DBD1" w14:textId="77777777" w:rsidTr="00761E30">
        <w:tc>
          <w:tcPr>
            <w:tcW w:w="5000" w:type="pct"/>
            <w:tcBorders>
              <w:top w:val="nil"/>
              <w:left w:val="nil"/>
              <w:bottom w:val="single" w:sz="6" w:space="0" w:color="78A22F"/>
              <w:right w:val="nil"/>
            </w:tcBorders>
            <w:shd w:val="clear" w:color="auto" w:fill="F2F2F2" w:themeFill="background1" w:themeFillShade="F2"/>
          </w:tcPr>
          <w:p w14:paraId="34111239" w14:textId="77777777" w:rsidR="0076155F" w:rsidRDefault="0076155F" w:rsidP="00761E30">
            <w:pPr>
              <w:pStyle w:val="Box"/>
              <w:spacing w:before="0" w:line="120" w:lineRule="exact"/>
            </w:pPr>
          </w:p>
        </w:tc>
      </w:tr>
    </w:tbl>
    <w:p w14:paraId="05A1A2DE" w14:textId="77777777" w:rsidR="0076155F" w:rsidRDefault="0076155F" w:rsidP="0076155F">
      <w:pPr>
        <w:pStyle w:val="BodyText"/>
        <w:sectPr w:rsidR="0076155F" w:rsidSect="00761E30">
          <w:pgSz w:w="11907" w:h="16840" w:code="9"/>
          <w:pgMar w:top="1304" w:right="1304" w:bottom="567" w:left="1814" w:header="1701" w:footer="397" w:gutter="0"/>
          <w:pgNumType w:fmt="lowerRoman" w:start="1"/>
          <w:cols w:space="720"/>
          <w:titlePg/>
        </w:sectPr>
      </w:pPr>
      <w:bookmarkStart w:id="5" w:name="cov"/>
      <w:bookmarkEnd w:id="5"/>
    </w:p>
    <w:p w14:paraId="514FCEF6" w14:textId="77777777" w:rsidR="00534098" w:rsidRDefault="00534098" w:rsidP="00630C31">
      <w:pPr>
        <w:pStyle w:val="Heading2"/>
      </w:pPr>
      <w:bookmarkStart w:id="6" w:name="_Toc74138574"/>
      <w:r>
        <w:t>Foreword</w:t>
      </w:r>
      <w:bookmarkEnd w:id="6"/>
    </w:p>
    <w:p w14:paraId="7DC38197" w14:textId="5564E7E6" w:rsidR="00534098" w:rsidRDefault="00534098" w:rsidP="00534098">
      <w:pPr>
        <w:pStyle w:val="BodyText"/>
      </w:pPr>
      <w:r>
        <w:t xml:space="preserve">Welcome to the </w:t>
      </w:r>
      <w:r w:rsidR="002B5E8F">
        <w:t>second</w:t>
      </w:r>
      <w:r>
        <w:t xml:space="preserve"> Productivity Commission (PC) </w:t>
      </w:r>
      <w:r w:rsidRPr="00041550">
        <w:rPr>
          <w:i/>
        </w:rPr>
        <w:t>Productivity Insights</w:t>
      </w:r>
      <w:r>
        <w:t xml:space="preserve"> of 2021. Each year, we provide an analysis of Australia’s recent productivity performance, a key determinant of our long</w:t>
      </w:r>
      <w:r>
        <w:noBreakHyphen/>
        <w:t xml:space="preserve">run prosperity. </w:t>
      </w:r>
    </w:p>
    <w:p w14:paraId="504F6FF8" w14:textId="77777777" w:rsidR="00534098" w:rsidRDefault="00534098" w:rsidP="00534098">
      <w:pPr>
        <w:pStyle w:val="BodyText"/>
      </w:pPr>
      <w:r>
        <w:t>COVID</w:t>
      </w:r>
      <w:r>
        <w:noBreakHyphen/>
        <w:t>19 has ended Australia’s enviable 28</w:t>
      </w:r>
      <w:r>
        <w:noBreakHyphen/>
        <w:t>year recession</w:t>
      </w:r>
      <w:r>
        <w:noBreakHyphen/>
        <w:t>free streak, and caused a severe contraction in economic activity in 2019</w:t>
      </w:r>
      <w:r>
        <w:noBreakHyphen/>
        <w:t>20. The productivity impacts of this downturn were stark and sometimes counterintuitive. In addition, the interpretation of this year’s national accounts is complicated by potential measurement issues. Multifactor productivity fell for the first time in nearly a decade but labour productivity actually grew due to labour shifting to higher productivity industries. Most industries experienced a contraction in both output and labour inputs.</w:t>
      </w:r>
    </w:p>
    <w:p w14:paraId="12876F83" w14:textId="2B58F439" w:rsidR="00534098" w:rsidRDefault="00534098" w:rsidP="00534098">
      <w:pPr>
        <w:pStyle w:val="BodyText"/>
      </w:pPr>
      <w:r>
        <w:t>The industry level results also reflected the unusual nature of the COVID</w:t>
      </w:r>
      <w:r>
        <w:noBreakHyphen/>
        <w:t xml:space="preserve">19 recession. Some hard hit industries, such as </w:t>
      </w:r>
      <w:r w:rsidRPr="008A3554">
        <w:rPr>
          <w:i/>
          <w:iCs/>
        </w:rPr>
        <w:t>arts and recreation</w:t>
      </w:r>
      <w:r>
        <w:t>, experienced an increase in productivity</w:t>
      </w:r>
      <w:r w:rsidR="002D2DE4">
        <w:t>,</w:t>
      </w:r>
      <w:r>
        <w:t xml:space="preserve"> </w:t>
      </w:r>
      <w:r w:rsidR="00B46514">
        <w:t>perhaps</w:t>
      </w:r>
      <w:r>
        <w:t xml:space="preserve"> reflecting that their most experienced (and most productive) workers remained employed. However, many workers lost their jobs and overall output fell, which is not captured in measures of productivity. This highlights that productivity is not always synonymous with wellbeing, which </w:t>
      </w:r>
      <w:r w:rsidR="00B46514">
        <w:t>clearly fell</w:t>
      </w:r>
      <w:r>
        <w:t xml:space="preserve"> in the early months of COVID</w:t>
      </w:r>
      <w:r>
        <w:noBreakHyphen/>
        <w:t xml:space="preserve">19. </w:t>
      </w:r>
    </w:p>
    <w:p w14:paraId="70CDB613" w14:textId="77777777" w:rsidR="00534098" w:rsidRPr="00836590" w:rsidRDefault="00534098" w:rsidP="00534098">
      <w:pPr>
        <w:pStyle w:val="BodyText"/>
        <w:rPr>
          <w:spacing w:val="-2"/>
        </w:rPr>
      </w:pPr>
      <w:r w:rsidRPr="00836590">
        <w:rPr>
          <w:spacing w:val="-2"/>
        </w:rPr>
        <w:t>A few industries even managed to expand their output in 2019</w:t>
      </w:r>
      <w:r w:rsidRPr="00836590">
        <w:rPr>
          <w:spacing w:val="-2"/>
        </w:rPr>
        <w:noBreakHyphen/>
        <w:t xml:space="preserve">20. Despite recent trade tensions, the </w:t>
      </w:r>
      <w:r w:rsidRPr="00836590">
        <w:rPr>
          <w:i/>
          <w:iCs/>
          <w:spacing w:val="-2"/>
        </w:rPr>
        <w:t>mining</w:t>
      </w:r>
      <w:r w:rsidRPr="00836590">
        <w:rPr>
          <w:spacing w:val="-2"/>
        </w:rPr>
        <w:t xml:space="preserve"> industry — especially </w:t>
      </w:r>
      <w:r w:rsidRPr="00836590">
        <w:rPr>
          <w:i/>
          <w:iCs/>
          <w:spacing w:val="-2"/>
        </w:rPr>
        <w:t xml:space="preserve">oil and gas extraction </w:t>
      </w:r>
      <w:r w:rsidRPr="00836590">
        <w:rPr>
          <w:spacing w:val="-2"/>
        </w:rPr>
        <w:t xml:space="preserve">— experienced strong growth in inputs and outputs. Likewise, the </w:t>
      </w:r>
      <w:r w:rsidRPr="00836590">
        <w:rPr>
          <w:i/>
          <w:iCs/>
          <w:spacing w:val="-2"/>
        </w:rPr>
        <w:t>computer systems and related services</w:t>
      </w:r>
      <w:r w:rsidRPr="00836590">
        <w:rPr>
          <w:spacing w:val="-2"/>
        </w:rPr>
        <w:t xml:space="preserve"> component of </w:t>
      </w:r>
      <w:r w:rsidRPr="00836590">
        <w:rPr>
          <w:i/>
          <w:iCs/>
          <w:spacing w:val="-2"/>
        </w:rPr>
        <w:t xml:space="preserve">professional, technical and scientific services </w:t>
      </w:r>
      <w:r w:rsidRPr="00836590">
        <w:rPr>
          <w:spacing w:val="-2"/>
        </w:rPr>
        <w:t>experienced a boost in output, likely driven by the needs of a workforce adapting to the working from home induced by COVID</w:t>
      </w:r>
      <w:r w:rsidRPr="00836590">
        <w:rPr>
          <w:spacing w:val="-2"/>
        </w:rPr>
        <w:noBreakHyphen/>
        <w:t xml:space="preserve">19. </w:t>
      </w:r>
    </w:p>
    <w:p w14:paraId="1ECEEDAB" w14:textId="4193F5C8" w:rsidR="00534098" w:rsidRDefault="00534098" w:rsidP="00534098">
      <w:pPr>
        <w:pStyle w:val="BodyText"/>
      </w:pPr>
      <w:r>
        <w:t>The early months of the pandemic saw rapid rises in unemployment and falls in investment, participation rates, and hours per worker. However, in the months since the end of the financial year, labour markets have recovered strongly (although unemployment remains slightly elevated</w:t>
      </w:r>
      <w:r w:rsidR="00FE4180">
        <w:t>, as of May</w:t>
      </w:r>
      <w:r w:rsidR="00AF6DE9">
        <w:t> </w:t>
      </w:r>
      <w:r w:rsidR="0028598B">
        <w:t>2021</w:t>
      </w:r>
      <w:r>
        <w:t>). Investment, especially dwelling construction, has also rebounded strongly. This swift recovery mainly reflects the containment of COVID</w:t>
      </w:r>
      <w:r>
        <w:noBreakHyphen/>
        <w:t xml:space="preserve">19 and removal of most domestic restrictions (though international borders remain closed) combined with the extraordinary levels of government assistance (primarily through the JobKeeper, Cashflow Booster and HomeBuilder programs). </w:t>
      </w:r>
    </w:p>
    <w:p w14:paraId="038068DB" w14:textId="470B7D3E" w:rsidR="00534098" w:rsidRDefault="00534098" w:rsidP="00534098">
      <w:pPr>
        <w:pStyle w:val="BodyText"/>
      </w:pPr>
      <w:r>
        <w:t>COVID</w:t>
      </w:r>
      <w:r>
        <w:noBreakHyphen/>
        <w:t xml:space="preserve">19 has also triggered a number of developments with implications for productivity growth and the structure of the economy. Business exits, which normally spike during a downturn, barely budged, while insolvencies halved. </w:t>
      </w:r>
      <w:r w:rsidRPr="000C7B89">
        <w:t>Preventing business closures during the pandemic undoubtedly cushioned the downturn, maintained the viability of inherently efficient businesses and helped smooth recovery. However, maintenance of assistance to firms as the effects of COVID</w:t>
      </w:r>
      <w:r>
        <w:noBreakHyphen/>
      </w:r>
      <w:r w:rsidRPr="000C7B89">
        <w:t xml:space="preserve">19 recede may support less productive firms and stymie future productivity </w:t>
      </w:r>
      <w:r w:rsidDel="000C7B89">
        <w:t>growth</w:t>
      </w:r>
      <w:r>
        <w:t>. And if working from home and online retail continue at higher levels than pre</w:t>
      </w:r>
      <w:r>
        <w:noBreakHyphen/>
        <w:t>COVID, then productivity may be impacted, though it is still too soon to tell.</w:t>
      </w:r>
    </w:p>
    <w:p w14:paraId="704341B8" w14:textId="79C34FCC" w:rsidR="00534098" w:rsidRDefault="00534098" w:rsidP="00534098">
      <w:pPr>
        <w:pStyle w:val="BodyText"/>
      </w:pPr>
      <w:r>
        <w:t>The decade ending 2019</w:t>
      </w:r>
      <w:r>
        <w:noBreakHyphen/>
        <w:t xml:space="preserve">20 was the worst decade of growth in 60 years, and even if the last year of growth is excluded then this </w:t>
      </w:r>
      <w:r w:rsidR="0037012C">
        <w:t>nine-year</w:t>
      </w:r>
      <w:r>
        <w:t xml:space="preserve"> period still compares unfavourably to past decades. This mainly reflects a global productivity slowdown and the end of the mining investment boom, which has subdued investment and, through lower terms of trade, reduced the purchasing power of Australian incomes. </w:t>
      </w:r>
    </w:p>
    <w:p w14:paraId="28B53D65" w14:textId="77777777" w:rsidR="00733510" w:rsidRDefault="00534098" w:rsidP="00733510">
      <w:pPr>
        <w:pStyle w:val="BodyText"/>
        <w:spacing w:before="600"/>
        <w:jc w:val="left"/>
      </w:pPr>
      <w:r>
        <w:t>Michael Brennan</w:t>
      </w:r>
    </w:p>
    <w:p w14:paraId="14175608" w14:textId="4C0115DF" w:rsidR="00534098" w:rsidRDefault="00534098" w:rsidP="00733510">
      <w:pPr>
        <w:pStyle w:val="BodyText"/>
        <w:spacing w:before="120"/>
        <w:jc w:val="left"/>
      </w:pPr>
      <w:r>
        <w:t>Chair</w:t>
      </w:r>
    </w:p>
    <w:p w14:paraId="5E4C3337" w14:textId="0BBC9C78" w:rsidR="00534098" w:rsidRDefault="00534098" w:rsidP="00534098">
      <w:r>
        <w:br w:type="page"/>
      </w:r>
    </w:p>
    <w:p w14:paraId="5DCB688E" w14:textId="09E091B5" w:rsidR="004D7235" w:rsidRDefault="00873FD6" w:rsidP="002C4DF6">
      <w:pPr>
        <w:pStyle w:val="Heading2"/>
        <w:spacing w:after="1200"/>
      </w:pPr>
      <w:bookmarkStart w:id="7" w:name="_Toc73362241"/>
      <w:bookmarkStart w:id="8" w:name="_Toc74138575"/>
      <w:r>
        <w:t>Contents</w:t>
      </w:r>
      <w:bookmarkEnd w:id="7"/>
      <w:bookmarkEnd w:id="8"/>
    </w:p>
    <w:sdt>
      <w:sdtPr>
        <w:rPr>
          <w:kern w:val="28"/>
          <w:sz w:val="52"/>
        </w:rPr>
        <w:id w:val="-990482528"/>
        <w:docPartObj>
          <w:docPartGallery w:val="Table of Contents"/>
          <w:docPartUnique/>
        </w:docPartObj>
      </w:sdtPr>
      <w:sdtEndPr>
        <w:rPr>
          <w:kern w:val="0"/>
          <w:sz w:val="26"/>
        </w:rPr>
      </w:sdtEndPr>
      <w:sdtContent>
        <w:p w14:paraId="1FBA6888" w14:textId="339EA017" w:rsidR="003069B6" w:rsidRPr="003127C4" w:rsidRDefault="00873FD6" w:rsidP="007227D6">
          <w:pPr>
            <w:pStyle w:val="TOC1"/>
            <w:rPr>
              <w:b w:val="0"/>
              <w:bCs/>
              <w:noProof/>
            </w:rPr>
          </w:pPr>
          <w:r>
            <w:rPr>
              <w:noProof/>
            </w:rPr>
            <w:fldChar w:fldCharType="begin"/>
          </w:r>
          <w:r>
            <w:rPr>
              <w:noProof/>
            </w:rPr>
            <w:instrText xml:space="preserve"> TOC \t "Part Title,1,Heading 1,1,1 (no chapter no.),chapter,1,1 (no chapter no.),Heading 2,2,2,2 (no section no.),3,3,Heading 2,2 (no section no.),3" </w:instrText>
          </w:r>
          <w:r>
            <w:rPr>
              <w:noProof/>
            </w:rPr>
            <w:fldChar w:fldCharType="separate"/>
          </w:r>
          <w:r w:rsidR="003069B6" w:rsidRPr="003127C4">
            <w:rPr>
              <w:b w:val="0"/>
              <w:bCs/>
              <w:noProof/>
            </w:rPr>
            <w:t>Foreword</w:t>
          </w:r>
          <w:r w:rsidR="003069B6" w:rsidRPr="003127C4">
            <w:rPr>
              <w:b w:val="0"/>
              <w:bCs/>
              <w:noProof/>
            </w:rPr>
            <w:tab/>
          </w:r>
          <w:r w:rsidR="003069B6" w:rsidRPr="003127C4">
            <w:rPr>
              <w:b w:val="0"/>
              <w:bCs/>
              <w:noProof/>
            </w:rPr>
            <w:fldChar w:fldCharType="begin"/>
          </w:r>
          <w:r w:rsidR="003069B6" w:rsidRPr="003127C4">
            <w:rPr>
              <w:b w:val="0"/>
              <w:bCs/>
              <w:noProof/>
            </w:rPr>
            <w:instrText xml:space="preserve"> PAGEREF _Toc74138574 \h </w:instrText>
          </w:r>
          <w:r w:rsidR="003069B6" w:rsidRPr="003127C4">
            <w:rPr>
              <w:b w:val="0"/>
              <w:bCs/>
              <w:noProof/>
            </w:rPr>
          </w:r>
          <w:r w:rsidR="003069B6" w:rsidRPr="003127C4">
            <w:rPr>
              <w:b w:val="0"/>
              <w:bCs/>
              <w:noProof/>
            </w:rPr>
            <w:fldChar w:fldCharType="separate"/>
          </w:r>
          <w:r w:rsidR="00A368B3">
            <w:rPr>
              <w:b w:val="0"/>
              <w:bCs/>
              <w:noProof/>
            </w:rPr>
            <w:t>iii</w:t>
          </w:r>
          <w:r w:rsidR="003069B6" w:rsidRPr="003127C4">
            <w:rPr>
              <w:b w:val="0"/>
              <w:bCs/>
              <w:noProof/>
            </w:rPr>
            <w:fldChar w:fldCharType="end"/>
          </w:r>
        </w:p>
        <w:p w14:paraId="7F31DD10" w14:textId="5FF92011" w:rsidR="003069B6" w:rsidRPr="007227D6" w:rsidRDefault="003069B6" w:rsidP="003127C4">
          <w:pPr>
            <w:pStyle w:val="TOC1"/>
            <w:spacing w:before="360"/>
            <w:rPr>
              <w:noProof/>
            </w:rPr>
          </w:pPr>
          <w:r>
            <w:rPr>
              <w:noProof/>
            </w:rPr>
            <w:t>Productivity insights: recent developments</w:t>
          </w:r>
          <w:r>
            <w:rPr>
              <w:noProof/>
            </w:rPr>
            <w:tab/>
          </w:r>
          <w:r>
            <w:rPr>
              <w:noProof/>
            </w:rPr>
            <w:fldChar w:fldCharType="begin"/>
          </w:r>
          <w:r>
            <w:rPr>
              <w:noProof/>
            </w:rPr>
            <w:instrText xml:space="preserve"> PAGEREF _Toc74138576 \h </w:instrText>
          </w:r>
          <w:r>
            <w:rPr>
              <w:noProof/>
            </w:rPr>
          </w:r>
          <w:r>
            <w:rPr>
              <w:noProof/>
            </w:rPr>
            <w:fldChar w:fldCharType="separate"/>
          </w:r>
          <w:r w:rsidR="00A368B3">
            <w:rPr>
              <w:noProof/>
            </w:rPr>
            <w:t>1</w:t>
          </w:r>
          <w:r>
            <w:rPr>
              <w:noProof/>
            </w:rPr>
            <w:fldChar w:fldCharType="end"/>
          </w:r>
        </w:p>
        <w:p w14:paraId="36FAB16A" w14:textId="613CEB07" w:rsidR="003069B6" w:rsidRPr="007227D6" w:rsidRDefault="003069B6" w:rsidP="007227D6">
          <w:pPr>
            <w:pStyle w:val="TOC1"/>
            <w:rPr>
              <w:noProof/>
            </w:rPr>
          </w:pPr>
          <w:r>
            <w:rPr>
              <w:noProof/>
            </w:rPr>
            <w:t>1</w:t>
          </w:r>
          <w:r w:rsidRPr="007227D6">
            <w:rPr>
              <w:noProof/>
            </w:rPr>
            <w:tab/>
          </w:r>
          <w:r>
            <w:rPr>
              <w:noProof/>
            </w:rPr>
            <w:t>The first recession in 28 years</w:t>
          </w:r>
          <w:r>
            <w:rPr>
              <w:noProof/>
            </w:rPr>
            <w:tab/>
          </w:r>
          <w:r>
            <w:rPr>
              <w:noProof/>
            </w:rPr>
            <w:fldChar w:fldCharType="begin"/>
          </w:r>
          <w:r>
            <w:rPr>
              <w:noProof/>
            </w:rPr>
            <w:instrText xml:space="preserve"> PAGEREF _Toc74138577 \h </w:instrText>
          </w:r>
          <w:r>
            <w:rPr>
              <w:noProof/>
            </w:rPr>
          </w:r>
          <w:r>
            <w:rPr>
              <w:noProof/>
            </w:rPr>
            <w:fldChar w:fldCharType="separate"/>
          </w:r>
          <w:r w:rsidR="00A368B3">
            <w:rPr>
              <w:noProof/>
            </w:rPr>
            <w:t>8</w:t>
          </w:r>
          <w:r>
            <w:rPr>
              <w:noProof/>
            </w:rPr>
            <w:fldChar w:fldCharType="end"/>
          </w:r>
        </w:p>
        <w:p w14:paraId="4A74FA10" w14:textId="283D7FA7" w:rsidR="003069B6" w:rsidRPr="007227D6" w:rsidRDefault="003069B6" w:rsidP="007227D6">
          <w:pPr>
            <w:pStyle w:val="TOC1"/>
            <w:rPr>
              <w:noProof/>
            </w:rPr>
          </w:pPr>
          <w:r>
            <w:rPr>
              <w:noProof/>
            </w:rPr>
            <w:t>2</w:t>
          </w:r>
          <w:r w:rsidRPr="007227D6">
            <w:rPr>
              <w:noProof/>
            </w:rPr>
            <w:tab/>
          </w:r>
          <w:r>
            <w:rPr>
              <w:noProof/>
            </w:rPr>
            <w:t>Industry</w:t>
          </w:r>
          <w:r>
            <w:rPr>
              <w:noProof/>
            </w:rPr>
            <w:noBreakHyphen/>
            <w:t>level productivity performance</w:t>
          </w:r>
          <w:r>
            <w:rPr>
              <w:noProof/>
            </w:rPr>
            <w:tab/>
          </w:r>
          <w:r>
            <w:rPr>
              <w:noProof/>
            </w:rPr>
            <w:fldChar w:fldCharType="begin"/>
          </w:r>
          <w:r>
            <w:rPr>
              <w:noProof/>
            </w:rPr>
            <w:instrText xml:space="preserve"> PAGEREF _Toc74138578 \h </w:instrText>
          </w:r>
          <w:r>
            <w:rPr>
              <w:noProof/>
            </w:rPr>
          </w:r>
          <w:r>
            <w:rPr>
              <w:noProof/>
            </w:rPr>
            <w:fldChar w:fldCharType="separate"/>
          </w:r>
          <w:r w:rsidR="00A368B3">
            <w:rPr>
              <w:noProof/>
            </w:rPr>
            <w:t>31</w:t>
          </w:r>
          <w:r>
            <w:rPr>
              <w:noProof/>
            </w:rPr>
            <w:fldChar w:fldCharType="end"/>
          </w:r>
        </w:p>
        <w:p w14:paraId="04AA0764" w14:textId="54710374" w:rsidR="003069B6" w:rsidRPr="007227D6" w:rsidRDefault="003069B6" w:rsidP="007227D6">
          <w:pPr>
            <w:pStyle w:val="TOC1"/>
            <w:rPr>
              <w:noProof/>
            </w:rPr>
          </w:pPr>
          <w:r>
            <w:rPr>
              <w:noProof/>
            </w:rPr>
            <w:t>3</w:t>
          </w:r>
          <w:r w:rsidRPr="007227D6">
            <w:rPr>
              <w:noProof/>
            </w:rPr>
            <w:tab/>
          </w:r>
          <w:r>
            <w:rPr>
              <w:noProof/>
            </w:rPr>
            <w:t>Structural effects of COVID</w:t>
          </w:r>
          <w:r>
            <w:rPr>
              <w:noProof/>
            </w:rPr>
            <w:noBreakHyphen/>
            <w:t>19</w:t>
          </w:r>
          <w:r>
            <w:rPr>
              <w:noProof/>
            </w:rPr>
            <w:tab/>
          </w:r>
          <w:r>
            <w:rPr>
              <w:noProof/>
            </w:rPr>
            <w:fldChar w:fldCharType="begin"/>
          </w:r>
          <w:r>
            <w:rPr>
              <w:noProof/>
            </w:rPr>
            <w:instrText xml:space="preserve"> PAGEREF _Toc74138579 \h </w:instrText>
          </w:r>
          <w:r>
            <w:rPr>
              <w:noProof/>
            </w:rPr>
          </w:r>
          <w:r>
            <w:rPr>
              <w:noProof/>
            </w:rPr>
            <w:fldChar w:fldCharType="separate"/>
          </w:r>
          <w:r w:rsidR="00A368B3">
            <w:rPr>
              <w:noProof/>
            </w:rPr>
            <w:t>39</w:t>
          </w:r>
          <w:r>
            <w:rPr>
              <w:noProof/>
            </w:rPr>
            <w:fldChar w:fldCharType="end"/>
          </w:r>
        </w:p>
        <w:p w14:paraId="09EA3710" w14:textId="6C076BA9" w:rsidR="003069B6" w:rsidRPr="007227D6" w:rsidRDefault="003069B6" w:rsidP="007227D6">
          <w:pPr>
            <w:pStyle w:val="TOC1"/>
            <w:rPr>
              <w:noProof/>
            </w:rPr>
          </w:pPr>
          <w:r>
            <w:rPr>
              <w:noProof/>
            </w:rPr>
            <w:t>4</w:t>
          </w:r>
          <w:r w:rsidRPr="007227D6">
            <w:rPr>
              <w:noProof/>
            </w:rPr>
            <w:tab/>
          </w:r>
          <w:r>
            <w:rPr>
              <w:noProof/>
            </w:rPr>
            <w:t>Decade in review: slowest growth in 60 years</w:t>
          </w:r>
          <w:r>
            <w:rPr>
              <w:noProof/>
            </w:rPr>
            <w:tab/>
          </w:r>
          <w:r>
            <w:rPr>
              <w:noProof/>
            </w:rPr>
            <w:fldChar w:fldCharType="begin"/>
          </w:r>
          <w:r>
            <w:rPr>
              <w:noProof/>
            </w:rPr>
            <w:instrText xml:space="preserve"> PAGEREF _Toc74138580 \h </w:instrText>
          </w:r>
          <w:r>
            <w:rPr>
              <w:noProof/>
            </w:rPr>
          </w:r>
          <w:r>
            <w:rPr>
              <w:noProof/>
            </w:rPr>
            <w:fldChar w:fldCharType="separate"/>
          </w:r>
          <w:r w:rsidR="00A368B3">
            <w:rPr>
              <w:noProof/>
            </w:rPr>
            <w:t>44</w:t>
          </w:r>
          <w:r>
            <w:rPr>
              <w:noProof/>
            </w:rPr>
            <w:fldChar w:fldCharType="end"/>
          </w:r>
        </w:p>
        <w:p w14:paraId="794F08F9" w14:textId="4961E742" w:rsidR="003069B6" w:rsidRPr="007227D6" w:rsidRDefault="003069B6" w:rsidP="003127C4">
          <w:pPr>
            <w:pStyle w:val="TOC1"/>
            <w:spacing w:before="360"/>
            <w:rPr>
              <w:noProof/>
            </w:rPr>
          </w:pPr>
          <w:r>
            <w:rPr>
              <w:noProof/>
            </w:rPr>
            <w:t>Appendix A: subdivision employment</w:t>
          </w:r>
          <w:r>
            <w:rPr>
              <w:noProof/>
            </w:rPr>
            <w:tab/>
          </w:r>
          <w:r>
            <w:rPr>
              <w:noProof/>
            </w:rPr>
            <w:fldChar w:fldCharType="begin"/>
          </w:r>
          <w:r>
            <w:rPr>
              <w:noProof/>
            </w:rPr>
            <w:instrText xml:space="preserve"> PAGEREF _Toc74138581 \h </w:instrText>
          </w:r>
          <w:r>
            <w:rPr>
              <w:noProof/>
            </w:rPr>
          </w:r>
          <w:r>
            <w:rPr>
              <w:noProof/>
            </w:rPr>
            <w:fldChar w:fldCharType="separate"/>
          </w:r>
          <w:r w:rsidR="00A368B3">
            <w:rPr>
              <w:noProof/>
            </w:rPr>
            <w:t>51</w:t>
          </w:r>
          <w:r>
            <w:rPr>
              <w:noProof/>
            </w:rPr>
            <w:fldChar w:fldCharType="end"/>
          </w:r>
        </w:p>
        <w:p w14:paraId="68182015" w14:textId="13810D99" w:rsidR="003069B6" w:rsidRPr="007227D6" w:rsidRDefault="003069B6" w:rsidP="007227D6">
          <w:pPr>
            <w:pStyle w:val="TOC1"/>
            <w:rPr>
              <w:noProof/>
            </w:rPr>
          </w:pPr>
          <w:r w:rsidRPr="007227D6">
            <w:rPr>
              <w:noProof/>
            </w:rPr>
            <w:t>Appendix B: calculating the effect of reallocation and within industry growth on aggregate productivity</w:t>
          </w:r>
          <w:r>
            <w:rPr>
              <w:noProof/>
            </w:rPr>
            <w:tab/>
          </w:r>
          <w:r>
            <w:rPr>
              <w:noProof/>
            </w:rPr>
            <w:fldChar w:fldCharType="begin"/>
          </w:r>
          <w:r>
            <w:rPr>
              <w:noProof/>
            </w:rPr>
            <w:instrText xml:space="preserve"> PAGEREF _Toc74138582 \h </w:instrText>
          </w:r>
          <w:r>
            <w:rPr>
              <w:noProof/>
            </w:rPr>
          </w:r>
          <w:r>
            <w:rPr>
              <w:noProof/>
            </w:rPr>
            <w:fldChar w:fldCharType="separate"/>
          </w:r>
          <w:r w:rsidR="00A368B3">
            <w:rPr>
              <w:noProof/>
            </w:rPr>
            <w:t>56</w:t>
          </w:r>
          <w:r>
            <w:rPr>
              <w:noProof/>
            </w:rPr>
            <w:fldChar w:fldCharType="end"/>
          </w:r>
        </w:p>
        <w:p w14:paraId="0093A790" w14:textId="0B347EBA" w:rsidR="003069B6" w:rsidRPr="007227D6" w:rsidRDefault="003069B6" w:rsidP="003127C4">
          <w:pPr>
            <w:pStyle w:val="TOC1"/>
            <w:spacing w:before="360"/>
            <w:rPr>
              <w:noProof/>
            </w:rPr>
          </w:pPr>
          <w:r>
            <w:rPr>
              <w:noProof/>
            </w:rPr>
            <w:t>Abbreviations</w:t>
          </w:r>
          <w:r>
            <w:rPr>
              <w:noProof/>
            </w:rPr>
            <w:tab/>
          </w:r>
          <w:r>
            <w:rPr>
              <w:noProof/>
            </w:rPr>
            <w:fldChar w:fldCharType="begin"/>
          </w:r>
          <w:r>
            <w:rPr>
              <w:noProof/>
            </w:rPr>
            <w:instrText xml:space="preserve"> PAGEREF _Toc74138583 \h </w:instrText>
          </w:r>
          <w:r>
            <w:rPr>
              <w:noProof/>
            </w:rPr>
          </w:r>
          <w:r>
            <w:rPr>
              <w:noProof/>
            </w:rPr>
            <w:fldChar w:fldCharType="separate"/>
          </w:r>
          <w:r w:rsidR="00A368B3">
            <w:rPr>
              <w:noProof/>
            </w:rPr>
            <w:t>57</w:t>
          </w:r>
          <w:r>
            <w:rPr>
              <w:noProof/>
            </w:rPr>
            <w:fldChar w:fldCharType="end"/>
          </w:r>
        </w:p>
        <w:p w14:paraId="07427B23" w14:textId="0FC95CCA" w:rsidR="00873FD6" w:rsidRDefault="003069B6" w:rsidP="00032460">
          <w:pPr>
            <w:pStyle w:val="TOC1"/>
            <w:rPr>
              <w:szCs w:val="20"/>
            </w:rPr>
          </w:pPr>
          <w:r>
            <w:rPr>
              <w:noProof/>
            </w:rPr>
            <w:t>References</w:t>
          </w:r>
          <w:r>
            <w:rPr>
              <w:noProof/>
            </w:rPr>
            <w:tab/>
          </w:r>
          <w:r>
            <w:rPr>
              <w:noProof/>
            </w:rPr>
            <w:fldChar w:fldCharType="begin"/>
          </w:r>
          <w:r>
            <w:rPr>
              <w:noProof/>
            </w:rPr>
            <w:instrText xml:space="preserve"> PAGEREF _Toc74138584 \h </w:instrText>
          </w:r>
          <w:r>
            <w:rPr>
              <w:noProof/>
            </w:rPr>
          </w:r>
          <w:r>
            <w:rPr>
              <w:noProof/>
            </w:rPr>
            <w:fldChar w:fldCharType="separate"/>
          </w:r>
          <w:r w:rsidR="00A368B3">
            <w:rPr>
              <w:noProof/>
            </w:rPr>
            <w:t>58</w:t>
          </w:r>
          <w:r>
            <w:rPr>
              <w:noProof/>
            </w:rPr>
            <w:fldChar w:fldCharType="end"/>
          </w:r>
          <w:r w:rsidR="00873FD6">
            <w:rPr>
              <w:noProof/>
            </w:rPr>
            <w:fldChar w:fldCharType="end"/>
          </w:r>
        </w:p>
      </w:sdtContent>
    </w:sdt>
    <w:p w14:paraId="6DDE7F0A" w14:textId="77777777" w:rsidR="004D7235" w:rsidRDefault="004D7235" w:rsidP="00FA08D3">
      <w:pPr>
        <w:pStyle w:val="Heading2"/>
        <w:spacing w:after="360"/>
        <w:sectPr w:rsidR="004D7235" w:rsidSect="00630C31">
          <w:headerReference w:type="even" r:id="rId10"/>
          <w:headerReference w:type="default" r:id="rId11"/>
          <w:footerReference w:type="even" r:id="rId12"/>
          <w:footerReference w:type="default" r:id="rId13"/>
          <w:pgSz w:w="11906" w:h="16838"/>
          <w:pgMar w:top="1984" w:right="1304" w:bottom="1247" w:left="1814" w:header="1701" w:footer="397" w:gutter="0"/>
          <w:pgNumType w:fmt="lowerRoman"/>
          <w:cols w:space="708"/>
          <w:docGrid w:linePitch="360"/>
        </w:sectPr>
      </w:pPr>
    </w:p>
    <w:p w14:paraId="2C55BBAB" w14:textId="662470D4" w:rsidR="00534098" w:rsidRDefault="00534098" w:rsidP="00FA08D3">
      <w:pPr>
        <w:pStyle w:val="Heading2"/>
        <w:spacing w:after="360"/>
      </w:pPr>
      <w:bookmarkStart w:id="10" w:name="_Toc74138576"/>
      <w:r>
        <w:t xml:space="preserve">Productivity insights: </w:t>
      </w:r>
      <w:r w:rsidR="00D540D9">
        <w:t>recent developments</w:t>
      </w:r>
      <w:bookmarkEnd w:id="10"/>
    </w:p>
    <w:p w14:paraId="0F86CACD" w14:textId="77777777" w:rsidR="00C96676" w:rsidRPr="00C96676" w:rsidRDefault="00C96676" w:rsidP="004712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4CC803EB" w14:textId="77777777" w:rsidTr="007A39EB">
        <w:trPr>
          <w:tblHeader/>
        </w:trPr>
        <w:tc>
          <w:tcPr>
            <w:tcW w:w="5000" w:type="pct"/>
            <w:tcBorders>
              <w:top w:val="single" w:sz="6" w:space="0" w:color="78A22F"/>
              <w:left w:val="nil"/>
              <w:bottom w:val="nil"/>
              <w:right w:val="nil"/>
            </w:tcBorders>
            <w:shd w:val="clear" w:color="auto" w:fill="F2F2F2"/>
          </w:tcPr>
          <w:p w14:paraId="4BE289A9" w14:textId="77777777" w:rsidR="00534098" w:rsidRDefault="00534098" w:rsidP="007A39EB">
            <w:pPr>
              <w:pStyle w:val="BoxTitle"/>
            </w:pPr>
            <w:r>
              <w:t>Key points</w:t>
            </w:r>
          </w:p>
        </w:tc>
      </w:tr>
      <w:tr w:rsidR="00534098" w14:paraId="654F8A42" w14:textId="77777777" w:rsidTr="007A39EB">
        <w:tc>
          <w:tcPr>
            <w:tcW w:w="5000" w:type="pct"/>
            <w:tcBorders>
              <w:top w:val="nil"/>
              <w:left w:val="nil"/>
              <w:bottom w:val="nil"/>
              <w:right w:val="nil"/>
            </w:tcBorders>
            <w:shd w:val="clear" w:color="auto" w:fill="F2F2F2"/>
          </w:tcPr>
          <w:p w14:paraId="304B1AF3" w14:textId="72645C1B" w:rsidR="00534098" w:rsidRDefault="00534098" w:rsidP="007A39EB">
            <w:pPr>
              <w:pStyle w:val="KeyPointsListBullet"/>
            </w:pPr>
            <w:r>
              <w:t>COVID</w:t>
            </w:r>
            <w:r>
              <w:noBreakHyphen/>
              <w:t>19 brought Australia’s first recession in 2</w:t>
            </w:r>
            <w:r w:rsidR="00424E17">
              <w:t>8</w:t>
            </w:r>
            <w:r>
              <w:t xml:space="preserve"> years </w:t>
            </w:r>
            <w:r w:rsidR="00494862">
              <w:t xml:space="preserve">with </w:t>
            </w:r>
            <w:r>
              <w:t xml:space="preserve">large, immediate effects on labour markets, economic activity and productivity. </w:t>
            </w:r>
          </w:p>
          <w:p w14:paraId="4C55A82E" w14:textId="77777777" w:rsidR="00534098" w:rsidRDefault="00534098" w:rsidP="007A39EB">
            <w:pPr>
              <w:pStyle w:val="KeyPointsListBullet2"/>
            </w:pPr>
            <w:r>
              <w:t>GDP fell 0.3 per cent and GDP per capita fell 1.7 per cent in 2019</w:t>
            </w:r>
            <w:r>
              <w:noBreakHyphen/>
              <w:t xml:space="preserve">20. Despite this, capital income in the market sector was up 4.5 per cent while hourly wages increased by 5 per cent, mainly due to the significant levels of government assistance provided in 2020. </w:t>
            </w:r>
          </w:p>
          <w:p w14:paraId="0D21C6A1" w14:textId="77777777" w:rsidR="00534098" w:rsidRDefault="00534098" w:rsidP="007A39EB">
            <w:pPr>
              <w:pStyle w:val="KeyPointsListBullet2"/>
            </w:pPr>
            <w:r>
              <w:t xml:space="preserve">Labour productivity increased 0.5 per cent across the economy and 0.56 per cent in the market sector. These increases were mainly due to labour reallocating from low productivity industries to higher productivity sectors. </w:t>
            </w:r>
          </w:p>
          <w:p w14:paraId="63CDC0C3" w14:textId="77777777" w:rsidR="00534098" w:rsidRDefault="00534098" w:rsidP="007A39EB">
            <w:pPr>
              <w:pStyle w:val="KeyPointsListBullet2"/>
            </w:pPr>
            <w:r>
              <w:t xml:space="preserve">Multifactor productivity fell for the first time in nearly a decade (0.68 per cent) while capital deepening was higher than in any of the previous five years (2.5 per cent), reflecting that labour hours fell more sharply than the capital stock, and potential measurement issues. </w:t>
            </w:r>
          </w:p>
          <w:p w14:paraId="6768F478" w14:textId="77777777" w:rsidR="00534098" w:rsidRDefault="00534098" w:rsidP="007A39EB">
            <w:pPr>
              <w:pStyle w:val="KeyPointsListBullet2"/>
            </w:pPr>
            <w:r>
              <w:t>Many industries saw labour productivity increase as hours fell more than their output, likely reflecting that the least experienced workers are usually the first to go.</w:t>
            </w:r>
          </w:p>
          <w:p w14:paraId="4077948F" w14:textId="77777777" w:rsidR="00534098" w:rsidRDefault="00534098" w:rsidP="007A39EB">
            <w:pPr>
              <w:pStyle w:val="KeyPointsListBullet"/>
            </w:pPr>
            <w:r>
              <w:t>The COVID</w:t>
            </w:r>
            <w:r>
              <w:noBreakHyphen/>
              <w:t>19 recession precipitated a sudden rise in unemployment and falls in investment and hours worked during the first half of 2020, especially in the face</w:t>
            </w:r>
            <w:r>
              <w:noBreakHyphen/>
              <w:t>to</w:t>
            </w:r>
            <w:r>
              <w:noBreakHyphen/>
              <w:t xml:space="preserve">face service industries such as </w:t>
            </w:r>
            <w:r w:rsidRPr="00A85217">
              <w:rPr>
                <w:i/>
                <w:iCs/>
              </w:rPr>
              <w:t>accommodation and food services</w:t>
            </w:r>
            <w:r>
              <w:t xml:space="preserve"> and </w:t>
            </w:r>
            <w:r w:rsidRPr="00A85217">
              <w:rPr>
                <w:i/>
                <w:iCs/>
              </w:rPr>
              <w:t>retail trade</w:t>
            </w:r>
            <w:r>
              <w:t>. Participation rates also fell.</w:t>
            </w:r>
          </w:p>
          <w:p w14:paraId="468AFA2E" w14:textId="391C76B4" w:rsidR="00534098" w:rsidRDefault="00534098" w:rsidP="007A39EB">
            <w:pPr>
              <w:pStyle w:val="KeyPointsListBullet"/>
            </w:pPr>
            <w:r>
              <w:t>The second half of 2020 saw investment, hours worked per worker and participation rapidly recover to pre</w:t>
            </w:r>
            <w:r>
              <w:noBreakHyphen/>
              <w:t xml:space="preserve">COVID levels. As at </w:t>
            </w:r>
            <w:r w:rsidR="005A31EB">
              <w:t>May</w:t>
            </w:r>
            <w:r>
              <w:t xml:space="preserve"> 2021, unemployment remains slightly elevated.</w:t>
            </w:r>
          </w:p>
          <w:p w14:paraId="5CAC9472" w14:textId="77777777" w:rsidR="00534098" w:rsidRDefault="00534098" w:rsidP="007A39EB">
            <w:pPr>
              <w:pStyle w:val="KeyPointsListBullet"/>
            </w:pPr>
            <w:r>
              <w:t xml:space="preserve">The speed of recovery largely reflects the nature of the shock, large (temporary) subsidies and concessions from all levels of government (particularly the JobKeeper and Cashflow Booster programs) as well as containment of the pandemic. </w:t>
            </w:r>
          </w:p>
          <w:p w14:paraId="63C7BC2B" w14:textId="77777777" w:rsidR="00534098" w:rsidRDefault="00534098" w:rsidP="007A39EB">
            <w:pPr>
              <w:pStyle w:val="KeyPointsListBullet"/>
            </w:pPr>
            <w:r>
              <w:t>Some responses to the pandemic that emerged in 2020 may affect the structure of the economy and long</w:t>
            </w:r>
            <w:r>
              <w:noBreakHyphen/>
              <w:t>term productivity growth:</w:t>
            </w:r>
          </w:p>
          <w:p w14:paraId="008AA6E6" w14:textId="77777777" w:rsidR="00534098" w:rsidRDefault="00534098" w:rsidP="007A39EB">
            <w:pPr>
              <w:pStyle w:val="KeyPointsListBullet2"/>
            </w:pPr>
            <w:r>
              <w:t>Business exits rose less than in previous recessions, likely due to changes in insolvency laws and subsidies (JobKeeper). Exits will likely rise now these programs have ended.</w:t>
            </w:r>
          </w:p>
          <w:p w14:paraId="623180E5" w14:textId="77777777" w:rsidR="00534098" w:rsidRDefault="00534098" w:rsidP="007A39EB">
            <w:pPr>
              <w:pStyle w:val="KeyPointsListBullet2"/>
            </w:pPr>
            <w:r>
              <w:t>More employees will likely work from home more frequently post</w:t>
            </w:r>
            <w:r>
              <w:noBreakHyphen/>
              <w:t>COVID, with unclear ramifications for productivity.</w:t>
            </w:r>
          </w:p>
          <w:p w14:paraId="202ACC01" w14:textId="77777777" w:rsidR="00534098" w:rsidRDefault="00534098" w:rsidP="007A39EB">
            <w:pPr>
              <w:pStyle w:val="KeyPointsListBullet2"/>
            </w:pPr>
            <w:r>
              <w:t>Online retail surged during 2019</w:t>
            </w:r>
            <w:r>
              <w:noBreakHyphen/>
              <w:t>20 but whether this is a temporary blip or an acceleration of the trend to online shopping is unclear.</w:t>
            </w:r>
          </w:p>
          <w:p w14:paraId="24E0F624" w14:textId="0A1A9215" w:rsidR="00534098" w:rsidRDefault="00534098" w:rsidP="007A39EB">
            <w:pPr>
              <w:pStyle w:val="KeyPointsListBullet"/>
            </w:pPr>
            <w:r>
              <w:t>Even excluding 2019</w:t>
            </w:r>
            <w:r>
              <w:noBreakHyphen/>
              <w:t>20, the past decade of economic growth has been, on a per person basis, the slowest in 60 years. This reflects the global slowdown in productivity growth, and the end of the mining investment boom</w:t>
            </w:r>
            <w:r w:rsidR="008E032A">
              <w:t>,</w:t>
            </w:r>
            <w:r>
              <w:t xml:space="preserve"> which delivered the double whammy of slower growth in production and a lower sale price on exports relative to imports (though the terms of trade and mining investment have improved in the last few years of the decade). </w:t>
            </w:r>
          </w:p>
        </w:tc>
      </w:tr>
      <w:tr w:rsidR="00534098" w14:paraId="1008419D" w14:textId="77777777" w:rsidTr="007A39EB">
        <w:tc>
          <w:tcPr>
            <w:tcW w:w="5000" w:type="pct"/>
            <w:tcBorders>
              <w:top w:val="nil"/>
              <w:left w:val="nil"/>
              <w:bottom w:val="single" w:sz="6" w:space="0" w:color="78A22F"/>
              <w:right w:val="nil"/>
            </w:tcBorders>
            <w:shd w:val="clear" w:color="auto" w:fill="F2F2F2"/>
          </w:tcPr>
          <w:p w14:paraId="3777F53F" w14:textId="77777777" w:rsidR="00534098" w:rsidRDefault="00534098" w:rsidP="007A39EB">
            <w:pPr>
              <w:pStyle w:val="Box"/>
              <w:spacing w:before="0" w:line="120" w:lineRule="exact"/>
            </w:pPr>
          </w:p>
        </w:tc>
      </w:tr>
      <w:tr w:rsidR="00534098" w:rsidRPr="000863A5" w14:paraId="06E47CAD" w14:textId="77777777" w:rsidTr="007A39EB">
        <w:tc>
          <w:tcPr>
            <w:tcW w:w="5000" w:type="pct"/>
            <w:tcBorders>
              <w:top w:val="single" w:sz="6" w:space="0" w:color="78A22F"/>
              <w:left w:val="nil"/>
              <w:bottom w:val="nil"/>
              <w:right w:val="nil"/>
            </w:tcBorders>
          </w:tcPr>
          <w:p w14:paraId="27C9E1B4" w14:textId="77777777" w:rsidR="00534098" w:rsidRPr="00626D32" w:rsidRDefault="00534098" w:rsidP="007A39EB">
            <w:pPr>
              <w:pStyle w:val="BoxSpaceBelow"/>
            </w:pPr>
          </w:p>
        </w:tc>
      </w:tr>
    </w:tbl>
    <w:p w14:paraId="068FBADD" w14:textId="7EB3D05A" w:rsidR="00534098" w:rsidRDefault="00D048C1" w:rsidP="00C96676">
      <w:pPr>
        <w:pStyle w:val="Heading3"/>
      </w:pPr>
      <w:r>
        <w:t>Product</w:t>
      </w:r>
      <w:r w:rsidR="00816F09">
        <w:t>ivity at a glance</w:t>
      </w:r>
    </w:p>
    <w:p w14:paraId="5AC28C70" w14:textId="130E5AE0" w:rsidR="001938A1" w:rsidRPr="001938A1" w:rsidRDefault="00E23D89" w:rsidP="00D95E6F">
      <w:pPr>
        <w:pStyle w:val="BodyText"/>
        <w:jc w:val="left"/>
      </w:pPr>
      <w:r w:rsidRPr="00E23D89">
        <w:rPr>
          <w:noProof/>
        </w:rPr>
        <w:drawing>
          <wp:inline distT="0" distB="0" distL="0" distR="0" wp14:anchorId="1AE4F2F9" wp14:editId="225F339D">
            <wp:extent cx="5580000" cy="5882713"/>
            <wp:effectExtent l="0" t="0" r="1905" b="3810"/>
            <wp:docPr id="9" name="Picture 9" descr="Productivity at a glance - here multifactor productivity and labour productivity are displayed. In 2019-20:&#10;Multifactor productivity growth was below average at -0.68%, and the average over the past five sits at 0.12% - within the typical range; &#10;Labour productivity is at 0.56%, and for the five-year average sits at 0.83% - within the typic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ductivity at a glance - here multifactor productivity and labour productivity are displayed. In 2019-20:&#10;Multifactor productivity growth was below average at -0.68%, and the average over the past five sits at 0.12% - within the typical range; &#10;Labour productivity is at 0.56%, and for the five-year average sits at 0.83% - within the typical ra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000" cy="5882713"/>
                    </a:xfrm>
                    <a:prstGeom prst="rect">
                      <a:avLst/>
                    </a:prstGeom>
                    <a:noFill/>
                    <a:ln>
                      <a:noFill/>
                    </a:ln>
                  </pic:spPr>
                </pic:pic>
              </a:graphicData>
            </a:graphic>
          </wp:inline>
        </w:drawing>
      </w:r>
    </w:p>
    <w:p w14:paraId="530064BC" w14:textId="08035F8A" w:rsidR="00534098" w:rsidRDefault="00534098" w:rsidP="004712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4BB8990B" w14:textId="77777777" w:rsidTr="007A39EB">
        <w:trPr>
          <w:tblHeader/>
        </w:trPr>
        <w:tc>
          <w:tcPr>
            <w:tcW w:w="5000" w:type="pct"/>
            <w:tcBorders>
              <w:top w:val="single" w:sz="6" w:space="0" w:color="78A22F"/>
              <w:left w:val="nil"/>
              <w:bottom w:val="nil"/>
              <w:right w:val="nil"/>
            </w:tcBorders>
            <w:shd w:val="clear" w:color="auto" w:fill="auto"/>
          </w:tcPr>
          <w:p w14:paraId="51255FD4" w14:textId="1BB7C861" w:rsidR="00534098" w:rsidRDefault="00534098" w:rsidP="007A39EB">
            <w:pPr>
              <w:pStyle w:val="TableTitle"/>
            </w:pPr>
            <w:r>
              <w:rPr>
                <w:b w:val="0"/>
              </w:rPr>
              <w:t xml:space="preserve">Table </w:t>
            </w:r>
            <w:r w:rsidR="0015674B">
              <w:rPr>
                <w:b w:val="0"/>
                <w:noProof/>
              </w:rPr>
              <w:t>1</w:t>
            </w:r>
            <w:r>
              <w:tab/>
              <w:t>Aggregate productivity statistics</w:t>
            </w:r>
            <w:r w:rsidRPr="00456687">
              <w:rPr>
                <w:rStyle w:val="NoteLabel"/>
                <w:b/>
              </w:rPr>
              <w:t>a</w:t>
            </w:r>
          </w:p>
          <w:p w14:paraId="21DA388F" w14:textId="77777777" w:rsidR="00534098" w:rsidRPr="00784A05" w:rsidRDefault="00534098" w:rsidP="007A39EB">
            <w:pPr>
              <w:pStyle w:val="Subtitle"/>
            </w:pPr>
            <w:r>
              <w:t>Per cent</w:t>
            </w:r>
            <w:r>
              <w:rPr>
                <w:rStyle w:val="NoteLabel"/>
              </w:rPr>
              <w:t>b</w:t>
            </w:r>
          </w:p>
        </w:tc>
      </w:tr>
      <w:tr w:rsidR="00534098" w14:paraId="5BC8D5A9"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50"/>
              <w:gridCol w:w="1555"/>
              <w:gridCol w:w="1701"/>
              <w:gridCol w:w="1699"/>
              <w:gridCol w:w="1699"/>
            </w:tblGrid>
            <w:tr w:rsidR="00534098" w14:paraId="7DFE752C" w14:textId="77777777" w:rsidTr="000147FE">
              <w:trPr>
                <w:tblHeader/>
              </w:trPr>
              <w:tc>
                <w:tcPr>
                  <w:tcW w:w="1088" w:type="pct"/>
                  <w:vMerge w:val="restart"/>
                  <w:tcBorders>
                    <w:top w:val="single" w:sz="6" w:space="0" w:color="BFBFBF"/>
                  </w:tcBorders>
                  <w:shd w:val="clear" w:color="auto" w:fill="auto"/>
                  <w:tcMar>
                    <w:top w:w="28" w:type="dxa"/>
                  </w:tcMar>
                </w:tcPr>
                <w:p w14:paraId="03D425B3" w14:textId="77777777" w:rsidR="00534098" w:rsidRPr="002F7B22" w:rsidRDefault="00534098" w:rsidP="007A39EB">
                  <w:pPr>
                    <w:pStyle w:val="TableColumnHeading"/>
                    <w:jc w:val="left"/>
                    <w:rPr>
                      <w:b/>
                      <w:i w:val="0"/>
                    </w:rPr>
                  </w:pPr>
                </w:p>
              </w:tc>
              <w:tc>
                <w:tcPr>
                  <w:tcW w:w="914" w:type="pct"/>
                  <w:tcBorders>
                    <w:top w:val="single" w:sz="6" w:space="0" w:color="BFBFBF"/>
                    <w:bottom w:val="single" w:sz="6" w:space="0" w:color="BFBFBF"/>
                    <w:right w:val="single" w:sz="24" w:space="0" w:color="FFFFFF" w:themeColor="background1"/>
                  </w:tcBorders>
                </w:tcPr>
                <w:p w14:paraId="7CB6EA50" w14:textId="77777777" w:rsidR="00534098" w:rsidRPr="002F7B22" w:rsidRDefault="00534098" w:rsidP="007A39EB">
                  <w:pPr>
                    <w:pStyle w:val="TableColumnHeading"/>
                    <w:rPr>
                      <w:b/>
                      <w:i w:val="0"/>
                    </w:rPr>
                  </w:pPr>
                  <w:r w:rsidRPr="002F7B22">
                    <w:rPr>
                      <w:b/>
                      <w:i w:val="0"/>
                    </w:rPr>
                    <w:t>Long</w:t>
                  </w:r>
                  <w:r>
                    <w:rPr>
                      <w:b/>
                      <w:i w:val="0"/>
                    </w:rPr>
                    <w:noBreakHyphen/>
                  </w:r>
                  <w:r w:rsidRPr="002F7B22">
                    <w:rPr>
                      <w:b/>
                      <w:i w:val="0"/>
                    </w:rPr>
                    <w:t>term growth rate</w:t>
                  </w:r>
                </w:p>
              </w:tc>
              <w:tc>
                <w:tcPr>
                  <w:tcW w:w="1000" w:type="pct"/>
                  <w:tcBorders>
                    <w:top w:val="single" w:sz="6" w:space="0" w:color="BFBFBF"/>
                    <w:left w:val="single" w:sz="24" w:space="0" w:color="FFFFFF" w:themeColor="background1"/>
                    <w:bottom w:val="single" w:sz="6" w:space="0" w:color="BFBFBF"/>
                    <w:right w:val="single" w:sz="24" w:space="0" w:color="FFFFFF" w:themeColor="background1"/>
                  </w:tcBorders>
                  <w:shd w:val="clear" w:color="auto" w:fill="auto"/>
                  <w:tcMar>
                    <w:top w:w="28" w:type="dxa"/>
                  </w:tcMar>
                </w:tcPr>
                <w:p w14:paraId="1047F84D" w14:textId="6C6D6051" w:rsidR="00534098" w:rsidRPr="002F7B22" w:rsidRDefault="00534098" w:rsidP="007A39EB">
                  <w:pPr>
                    <w:pStyle w:val="TableColumnHeading"/>
                    <w:rPr>
                      <w:b/>
                      <w:i w:val="0"/>
                    </w:rPr>
                  </w:pPr>
                  <w:r w:rsidRPr="002F7B22">
                    <w:rPr>
                      <w:b/>
                      <w:i w:val="0"/>
                    </w:rPr>
                    <w:t xml:space="preserve">Most recent </w:t>
                  </w:r>
                  <w:r w:rsidR="00735430">
                    <w:rPr>
                      <w:b/>
                      <w:i w:val="0"/>
                    </w:rPr>
                    <w:br/>
                  </w:r>
                  <w:r w:rsidRPr="002F7B22">
                    <w:rPr>
                      <w:b/>
                      <w:i w:val="0"/>
                    </w:rPr>
                    <w:t>five years</w:t>
                  </w:r>
                </w:p>
              </w:tc>
              <w:tc>
                <w:tcPr>
                  <w:tcW w:w="1998" w:type="pct"/>
                  <w:gridSpan w:val="2"/>
                  <w:tcBorders>
                    <w:top w:val="single" w:sz="6" w:space="0" w:color="BFBFBF"/>
                    <w:left w:val="single" w:sz="24" w:space="0" w:color="FFFFFF" w:themeColor="background1"/>
                    <w:bottom w:val="single" w:sz="6" w:space="0" w:color="BFBFBF"/>
                  </w:tcBorders>
                  <w:shd w:val="clear" w:color="auto" w:fill="auto"/>
                  <w:tcMar>
                    <w:top w:w="28" w:type="dxa"/>
                  </w:tcMar>
                </w:tcPr>
                <w:p w14:paraId="340D518E" w14:textId="77777777" w:rsidR="00534098" w:rsidRPr="002F7B22" w:rsidRDefault="00534098" w:rsidP="007A39EB">
                  <w:pPr>
                    <w:pStyle w:val="TableColumnHeading"/>
                    <w:ind w:right="28"/>
                    <w:jc w:val="center"/>
                    <w:rPr>
                      <w:b/>
                      <w:i w:val="0"/>
                    </w:rPr>
                  </w:pPr>
                  <w:r w:rsidRPr="002F7B22">
                    <w:rPr>
                      <w:b/>
                      <w:i w:val="0"/>
                    </w:rPr>
                    <w:t>Latest years</w:t>
                  </w:r>
                </w:p>
              </w:tc>
            </w:tr>
            <w:tr w:rsidR="00534098" w:rsidRPr="002F7B22" w14:paraId="12FD8D44" w14:textId="77777777" w:rsidTr="000147FE">
              <w:trPr>
                <w:tblHeader/>
              </w:trPr>
              <w:tc>
                <w:tcPr>
                  <w:tcW w:w="1088" w:type="pct"/>
                  <w:vMerge/>
                  <w:tcBorders>
                    <w:bottom w:val="single" w:sz="6" w:space="0" w:color="BFBFBF"/>
                  </w:tcBorders>
                  <w:tcMar>
                    <w:top w:w="28" w:type="dxa"/>
                  </w:tcMar>
                </w:tcPr>
                <w:p w14:paraId="25E208DB" w14:textId="77777777" w:rsidR="00534098" w:rsidRDefault="00534098" w:rsidP="007A39EB">
                  <w:pPr>
                    <w:pStyle w:val="TableColumnHeading"/>
                    <w:jc w:val="left"/>
                  </w:pPr>
                </w:p>
              </w:tc>
              <w:tc>
                <w:tcPr>
                  <w:tcW w:w="914" w:type="pct"/>
                  <w:tcBorders>
                    <w:top w:val="single" w:sz="6" w:space="0" w:color="BFBFBF"/>
                    <w:bottom w:val="single" w:sz="6" w:space="0" w:color="BFBFBF"/>
                    <w:right w:val="single" w:sz="24" w:space="0" w:color="FFFFFF" w:themeColor="background1"/>
                  </w:tcBorders>
                </w:tcPr>
                <w:p w14:paraId="53CF7744" w14:textId="2AF80564" w:rsidR="00534098" w:rsidRPr="002F7B22" w:rsidRDefault="00534098" w:rsidP="004E2B47">
                  <w:pPr>
                    <w:pStyle w:val="TableColumnHeading"/>
                    <w:ind w:right="28"/>
                    <w:rPr>
                      <w:b/>
                      <w:i w:val="0"/>
                    </w:rPr>
                  </w:pPr>
                  <w:r w:rsidRPr="002F7B22">
                    <w:rPr>
                      <w:b/>
                      <w:i w:val="0"/>
                    </w:rPr>
                    <w:t>19</w:t>
                  </w:r>
                  <w:r>
                    <w:rPr>
                      <w:b/>
                      <w:i w:val="0"/>
                    </w:rPr>
                    <w:t>94</w:t>
                  </w:r>
                  <w:r>
                    <w:rPr>
                      <w:b/>
                      <w:i w:val="0"/>
                    </w:rPr>
                    <w:noBreakHyphen/>
                    <w:t>95</w:t>
                  </w:r>
                  <w:r w:rsidRPr="002F7B22">
                    <w:rPr>
                      <w:b/>
                      <w:i w:val="0"/>
                    </w:rPr>
                    <w:t xml:space="preserve"> to </w:t>
                  </w:r>
                  <w:r w:rsidR="003B75ED">
                    <w:rPr>
                      <w:b/>
                      <w:i w:val="0"/>
                    </w:rPr>
                    <w:br/>
                  </w:r>
                  <w:r w:rsidRPr="002F7B22">
                    <w:rPr>
                      <w:b/>
                      <w:i w:val="0"/>
                    </w:rPr>
                    <w:t>2019</w:t>
                  </w:r>
                  <w:r>
                    <w:rPr>
                      <w:b/>
                      <w:i w:val="0"/>
                    </w:rPr>
                    <w:noBreakHyphen/>
                  </w:r>
                  <w:r w:rsidRPr="002F7B22">
                    <w:rPr>
                      <w:b/>
                      <w:i w:val="0"/>
                    </w:rPr>
                    <w:t>20</w:t>
                  </w:r>
                </w:p>
              </w:tc>
              <w:tc>
                <w:tcPr>
                  <w:tcW w:w="1000" w:type="pct"/>
                  <w:tcBorders>
                    <w:top w:val="single" w:sz="6" w:space="0" w:color="BFBFBF"/>
                    <w:left w:val="single" w:sz="24" w:space="0" w:color="FFFFFF" w:themeColor="background1"/>
                    <w:bottom w:val="single" w:sz="6" w:space="0" w:color="BFBFBF"/>
                    <w:right w:val="single" w:sz="24" w:space="0" w:color="FFFFFF" w:themeColor="background1"/>
                  </w:tcBorders>
                  <w:shd w:val="clear" w:color="auto" w:fill="auto"/>
                  <w:tcMar>
                    <w:top w:w="28" w:type="dxa"/>
                  </w:tcMar>
                </w:tcPr>
                <w:p w14:paraId="226218A6" w14:textId="50729788" w:rsidR="00534098" w:rsidRPr="002F7B22" w:rsidRDefault="00534098" w:rsidP="004E2B47">
                  <w:pPr>
                    <w:pStyle w:val="TableColumnHeading"/>
                    <w:rPr>
                      <w:b/>
                      <w:i w:val="0"/>
                    </w:rPr>
                  </w:pPr>
                  <w:r w:rsidRPr="002F7B22">
                    <w:rPr>
                      <w:b/>
                      <w:i w:val="0"/>
                    </w:rPr>
                    <w:t>2014</w:t>
                  </w:r>
                  <w:r>
                    <w:rPr>
                      <w:b/>
                      <w:i w:val="0"/>
                    </w:rPr>
                    <w:noBreakHyphen/>
                  </w:r>
                  <w:r w:rsidRPr="002F7B22">
                    <w:rPr>
                      <w:b/>
                      <w:i w:val="0"/>
                    </w:rPr>
                    <w:t>15 to</w:t>
                  </w:r>
                  <w:r w:rsidR="003B75ED">
                    <w:rPr>
                      <w:b/>
                      <w:i w:val="0"/>
                    </w:rPr>
                    <w:t xml:space="preserve"> </w:t>
                  </w:r>
                  <w:r w:rsidR="003B75ED">
                    <w:rPr>
                      <w:b/>
                      <w:i w:val="0"/>
                    </w:rPr>
                    <w:br/>
                  </w:r>
                  <w:r w:rsidRPr="002F7B22">
                    <w:rPr>
                      <w:b/>
                      <w:i w:val="0"/>
                    </w:rPr>
                    <w:t>2019</w:t>
                  </w:r>
                  <w:r>
                    <w:rPr>
                      <w:b/>
                      <w:i w:val="0"/>
                    </w:rPr>
                    <w:noBreakHyphen/>
                  </w:r>
                  <w:r w:rsidRPr="002F7B22">
                    <w:rPr>
                      <w:b/>
                      <w:i w:val="0"/>
                    </w:rPr>
                    <w:t>20</w:t>
                  </w:r>
                </w:p>
              </w:tc>
              <w:tc>
                <w:tcPr>
                  <w:tcW w:w="999" w:type="pct"/>
                  <w:tcBorders>
                    <w:top w:val="single" w:sz="6" w:space="0" w:color="BFBFBF"/>
                    <w:left w:val="single" w:sz="24" w:space="0" w:color="FFFFFF" w:themeColor="background1"/>
                    <w:bottom w:val="single" w:sz="6" w:space="0" w:color="BFBFBF"/>
                  </w:tcBorders>
                  <w:shd w:val="clear" w:color="auto" w:fill="auto"/>
                  <w:tcMar>
                    <w:top w:w="28" w:type="dxa"/>
                  </w:tcMar>
                </w:tcPr>
                <w:p w14:paraId="28586435" w14:textId="77777777" w:rsidR="00534098" w:rsidRPr="002F7B22" w:rsidRDefault="00534098" w:rsidP="004E2B47">
                  <w:pPr>
                    <w:pStyle w:val="TableColumnHeading"/>
                    <w:rPr>
                      <w:b/>
                      <w:i w:val="0"/>
                    </w:rPr>
                  </w:pPr>
                  <w:r w:rsidRPr="002F7B22">
                    <w:rPr>
                      <w:b/>
                      <w:i w:val="0"/>
                    </w:rPr>
                    <w:t>2018</w:t>
                  </w:r>
                  <w:r>
                    <w:rPr>
                      <w:b/>
                      <w:i w:val="0"/>
                    </w:rPr>
                    <w:noBreakHyphen/>
                  </w:r>
                  <w:r w:rsidRPr="002F7B22">
                    <w:rPr>
                      <w:b/>
                      <w:i w:val="0"/>
                    </w:rPr>
                    <w:t>19</w:t>
                  </w:r>
                </w:p>
              </w:tc>
              <w:tc>
                <w:tcPr>
                  <w:tcW w:w="999" w:type="pct"/>
                  <w:tcBorders>
                    <w:top w:val="single" w:sz="6" w:space="0" w:color="BFBFBF"/>
                    <w:bottom w:val="single" w:sz="6" w:space="0" w:color="BFBFBF"/>
                  </w:tcBorders>
                </w:tcPr>
                <w:p w14:paraId="62091F2B" w14:textId="77777777" w:rsidR="00534098" w:rsidRPr="002F7B22" w:rsidRDefault="00534098" w:rsidP="007A39EB">
                  <w:pPr>
                    <w:pStyle w:val="TableColumnHeading"/>
                    <w:ind w:right="28"/>
                    <w:rPr>
                      <w:b/>
                      <w:i w:val="0"/>
                    </w:rPr>
                  </w:pPr>
                  <w:r w:rsidRPr="002F7B22">
                    <w:rPr>
                      <w:b/>
                      <w:i w:val="0"/>
                    </w:rPr>
                    <w:t>2019</w:t>
                  </w:r>
                  <w:r>
                    <w:rPr>
                      <w:b/>
                      <w:i w:val="0"/>
                    </w:rPr>
                    <w:noBreakHyphen/>
                  </w:r>
                  <w:r w:rsidRPr="002F7B22">
                    <w:rPr>
                      <w:b/>
                      <w:i w:val="0"/>
                    </w:rPr>
                    <w:t>20</w:t>
                  </w:r>
                </w:p>
              </w:tc>
            </w:tr>
            <w:tr w:rsidR="00534098" w14:paraId="6457CF4C" w14:textId="77777777" w:rsidTr="00770C60">
              <w:trPr>
                <w:tblHeader/>
              </w:trPr>
              <w:tc>
                <w:tcPr>
                  <w:tcW w:w="1088" w:type="pct"/>
                  <w:tcBorders>
                    <w:top w:val="single" w:sz="6" w:space="0" w:color="BFBFBF"/>
                  </w:tcBorders>
                  <w:shd w:val="clear" w:color="auto" w:fill="E0F1F7" w:themeFill="text2" w:themeFillTint="33"/>
                  <w:tcMar>
                    <w:top w:w="28" w:type="dxa"/>
                  </w:tcMar>
                </w:tcPr>
                <w:p w14:paraId="2421189C" w14:textId="77777777" w:rsidR="00534098" w:rsidRPr="001E676D" w:rsidRDefault="00534098" w:rsidP="00264C0E">
                  <w:pPr>
                    <w:pStyle w:val="TableColumnHeading"/>
                    <w:spacing w:after="40"/>
                    <w:jc w:val="left"/>
                    <w:rPr>
                      <w:rFonts w:cs="Arial"/>
                      <w:b/>
                      <w:i w:val="0"/>
                      <w:szCs w:val="18"/>
                    </w:rPr>
                  </w:pPr>
                  <w:r w:rsidRPr="001E676D">
                    <w:rPr>
                      <w:rFonts w:cs="Arial"/>
                      <w:b/>
                      <w:i w:val="0"/>
                      <w:szCs w:val="18"/>
                    </w:rPr>
                    <w:t>Whole Economy</w:t>
                  </w:r>
                </w:p>
              </w:tc>
              <w:tc>
                <w:tcPr>
                  <w:tcW w:w="914" w:type="pct"/>
                  <w:tcBorders>
                    <w:top w:val="single" w:sz="6" w:space="0" w:color="BFBFBF"/>
                  </w:tcBorders>
                  <w:shd w:val="clear" w:color="auto" w:fill="E0F1F7" w:themeFill="text2" w:themeFillTint="33"/>
                </w:tcPr>
                <w:p w14:paraId="24B9E746" w14:textId="77777777" w:rsidR="00534098" w:rsidRPr="001E676D" w:rsidRDefault="00534098" w:rsidP="00264C0E">
                  <w:pPr>
                    <w:pStyle w:val="TableColumnHeading"/>
                    <w:spacing w:after="40"/>
                    <w:rPr>
                      <w:rFonts w:cs="Arial"/>
                      <w:szCs w:val="18"/>
                    </w:rPr>
                  </w:pPr>
                </w:p>
              </w:tc>
              <w:tc>
                <w:tcPr>
                  <w:tcW w:w="1000" w:type="pct"/>
                  <w:tcBorders>
                    <w:top w:val="single" w:sz="6" w:space="0" w:color="BFBFBF"/>
                  </w:tcBorders>
                  <w:shd w:val="clear" w:color="auto" w:fill="E0F1F7" w:themeFill="text2" w:themeFillTint="33"/>
                  <w:tcMar>
                    <w:top w:w="28" w:type="dxa"/>
                  </w:tcMar>
                </w:tcPr>
                <w:p w14:paraId="0AEA30AA" w14:textId="77777777" w:rsidR="00534098" w:rsidRPr="001E676D" w:rsidRDefault="00534098" w:rsidP="00264C0E">
                  <w:pPr>
                    <w:pStyle w:val="TableColumnHeading"/>
                    <w:spacing w:after="40"/>
                    <w:rPr>
                      <w:rFonts w:cs="Arial"/>
                      <w:szCs w:val="18"/>
                    </w:rPr>
                  </w:pPr>
                </w:p>
              </w:tc>
              <w:tc>
                <w:tcPr>
                  <w:tcW w:w="999" w:type="pct"/>
                  <w:tcBorders>
                    <w:top w:val="single" w:sz="6" w:space="0" w:color="BFBFBF"/>
                  </w:tcBorders>
                  <w:shd w:val="clear" w:color="auto" w:fill="E0F1F7" w:themeFill="text2" w:themeFillTint="33"/>
                  <w:tcMar>
                    <w:top w:w="28" w:type="dxa"/>
                  </w:tcMar>
                </w:tcPr>
                <w:p w14:paraId="5559A121" w14:textId="77777777" w:rsidR="00534098" w:rsidRPr="001E676D" w:rsidRDefault="00534098" w:rsidP="00264C0E">
                  <w:pPr>
                    <w:pStyle w:val="TableColumnHeading"/>
                    <w:spacing w:after="40"/>
                    <w:ind w:right="28"/>
                    <w:rPr>
                      <w:rFonts w:cs="Arial"/>
                      <w:szCs w:val="18"/>
                    </w:rPr>
                  </w:pPr>
                </w:p>
              </w:tc>
              <w:tc>
                <w:tcPr>
                  <w:tcW w:w="999" w:type="pct"/>
                  <w:tcBorders>
                    <w:top w:val="single" w:sz="6" w:space="0" w:color="BFBFBF"/>
                  </w:tcBorders>
                  <w:shd w:val="clear" w:color="auto" w:fill="E0F1F7" w:themeFill="text2" w:themeFillTint="33"/>
                </w:tcPr>
                <w:p w14:paraId="6A8751BE" w14:textId="77777777" w:rsidR="00534098" w:rsidRPr="001E676D" w:rsidRDefault="00534098" w:rsidP="00264C0E">
                  <w:pPr>
                    <w:pStyle w:val="TableColumnHeading"/>
                    <w:spacing w:after="40"/>
                    <w:ind w:right="28"/>
                    <w:rPr>
                      <w:rFonts w:cs="Arial"/>
                      <w:szCs w:val="18"/>
                    </w:rPr>
                  </w:pPr>
                </w:p>
              </w:tc>
            </w:tr>
            <w:tr w:rsidR="001E0379" w14:paraId="18CC0309" w14:textId="77777777" w:rsidTr="00A844A7">
              <w:tc>
                <w:tcPr>
                  <w:tcW w:w="1088" w:type="pct"/>
                </w:tcPr>
                <w:p w14:paraId="17B87852" w14:textId="77777777" w:rsidR="001E0379" w:rsidRPr="001E676D" w:rsidRDefault="001E0379" w:rsidP="001E0379">
                  <w:pPr>
                    <w:pStyle w:val="TableUnitsRow"/>
                    <w:jc w:val="left"/>
                    <w:rPr>
                      <w:rFonts w:cs="Arial"/>
                      <w:szCs w:val="18"/>
                    </w:rPr>
                  </w:pPr>
                  <w:r w:rsidRPr="001E676D">
                    <w:rPr>
                      <w:rFonts w:cs="Arial"/>
                      <w:szCs w:val="18"/>
                    </w:rPr>
                    <w:t>Output (real GDP)</w:t>
                  </w:r>
                </w:p>
              </w:tc>
              <w:tc>
                <w:tcPr>
                  <w:tcW w:w="914" w:type="pct"/>
                </w:tcPr>
                <w:p w14:paraId="1AEC8FDF" w14:textId="7F3F47EC" w:rsidR="001E0379" w:rsidRPr="001E676D" w:rsidRDefault="001E0379" w:rsidP="001E0379">
                  <w:pPr>
                    <w:pStyle w:val="TableUnitsRow"/>
                    <w:rPr>
                      <w:rFonts w:cs="Arial"/>
                      <w:szCs w:val="18"/>
                    </w:rPr>
                  </w:pPr>
                  <w:r>
                    <w:rPr>
                      <w:rFonts w:cs="Arial"/>
                      <w:szCs w:val="18"/>
                    </w:rPr>
                    <w:t>3.0</w:t>
                  </w:r>
                </w:p>
              </w:tc>
              <w:tc>
                <w:tcPr>
                  <w:tcW w:w="1000" w:type="pct"/>
                </w:tcPr>
                <w:p w14:paraId="00582CB1" w14:textId="440EC0E6" w:rsidR="001E0379" w:rsidRPr="001E676D" w:rsidRDefault="001E0379" w:rsidP="001E0379">
                  <w:pPr>
                    <w:pStyle w:val="TableUnitsRow"/>
                    <w:rPr>
                      <w:rFonts w:cs="Arial"/>
                      <w:szCs w:val="18"/>
                    </w:rPr>
                  </w:pPr>
                  <w:r>
                    <w:rPr>
                      <w:rFonts w:cs="Arial"/>
                      <w:szCs w:val="18"/>
                    </w:rPr>
                    <w:t>2.0</w:t>
                  </w:r>
                </w:p>
              </w:tc>
              <w:tc>
                <w:tcPr>
                  <w:tcW w:w="999" w:type="pct"/>
                </w:tcPr>
                <w:p w14:paraId="51B72B23" w14:textId="13C9CB53" w:rsidR="001E0379" w:rsidRPr="001E676D" w:rsidRDefault="001E0379" w:rsidP="001E0379">
                  <w:pPr>
                    <w:pStyle w:val="TableUnitsRow"/>
                    <w:ind w:right="28"/>
                    <w:rPr>
                      <w:rFonts w:cs="Arial"/>
                      <w:szCs w:val="18"/>
                    </w:rPr>
                  </w:pPr>
                  <w:r>
                    <w:rPr>
                      <w:rFonts w:eastAsiaTheme="minorHAnsi" w:cs="Arial"/>
                      <w:color w:val="000000"/>
                      <w:szCs w:val="18"/>
                      <w:lang w:eastAsia="en-US"/>
                    </w:rPr>
                    <w:t>2.2</w:t>
                  </w:r>
                </w:p>
              </w:tc>
              <w:tc>
                <w:tcPr>
                  <w:tcW w:w="999" w:type="pct"/>
                </w:tcPr>
                <w:p w14:paraId="7AFEB754" w14:textId="29465AF6" w:rsidR="001E0379" w:rsidRPr="001E676D" w:rsidRDefault="001E0379" w:rsidP="001E0379">
                  <w:pPr>
                    <w:pStyle w:val="TableUnitsRow"/>
                    <w:ind w:right="28"/>
                    <w:rPr>
                      <w:rFonts w:cs="Arial"/>
                      <w:szCs w:val="18"/>
                    </w:rPr>
                  </w:pPr>
                  <w:r>
                    <w:rPr>
                      <w:rFonts w:cs="Arial"/>
                      <w:szCs w:val="18"/>
                    </w:rPr>
                    <w:t>-0.3</w:t>
                  </w:r>
                </w:p>
              </w:tc>
            </w:tr>
            <w:tr w:rsidR="001E0379" w14:paraId="474167D9" w14:textId="77777777" w:rsidTr="00A844A7">
              <w:tc>
                <w:tcPr>
                  <w:tcW w:w="1088" w:type="pct"/>
                </w:tcPr>
                <w:p w14:paraId="659D2AF0" w14:textId="77777777" w:rsidR="001E0379" w:rsidRPr="001E676D" w:rsidRDefault="001E0379" w:rsidP="001E0379">
                  <w:pPr>
                    <w:pStyle w:val="TableBodyText"/>
                    <w:jc w:val="left"/>
                    <w:rPr>
                      <w:rFonts w:cs="Arial"/>
                      <w:szCs w:val="18"/>
                    </w:rPr>
                  </w:pPr>
                  <w:r w:rsidRPr="001E676D">
                    <w:rPr>
                      <w:rFonts w:cs="Arial"/>
                      <w:szCs w:val="18"/>
                    </w:rPr>
                    <w:t>GDP per capita</w:t>
                  </w:r>
                </w:p>
              </w:tc>
              <w:tc>
                <w:tcPr>
                  <w:tcW w:w="914" w:type="pct"/>
                </w:tcPr>
                <w:p w14:paraId="59851BA4" w14:textId="5A451BB6"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6</w:t>
                  </w:r>
                </w:p>
              </w:tc>
              <w:tc>
                <w:tcPr>
                  <w:tcW w:w="1000" w:type="pct"/>
                </w:tcPr>
                <w:p w14:paraId="62825657" w14:textId="79FFC29C" w:rsidR="001E0379" w:rsidRPr="001E676D" w:rsidRDefault="001E0379" w:rsidP="001E0379">
                  <w:pPr>
                    <w:pStyle w:val="TableBodyText"/>
                    <w:rPr>
                      <w:rFonts w:cs="Arial"/>
                      <w:szCs w:val="18"/>
                    </w:rPr>
                  </w:pPr>
                  <w:r w:rsidRPr="001E676D">
                    <w:rPr>
                      <w:rFonts w:eastAsiaTheme="minorHAnsi" w:cs="Arial"/>
                      <w:color w:val="000000"/>
                      <w:szCs w:val="18"/>
                      <w:lang w:eastAsia="en-US"/>
                    </w:rPr>
                    <w:t>0.4</w:t>
                  </w:r>
                </w:p>
              </w:tc>
              <w:tc>
                <w:tcPr>
                  <w:tcW w:w="999" w:type="pct"/>
                </w:tcPr>
                <w:p w14:paraId="3D3739CC" w14:textId="35D44A89"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0.5</w:t>
                  </w:r>
                </w:p>
              </w:tc>
              <w:tc>
                <w:tcPr>
                  <w:tcW w:w="999" w:type="pct"/>
                </w:tcPr>
                <w:p w14:paraId="0AB11A0F" w14:textId="1F6AA44D"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1.7</w:t>
                  </w:r>
                </w:p>
              </w:tc>
            </w:tr>
            <w:tr w:rsidR="001E0379" w14:paraId="4E80B97D" w14:textId="77777777" w:rsidTr="00A844A7">
              <w:tc>
                <w:tcPr>
                  <w:tcW w:w="1088" w:type="pct"/>
                  <w:shd w:val="clear" w:color="auto" w:fill="auto"/>
                </w:tcPr>
                <w:p w14:paraId="3339C4BA" w14:textId="77777777" w:rsidR="001E0379" w:rsidRPr="001E676D" w:rsidRDefault="001E0379" w:rsidP="001E0379">
                  <w:pPr>
                    <w:pStyle w:val="TableBodyText"/>
                    <w:jc w:val="left"/>
                    <w:rPr>
                      <w:rFonts w:cs="Arial"/>
                      <w:szCs w:val="18"/>
                    </w:rPr>
                  </w:pPr>
                  <w:r w:rsidRPr="001E676D">
                    <w:rPr>
                      <w:rFonts w:cs="Arial"/>
                      <w:szCs w:val="18"/>
                    </w:rPr>
                    <w:t>Hours worked</w:t>
                  </w:r>
                </w:p>
              </w:tc>
              <w:tc>
                <w:tcPr>
                  <w:tcW w:w="914" w:type="pct"/>
                </w:tcPr>
                <w:p w14:paraId="4A3CE5B1" w14:textId="5260A58E"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5</w:t>
                  </w:r>
                </w:p>
              </w:tc>
              <w:tc>
                <w:tcPr>
                  <w:tcW w:w="1000" w:type="pct"/>
                  <w:shd w:val="clear" w:color="auto" w:fill="auto"/>
                </w:tcPr>
                <w:p w14:paraId="1D449424" w14:textId="2A694DC8"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5</w:t>
                  </w:r>
                </w:p>
              </w:tc>
              <w:tc>
                <w:tcPr>
                  <w:tcW w:w="999" w:type="pct"/>
                  <w:shd w:val="clear" w:color="auto" w:fill="auto"/>
                </w:tcPr>
                <w:p w14:paraId="6AF3DE93" w14:textId="4D223534"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2.</w:t>
                  </w:r>
                  <w:r>
                    <w:rPr>
                      <w:rFonts w:eastAsiaTheme="minorHAnsi" w:cs="Arial"/>
                      <w:color w:val="000000"/>
                      <w:szCs w:val="18"/>
                      <w:lang w:eastAsia="en-US"/>
                    </w:rPr>
                    <w:t>2</w:t>
                  </w:r>
                </w:p>
              </w:tc>
              <w:tc>
                <w:tcPr>
                  <w:tcW w:w="999" w:type="pct"/>
                </w:tcPr>
                <w:p w14:paraId="28AEA1C5" w14:textId="5EE01E63"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0.8</w:t>
                  </w:r>
                </w:p>
              </w:tc>
            </w:tr>
            <w:tr w:rsidR="001E0379" w14:paraId="47FD9F46" w14:textId="77777777" w:rsidTr="00A844A7">
              <w:tc>
                <w:tcPr>
                  <w:tcW w:w="1088" w:type="pct"/>
                  <w:shd w:val="clear" w:color="auto" w:fill="auto"/>
                </w:tcPr>
                <w:p w14:paraId="5925A17B" w14:textId="473DB555" w:rsidR="001E0379" w:rsidRPr="003A300B" w:rsidRDefault="001E0379" w:rsidP="00114D48">
                  <w:pPr>
                    <w:pStyle w:val="TableBodyText"/>
                    <w:jc w:val="left"/>
                    <w:rPr>
                      <w:rFonts w:ascii="Arial Bold" w:hAnsi="Arial Bold" w:cs="Arial"/>
                      <w:spacing w:val="-2"/>
                      <w:szCs w:val="18"/>
                    </w:rPr>
                  </w:pPr>
                  <w:r w:rsidRPr="003A300B">
                    <w:rPr>
                      <w:rFonts w:ascii="Arial Bold" w:hAnsi="Arial Bold" w:cs="Arial"/>
                      <w:b/>
                      <w:spacing w:val="-2"/>
                      <w:szCs w:val="18"/>
                    </w:rPr>
                    <w:t>Labour</w:t>
                  </w:r>
                  <w:r w:rsidR="00114D48" w:rsidRPr="003A300B">
                    <w:rPr>
                      <w:rFonts w:ascii="Arial Bold" w:hAnsi="Arial Bold" w:cs="Arial"/>
                      <w:b/>
                      <w:spacing w:val="-2"/>
                      <w:szCs w:val="18"/>
                    </w:rPr>
                    <w:t xml:space="preserve"> </w:t>
                  </w:r>
                  <w:r w:rsidR="003A300B" w:rsidRPr="003A300B">
                    <w:rPr>
                      <w:rFonts w:ascii="Arial Bold" w:hAnsi="Arial Bold" w:cs="Arial"/>
                      <w:b/>
                      <w:spacing w:val="-2"/>
                      <w:szCs w:val="18"/>
                    </w:rPr>
                    <w:t>p</w:t>
                  </w:r>
                  <w:r w:rsidRPr="003A300B">
                    <w:rPr>
                      <w:rFonts w:ascii="Arial Bold" w:hAnsi="Arial Bold" w:cs="Arial"/>
                      <w:b/>
                      <w:spacing w:val="-2"/>
                      <w:szCs w:val="18"/>
                    </w:rPr>
                    <w:t>roductivity</w:t>
                  </w:r>
                </w:p>
              </w:tc>
              <w:tc>
                <w:tcPr>
                  <w:tcW w:w="914" w:type="pct"/>
                </w:tcPr>
                <w:p w14:paraId="13B0CB25" w14:textId="69349045"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5</w:t>
                  </w:r>
                </w:p>
              </w:tc>
              <w:tc>
                <w:tcPr>
                  <w:tcW w:w="1000" w:type="pct"/>
                  <w:shd w:val="clear" w:color="auto" w:fill="auto"/>
                </w:tcPr>
                <w:p w14:paraId="006E0DA8" w14:textId="3E819CBC" w:rsidR="001E0379" w:rsidRPr="001E676D" w:rsidRDefault="001E0379" w:rsidP="001E0379">
                  <w:pPr>
                    <w:pStyle w:val="TableBodyText"/>
                    <w:rPr>
                      <w:rFonts w:cs="Arial"/>
                      <w:szCs w:val="18"/>
                    </w:rPr>
                  </w:pPr>
                  <w:r w:rsidRPr="001E676D">
                    <w:rPr>
                      <w:rFonts w:eastAsiaTheme="minorHAnsi" w:cs="Arial"/>
                      <w:color w:val="000000"/>
                      <w:szCs w:val="18"/>
                      <w:lang w:eastAsia="en-US"/>
                    </w:rPr>
                    <w:t>0.</w:t>
                  </w:r>
                  <w:r>
                    <w:rPr>
                      <w:rFonts w:eastAsiaTheme="minorHAnsi" w:cs="Arial"/>
                      <w:color w:val="000000"/>
                      <w:szCs w:val="18"/>
                      <w:lang w:eastAsia="en-US"/>
                    </w:rPr>
                    <w:t>5</w:t>
                  </w:r>
                </w:p>
              </w:tc>
              <w:tc>
                <w:tcPr>
                  <w:tcW w:w="999" w:type="pct"/>
                  <w:shd w:val="clear" w:color="auto" w:fill="auto"/>
                </w:tcPr>
                <w:p w14:paraId="190E96E3" w14:textId="380917AC"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0.0</w:t>
                  </w:r>
                </w:p>
              </w:tc>
              <w:tc>
                <w:tcPr>
                  <w:tcW w:w="999" w:type="pct"/>
                </w:tcPr>
                <w:p w14:paraId="5FBF466D" w14:textId="1075A28C"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0.5</w:t>
                  </w:r>
                </w:p>
              </w:tc>
            </w:tr>
            <w:tr w:rsidR="001E0379" w14:paraId="71FBAA83" w14:textId="77777777" w:rsidTr="00A844A7">
              <w:tc>
                <w:tcPr>
                  <w:tcW w:w="1088" w:type="pct"/>
                  <w:shd w:val="clear" w:color="auto" w:fill="auto"/>
                </w:tcPr>
                <w:p w14:paraId="67D41027" w14:textId="77777777" w:rsidR="001E0379" w:rsidRPr="001E676D" w:rsidRDefault="001E0379" w:rsidP="001E0379">
                  <w:pPr>
                    <w:pStyle w:val="TableBodyText"/>
                    <w:jc w:val="left"/>
                    <w:rPr>
                      <w:rFonts w:cs="Arial"/>
                      <w:szCs w:val="18"/>
                    </w:rPr>
                  </w:pPr>
                  <w:r w:rsidRPr="001E676D">
                    <w:rPr>
                      <w:rFonts w:cs="Arial"/>
                      <w:szCs w:val="18"/>
                    </w:rPr>
                    <w:t>Terms of trade</w:t>
                  </w:r>
                </w:p>
              </w:tc>
              <w:tc>
                <w:tcPr>
                  <w:tcW w:w="914" w:type="pct"/>
                </w:tcPr>
                <w:p w14:paraId="4D7C8C32" w14:textId="176E1072" w:rsidR="001E0379" w:rsidRPr="001E676D" w:rsidRDefault="001E0379" w:rsidP="001E0379">
                  <w:pPr>
                    <w:pStyle w:val="TableBodyText"/>
                    <w:rPr>
                      <w:rFonts w:cs="Arial"/>
                      <w:szCs w:val="18"/>
                    </w:rPr>
                  </w:pPr>
                  <w:r w:rsidRPr="001E676D">
                    <w:rPr>
                      <w:rFonts w:eastAsiaTheme="minorHAnsi" w:cs="Arial"/>
                      <w:color w:val="000000"/>
                      <w:szCs w:val="18"/>
                      <w:lang w:eastAsia="en-US"/>
                    </w:rPr>
                    <w:t>2.</w:t>
                  </w:r>
                  <w:r>
                    <w:rPr>
                      <w:rFonts w:eastAsiaTheme="minorHAnsi" w:cs="Arial"/>
                      <w:color w:val="000000"/>
                      <w:szCs w:val="18"/>
                      <w:lang w:eastAsia="en-US"/>
                    </w:rPr>
                    <w:t>3</w:t>
                  </w:r>
                </w:p>
              </w:tc>
              <w:tc>
                <w:tcPr>
                  <w:tcW w:w="1000" w:type="pct"/>
                  <w:shd w:val="clear" w:color="auto" w:fill="auto"/>
                </w:tcPr>
                <w:p w14:paraId="3E1B46CF" w14:textId="791EC6A9" w:rsidR="001E0379" w:rsidRPr="001E676D" w:rsidRDefault="001E0379" w:rsidP="001E0379">
                  <w:pPr>
                    <w:pStyle w:val="TableBodyText"/>
                    <w:rPr>
                      <w:rFonts w:cs="Arial"/>
                      <w:szCs w:val="18"/>
                    </w:rPr>
                  </w:pPr>
                  <w:r>
                    <w:rPr>
                      <w:rFonts w:cs="Arial"/>
                      <w:szCs w:val="18"/>
                    </w:rPr>
                    <w:t>2.3</w:t>
                  </w:r>
                </w:p>
              </w:tc>
              <w:tc>
                <w:tcPr>
                  <w:tcW w:w="999" w:type="pct"/>
                  <w:shd w:val="clear" w:color="auto" w:fill="auto"/>
                </w:tcPr>
                <w:p w14:paraId="37785B93" w14:textId="30D3BDB2"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5.7</w:t>
                  </w:r>
                </w:p>
              </w:tc>
              <w:tc>
                <w:tcPr>
                  <w:tcW w:w="999" w:type="pct"/>
                </w:tcPr>
                <w:p w14:paraId="1F5DF138" w14:textId="017EA12B"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0.8</w:t>
                  </w:r>
                </w:p>
              </w:tc>
            </w:tr>
            <w:tr w:rsidR="001E0379" w14:paraId="30624F2A" w14:textId="77777777" w:rsidTr="00A844A7">
              <w:tc>
                <w:tcPr>
                  <w:tcW w:w="1088" w:type="pct"/>
                  <w:shd w:val="clear" w:color="auto" w:fill="auto"/>
                </w:tcPr>
                <w:p w14:paraId="5EC95421" w14:textId="77777777" w:rsidR="001E0379" w:rsidRPr="001E676D" w:rsidRDefault="001E0379" w:rsidP="001E0379">
                  <w:pPr>
                    <w:pStyle w:val="TableBodyText"/>
                    <w:jc w:val="left"/>
                    <w:rPr>
                      <w:rFonts w:cs="Arial"/>
                      <w:szCs w:val="18"/>
                    </w:rPr>
                  </w:pPr>
                  <w:r w:rsidRPr="001E676D">
                    <w:rPr>
                      <w:rFonts w:cs="Arial"/>
                      <w:szCs w:val="18"/>
                    </w:rPr>
                    <w:t>Gross national income per capita</w:t>
                  </w:r>
                </w:p>
              </w:tc>
              <w:tc>
                <w:tcPr>
                  <w:tcW w:w="914" w:type="pct"/>
                </w:tcPr>
                <w:p w14:paraId="6CAD6F98" w14:textId="12AC7529" w:rsidR="001E0379" w:rsidRPr="001E676D" w:rsidRDefault="001E0379" w:rsidP="001E0379">
                  <w:pPr>
                    <w:pStyle w:val="TableBodyText"/>
                    <w:rPr>
                      <w:rFonts w:cs="Arial"/>
                      <w:szCs w:val="18"/>
                    </w:rPr>
                  </w:pPr>
                  <w:r w:rsidRPr="001E676D">
                    <w:rPr>
                      <w:rFonts w:eastAsiaTheme="minorHAnsi" w:cs="Arial"/>
                      <w:color w:val="000000"/>
                      <w:szCs w:val="18"/>
                      <w:lang w:eastAsia="en-US"/>
                    </w:rPr>
                    <w:t>2.</w:t>
                  </w:r>
                  <w:r>
                    <w:rPr>
                      <w:rFonts w:eastAsiaTheme="minorHAnsi" w:cs="Arial"/>
                      <w:color w:val="000000"/>
                      <w:szCs w:val="18"/>
                      <w:lang w:eastAsia="en-US"/>
                    </w:rPr>
                    <w:t>1</w:t>
                  </w:r>
                </w:p>
              </w:tc>
              <w:tc>
                <w:tcPr>
                  <w:tcW w:w="1000" w:type="pct"/>
                  <w:shd w:val="clear" w:color="auto" w:fill="auto"/>
                </w:tcPr>
                <w:p w14:paraId="549F12DA" w14:textId="05D1CBE9" w:rsidR="001E0379" w:rsidRPr="001E676D" w:rsidRDefault="001E0379" w:rsidP="001E0379">
                  <w:pPr>
                    <w:pStyle w:val="TableBodyText"/>
                    <w:rPr>
                      <w:rFonts w:cs="Arial"/>
                      <w:szCs w:val="18"/>
                    </w:rPr>
                  </w:pPr>
                  <w:r>
                    <w:rPr>
                      <w:rFonts w:cs="Arial"/>
                      <w:szCs w:val="18"/>
                    </w:rPr>
                    <w:t>1</w:t>
                  </w:r>
                </w:p>
              </w:tc>
              <w:tc>
                <w:tcPr>
                  <w:tcW w:w="999" w:type="pct"/>
                  <w:shd w:val="clear" w:color="auto" w:fill="auto"/>
                </w:tcPr>
                <w:p w14:paraId="75A3201D" w14:textId="746F56B1"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1.9</w:t>
                  </w:r>
                </w:p>
              </w:tc>
              <w:tc>
                <w:tcPr>
                  <w:tcW w:w="999" w:type="pct"/>
                </w:tcPr>
                <w:p w14:paraId="0E140075" w14:textId="1DAD2199"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t>0.2</w:t>
                  </w:r>
                </w:p>
              </w:tc>
            </w:tr>
            <w:tr w:rsidR="001E0379" w14:paraId="784DFB4C" w14:textId="77777777" w:rsidTr="00A844A7">
              <w:tc>
                <w:tcPr>
                  <w:tcW w:w="1088" w:type="pct"/>
                  <w:shd w:val="clear" w:color="auto" w:fill="auto"/>
                </w:tcPr>
                <w:p w14:paraId="4683BCBF" w14:textId="77777777" w:rsidR="001E0379" w:rsidRPr="001E676D" w:rsidRDefault="001E0379" w:rsidP="001E0379">
                  <w:pPr>
                    <w:pStyle w:val="TableBodyText"/>
                    <w:jc w:val="left"/>
                    <w:rPr>
                      <w:rFonts w:cs="Arial"/>
                      <w:szCs w:val="18"/>
                    </w:rPr>
                  </w:pPr>
                  <w:r w:rsidRPr="001E676D">
                    <w:rPr>
                      <w:rFonts w:cs="Arial"/>
                      <w:szCs w:val="18"/>
                    </w:rPr>
                    <w:t>Gross domestic income per capita</w:t>
                  </w:r>
                </w:p>
              </w:tc>
              <w:tc>
                <w:tcPr>
                  <w:tcW w:w="914" w:type="pct"/>
                </w:tcPr>
                <w:p w14:paraId="46ECD7F5" w14:textId="7E0A38EE" w:rsidR="001E0379" w:rsidRPr="001E676D" w:rsidRDefault="001E0379" w:rsidP="001E0379">
                  <w:pPr>
                    <w:pStyle w:val="TableBodyText"/>
                    <w:rPr>
                      <w:rFonts w:eastAsiaTheme="minorHAnsi" w:cs="Arial"/>
                      <w:color w:val="000000"/>
                      <w:szCs w:val="18"/>
                      <w:lang w:eastAsia="en-US"/>
                    </w:rPr>
                  </w:pPr>
                  <w:r>
                    <w:rPr>
                      <w:rFonts w:eastAsiaTheme="minorHAnsi" w:cs="Arial"/>
                      <w:color w:val="000000"/>
                      <w:szCs w:val="18"/>
                      <w:lang w:eastAsia="en-US"/>
                    </w:rPr>
                    <w:t>2.0</w:t>
                  </w:r>
                </w:p>
              </w:tc>
              <w:tc>
                <w:tcPr>
                  <w:tcW w:w="1000" w:type="pct"/>
                  <w:shd w:val="clear" w:color="auto" w:fill="auto"/>
                </w:tcPr>
                <w:p w14:paraId="0725B36A" w14:textId="7B82A720" w:rsidR="001E0379" w:rsidRPr="001E676D" w:rsidRDefault="001E0379" w:rsidP="001E0379">
                  <w:pPr>
                    <w:pStyle w:val="TableBodyText"/>
                    <w:rPr>
                      <w:rFonts w:eastAsiaTheme="minorHAnsi" w:cs="Arial"/>
                      <w:color w:val="000000"/>
                      <w:szCs w:val="18"/>
                      <w:lang w:eastAsia="en-US"/>
                    </w:rPr>
                  </w:pPr>
                  <w:r>
                    <w:rPr>
                      <w:rFonts w:eastAsiaTheme="minorHAnsi" w:cs="Arial"/>
                      <w:color w:val="000000"/>
                      <w:szCs w:val="18"/>
                      <w:lang w:eastAsia="en-US"/>
                    </w:rPr>
                    <w:t>1</w:t>
                  </w:r>
                </w:p>
              </w:tc>
              <w:tc>
                <w:tcPr>
                  <w:tcW w:w="999" w:type="pct"/>
                  <w:shd w:val="clear" w:color="auto" w:fill="auto"/>
                </w:tcPr>
                <w:p w14:paraId="4C60A214" w14:textId="1D380E3F" w:rsidR="001E0379" w:rsidRPr="001E676D" w:rsidRDefault="001E0379" w:rsidP="001E0379">
                  <w:pPr>
                    <w:pStyle w:val="TableBodyText"/>
                    <w:ind w:right="28"/>
                    <w:rPr>
                      <w:rFonts w:eastAsiaTheme="minorHAnsi" w:cs="Arial"/>
                      <w:color w:val="000000"/>
                      <w:szCs w:val="18"/>
                      <w:lang w:eastAsia="en-US"/>
                    </w:rPr>
                  </w:pPr>
                  <w:r>
                    <w:rPr>
                      <w:rFonts w:eastAsiaTheme="minorHAnsi" w:cs="Arial"/>
                      <w:color w:val="000000"/>
                      <w:szCs w:val="18"/>
                      <w:lang w:eastAsia="en-US"/>
                    </w:rPr>
                    <w:t>1.9</w:t>
                  </w:r>
                </w:p>
              </w:tc>
              <w:tc>
                <w:tcPr>
                  <w:tcW w:w="999" w:type="pct"/>
                </w:tcPr>
                <w:p w14:paraId="3236B86D" w14:textId="001BFBDE" w:rsidR="001E0379" w:rsidRPr="001E676D" w:rsidRDefault="001E0379" w:rsidP="001E0379">
                  <w:pPr>
                    <w:pStyle w:val="TableBodyText"/>
                    <w:ind w:right="28"/>
                    <w:rPr>
                      <w:rFonts w:eastAsiaTheme="minorHAnsi" w:cs="Arial"/>
                      <w:color w:val="000000"/>
                      <w:szCs w:val="18"/>
                      <w:lang w:eastAsia="en-US"/>
                    </w:rPr>
                  </w:pPr>
                  <w:r>
                    <w:rPr>
                      <w:rFonts w:eastAsiaTheme="minorHAnsi" w:cs="Arial"/>
                      <w:color w:val="000000"/>
                      <w:szCs w:val="18"/>
                      <w:lang w:eastAsia="en-US"/>
                    </w:rPr>
                    <w:noBreakHyphen/>
                    <w:t>1.4</w:t>
                  </w:r>
                </w:p>
              </w:tc>
            </w:tr>
            <w:tr w:rsidR="001E0379" w14:paraId="0B8E0909" w14:textId="77777777" w:rsidTr="00E33E5F">
              <w:tc>
                <w:tcPr>
                  <w:tcW w:w="1088" w:type="pct"/>
                  <w:shd w:val="clear" w:color="auto" w:fill="E0F1F7" w:themeFill="text2" w:themeFillTint="33"/>
                </w:tcPr>
                <w:p w14:paraId="62AE7A4F" w14:textId="77777777" w:rsidR="001E0379" w:rsidRPr="001E676D" w:rsidRDefault="001E0379" w:rsidP="00264C0E">
                  <w:pPr>
                    <w:pStyle w:val="TableBodyText"/>
                    <w:spacing w:before="80"/>
                    <w:jc w:val="left"/>
                    <w:rPr>
                      <w:rFonts w:cs="Arial"/>
                      <w:b/>
                      <w:szCs w:val="18"/>
                    </w:rPr>
                  </w:pPr>
                  <w:r w:rsidRPr="001E676D">
                    <w:rPr>
                      <w:rFonts w:cs="Arial"/>
                      <w:b/>
                      <w:szCs w:val="18"/>
                    </w:rPr>
                    <w:t>Market Sector</w:t>
                  </w:r>
                </w:p>
              </w:tc>
              <w:tc>
                <w:tcPr>
                  <w:tcW w:w="914" w:type="pct"/>
                  <w:shd w:val="clear" w:color="auto" w:fill="E0F1F7" w:themeFill="text2" w:themeFillTint="33"/>
                </w:tcPr>
                <w:p w14:paraId="5A971186" w14:textId="77777777" w:rsidR="001E0379" w:rsidRPr="001E676D" w:rsidRDefault="001E0379" w:rsidP="00264C0E">
                  <w:pPr>
                    <w:pStyle w:val="TableBodyText"/>
                    <w:spacing w:before="80"/>
                    <w:rPr>
                      <w:rFonts w:cs="Arial"/>
                      <w:szCs w:val="18"/>
                    </w:rPr>
                  </w:pPr>
                </w:p>
              </w:tc>
              <w:tc>
                <w:tcPr>
                  <w:tcW w:w="1000" w:type="pct"/>
                  <w:shd w:val="clear" w:color="auto" w:fill="E0F1F7" w:themeFill="text2" w:themeFillTint="33"/>
                </w:tcPr>
                <w:p w14:paraId="70881FF0" w14:textId="77777777" w:rsidR="001E0379" w:rsidRPr="001E676D" w:rsidRDefault="001E0379" w:rsidP="00264C0E">
                  <w:pPr>
                    <w:pStyle w:val="TableBodyText"/>
                    <w:spacing w:before="80"/>
                    <w:rPr>
                      <w:rFonts w:cs="Arial"/>
                      <w:szCs w:val="18"/>
                    </w:rPr>
                  </w:pPr>
                </w:p>
              </w:tc>
              <w:tc>
                <w:tcPr>
                  <w:tcW w:w="999" w:type="pct"/>
                  <w:shd w:val="clear" w:color="auto" w:fill="E0F1F7" w:themeFill="text2" w:themeFillTint="33"/>
                </w:tcPr>
                <w:p w14:paraId="313E275C" w14:textId="77777777" w:rsidR="001E0379" w:rsidRPr="001E676D" w:rsidRDefault="001E0379" w:rsidP="00264C0E">
                  <w:pPr>
                    <w:pStyle w:val="TableBodyText"/>
                    <w:spacing w:before="80"/>
                    <w:ind w:right="28"/>
                    <w:rPr>
                      <w:rFonts w:cs="Arial"/>
                      <w:szCs w:val="18"/>
                    </w:rPr>
                  </w:pPr>
                </w:p>
              </w:tc>
              <w:tc>
                <w:tcPr>
                  <w:tcW w:w="999" w:type="pct"/>
                  <w:shd w:val="clear" w:color="auto" w:fill="E0F1F7" w:themeFill="text2" w:themeFillTint="33"/>
                </w:tcPr>
                <w:p w14:paraId="3878C0ED" w14:textId="77777777" w:rsidR="001E0379" w:rsidRPr="001E676D" w:rsidRDefault="001E0379" w:rsidP="00264C0E">
                  <w:pPr>
                    <w:pStyle w:val="TableBodyText"/>
                    <w:spacing w:before="80"/>
                    <w:ind w:right="28"/>
                    <w:rPr>
                      <w:rFonts w:cs="Arial"/>
                      <w:szCs w:val="18"/>
                    </w:rPr>
                  </w:pPr>
                </w:p>
              </w:tc>
            </w:tr>
            <w:tr w:rsidR="001E0379" w14:paraId="6F198996" w14:textId="77777777" w:rsidTr="00A844A7">
              <w:tc>
                <w:tcPr>
                  <w:tcW w:w="1088" w:type="pct"/>
                  <w:shd w:val="clear" w:color="auto" w:fill="auto"/>
                </w:tcPr>
                <w:p w14:paraId="62FD55F0" w14:textId="77777777" w:rsidR="001E0379" w:rsidRPr="001E676D" w:rsidRDefault="001E0379" w:rsidP="001E0379">
                  <w:pPr>
                    <w:pStyle w:val="TableBodyText"/>
                    <w:jc w:val="left"/>
                    <w:rPr>
                      <w:rFonts w:cs="Arial"/>
                      <w:szCs w:val="18"/>
                    </w:rPr>
                  </w:pPr>
                  <w:r w:rsidRPr="001E676D">
                    <w:rPr>
                      <w:rFonts w:cs="Arial"/>
                      <w:szCs w:val="18"/>
                    </w:rPr>
                    <w:t>Output (GVA)</w:t>
                  </w:r>
                </w:p>
              </w:tc>
              <w:tc>
                <w:tcPr>
                  <w:tcW w:w="914" w:type="pct"/>
                </w:tcPr>
                <w:p w14:paraId="2BD6D6D1" w14:textId="50B0AA3D" w:rsidR="001E0379" w:rsidRPr="001E676D" w:rsidRDefault="001E0379" w:rsidP="001E0379">
                  <w:pPr>
                    <w:pStyle w:val="TableBodyText"/>
                    <w:rPr>
                      <w:rFonts w:cs="Arial"/>
                      <w:szCs w:val="18"/>
                    </w:rPr>
                  </w:pPr>
                  <w:r w:rsidRPr="001E676D">
                    <w:rPr>
                      <w:rFonts w:eastAsiaTheme="minorHAnsi" w:cs="Arial"/>
                      <w:color w:val="000000"/>
                      <w:szCs w:val="18"/>
                      <w:lang w:eastAsia="en-US"/>
                    </w:rPr>
                    <w:t>3.</w:t>
                  </w:r>
                  <w:r>
                    <w:rPr>
                      <w:rFonts w:eastAsiaTheme="minorHAnsi" w:cs="Arial"/>
                      <w:color w:val="000000"/>
                      <w:szCs w:val="18"/>
                      <w:lang w:eastAsia="en-US"/>
                    </w:rPr>
                    <w:t>2</w:t>
                  </w:r>
                </w:p>
              </w:tc>
              <w:tc>
                <w:tcPr>
                  <w:tcW w:w="1000" w:type="pct"/>
                  <w:shd w:val="clear" w:color="auto" w:fill="auto"/>
                </w:tcPr>
                <w:p w14:paraId="6BFBE8B7" w14:textId="53D0335A"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6</w:t>
                  </w:r>
                </w:p>
              </w:tc>
              <w:tc>
                <w:tcPr>
                  <w:tcW w:w="999" w:type="pct"/>
                  <w:shd w:val="clear" w:color="auto" w:fill="auto"/>
                </w:tcPr>
                <w:p w14:paraId="3A1B97B0" w14:textId="6FCBE8F6"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1.7</w:t>
                  </w:r>
                </w:p>
              </w:tc>
              <w:tc>
                <w:tcPr>
                  <w:tcW w:w="999" w:type="pct"/>
                </w:tcPr>
                <w:p w14:paraId="4F97014B" w14:textId="4B722F2B"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1.2</w:t>
                  </w:r>
                </w:p>
              </w:tc>
            </w:tr>
            <w:tr w:rsidR="001E0379" w14:paraId="0DF38218" w14:textId="77777777" w:rsidTr="00A844A7">
              <w:tc>
                <w:tcPr>
                  <w:tcW w:w="1088" w:type="pct"/>
                  <w:shd w:val="clear" w:color="auto" w:fill="auto"/>
                </w:tcPr>
                <w:p w14:paraId="41C03C8C" w14:textId="77777777" w:rsidR="001E0379" w:rsidRPr="001E676D" w:rsidRDefault="001E0379" w:rsidP="001E0379">
                  <w:pPr>
                    <w:pStyle w:val="TableBodyText"/>
                    <w:jc w:val="left"/>
                    <w:rPr>
                      <w:rFonts w:cs="Arial"/>
                      <w:szCs w:val="18"/>
                    </w:rPr>
                  </w:pPr>
                  <w:r w:rsidRPr="001E676D">
                    <w:rPr>
                      <w:rFonts w:cs="Arial"/>
                      <w:szCs w:val="18"/>
                    </w:rPr>
                    <w:t>Inputs</w:t>
                  </w:r>
                </w:p>
              </w:tc>
              <w:tc>
                <w:tcPr>
                  <w:tcW w:w="914" w:type="pct"/>
                </w:tcPr>
                <w:p w14:paraId="06DFA6D9" w14:textId="6674BF5E" w:rsidR="001E0379" w:rsidRPr="001E676D" w:rsidRDefault="001E0379" w:rsidP="001E0379">
                  <w:pPr>
                    <w:pStyle w:val="TableBodyText"/>
                    <w:rPr>
                      <w:rFonts w:cs="Arial"/>
                      <w:szCs w:val="18"/>
                    </w:rPr>
                  </w:pPr>
                  <w:r w:rsidRPr="001E676D">
                    <w:rPr>
                      <w:rFonts w:eastAsiaTheme="minorHAnsi" w:cs="Arial"/>
                      <w:color w:val="000000"/>
                      <w:szCs w:val="18"/>
                      <w:lang w:eastAsia="en-US"/>
                    </w:rPr>
                    <w:t>2.</w:t>
                  </w:r>
                  <w:r>
                    <w:rPr>
                      <w:rFonts w:eastAsiaTheme="minorHAnsi" w:cs="Arial"/>
                      <w:color w:val="000000"/>
                      <w:szCs w:val="18"/>
                      <w:lang w:eastAsia="en-US"/>
                    </w:rPr>
                    <w:t>4</w:t>
                  </w:r>
                </w:p>
              </w:tc>
              <w:tc>
                <w:tcPr>
                  <w:tcW w:w="1000" w:type="pct"/>
                  <w:shd w:val="clear" w:color="auto" w:fill="auto"/>
                </w:tcPr>
                <w:p w14:paraId="4D107A18" w14:textId="1AAEDCB8"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2</w:t>
                  </w:r>
                </w:p>
              </w:tc>
              <w:tc>
                <w:tcPr>
                  <w:tcW w:w="999" w:type="pct"/>
                  <w:shd w:val="clear" w:color="auto" w:fill="auto"/>
                </w:tcPr>
                <w:p w14:paraId="0C28CB74" w14:textId="2314829E"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1.5</w:t>
                  </w:r>
                </w:p>
              </w:tc>
              <w:tc>
                <w:tcPr>
                  <w:tcW w:w="999" w:type="pct"/>
                </w:tcPr>
                <w:p w14:paraId="1411E7BA" w14:textId="0E512BAA"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0.5</w:t>
                  </w:r>
                </w:p>
              </w:tc>
            </w:tr>
            <w:tr w:rsidR="001E0379" w14:paraId="61A37FA1" w14:textId="77777777" w:rsidTr="00A844A7">
              <w:tc>
                <w:tcPr>
                  <w:tcW w:w="1088" w:type="pct"/>
                  <w:shd w:val="clear" w:color="auto" w:fill="auto"/>
                </w:tcPr>
                <w:p w14:paraId="51D29D0C" w14:textId="77777777" w:rsidR="001E0379" w:rsidRPr="001E676D" w:rsidRDefault="001E0379" w:rsidP="001E0379">
                  <w:pPr>
                    <w:pStyle w:val="TableBodyText"/>
                    <w:jc w:val="left"/>
                    <w:rPr>
                      <w:rFonts w:cs="Arial"/>
                      <w:szCs w:val="18"/>
                    </w:rPr>
                  </w:pPr>
                  <w:r w:rsidRPr="001E676D">
                    <w:rPr>
                      <w:rFonts w:cs="Arial"/>
                      <w:szCs w:val="18"/>
                    </w:rPr>
                    <w:t>Hours worked</w:t>
                  </w:r>
                </w:p>
              </w:tc>
              <w:tc>
                <w:tcPr>
                  <w:tcW w:w="914" w:type="pct"/>
                </w:tcPr>
                <w:p w14:paraId="17DFB665" w14:textId="65A282DC" w:rsidR="001E0379" w:rsidRPr="001E676D" w:rsidRDefault="001E0379" w:rsidP="001E0379">
                  <w:pPr>
                    <w:pStyle w:val="TableBodyText"/>
                    <w:rPr>
                      <w:rFonts w:cs="Arial"/>
                      <w:szCs w:val="18"/>
                    </w:rPr>
                  </w:pPr>
                  <w:r w:rsidRPr="001E676D">
                    <w:rPr>
                      <w:rFonts w:eastAsiaTheme="minorHAnsi" w:cs="Arial"/>
                      <w:color w:val="000000"/>
                      <w:szCs w:val="18"/>
                      <w:lang w:eastAsia="en-US"/>
                    </w:rPr>
                    <w:t>1.1</w:t>
                  </w:r>
                </w:p>
              </w:tc>
              <w:tc>
                <w:tcPr>
                  <w:tcW w:w="1000" w:type="pct"/>
                  <w:shd w:val="clear" w:color="auto" w:fill="auto"/>
                </w:tcPr>
                <w:p w14:paraId="7C64FCC8" w14:textId="0DE27872" w:rsidR="001E0379" w:rsidRPr="001E676D" w:rsidRDefault="001E0379" w:rsidP="001E0379">
                  <w:pPr>
                    <w:pStyle w:val="TableBodyText"/>
                    <w:rPr>
                      <w:rFonts w:cs="Arial"/>
                      <w:szCs w:val="18"/>
                    </w:rPr>
                  </w:pPr>
                  <w:r w:rsidRPr="001E676D">
                    <w:rPr>
                      <w:rFonts w:eastAsiaTheme="minorHAnsi" w:cs="Arial"/>
                      <w:color w:val="000000"/>
                      <w:szCs w:val="18"/>
                      <w:lang w:eastAsia="en-US"/>
                    </w:rPr>
                    <w:t>0.</w:t>
                  </w:r>
                  <w:r>
                    <w:rPr>
                      <w:rFonts w:eastAsiaTheme="minorHAnsi" w:cs="Arial"/>
                      <w:color w:val="000000"/>
                      <w:szCs w:val="18"/>
                      <w:lang w:eastAsia="en-US"/>
                    </w:rPr>
                    <w:t>8</w:t>
                  </w:r>
                </w:p>
              </w:tc>
              <w:tc>
                <w:tcPr>
                  <w:tcW w:w="999" w:type="pct"/>
                  <w:shd w:val="clear" w:color="auto" w:fill="auto"/>
                </w:tcPr>
                <w:p w14:paraId="4942786C" w14:textId="00FF292E"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1.5</w:t>
                  </w:r>
                </w:p>
              </w:tc>
              <w:tc>
                <w:tcPr>
                  <w:tcW w:w="999" w:type="pct"/>
                </w:tcPr>
                <w:p w14:paraId="16129324" w14:textId="17958C30"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1.7</w:t>
                  </w:r>
                </w:p>
              </w:tc>
            </w:tr>
            <w:tr w:rsidR="001E0379" w14:paraId="74489D44" w14:textId="77777777" w:rsidTr="00A844A7">
              <w:tc>
                <w:tcPr>
                  <w:tcW w:w="1088" w:type="pct"/>
                  <w:shd w:val="clear" w:color="auto" w:fill="auto"/>
                </w:tcPr>
                <w:p w14:paraId="58641C21" w14:textId="77777777" w:rsidR="001E0379" w:rsidRPr="001E676D" w:rsidRDefault="001E0379" w:rsidP="001E0379">
                  <w:pPr>
                    <w:pStyle w:val="TableBodyText"/>
                    <w:jc w:val="left"/>
                    <w:rPr>
                      <w:rFonts w:cs="Arial"/>
                      <w:szCs w:val="18"/>
                    </w:rPr>
                  </w:pPr>
                  <w:r w:rsidRPr="001E676D">
                    <w:rPr>
                      <w:rFonts w:cs="Arial"/>
                      <w:szCs w:val="18"/>
                    </w:rPr>
                    <w:t>Capital Services</w:t>
                  </w:r>
                </w:p>
              </w:tc>
              <w:tc>
                <w:tcPr>
                  <w:tcW w:w="914" w:type="pct"/>
                </w:tcPr>
                <w:p w14:paraId="1397F342" w14:textId="459E4777" w:rsidR="001E0379" w:rsidRPr="001E676D" w:rsidRDefault="001E0379" w:rsidP="001E0379">
                  <w:pPr>
                    <w:pStyle w:val="TableBodyText"/>
                    <w:rPr>
                      <w:rFonts w:cs="Arial"/>
                      <w:szCs w:val="18"/>
                    </w:rPr>
                  </w:pPr>
                  <w:r>
                    <w:rPr>
                      <w:rFonts w:cs="Arial"/>
                      <w:szCs w:val="18"/>
                    </w:rPr>
                    <w:t>4.1</w:t>
                  </w:r>
                </w:p>
              </w:tc>
              <w:tc>
                <w:tcPr>
                  <w:tcW w:w="1000" w:type="pct"/>
                  <w:shd w:val="clear" w:color="auto" w:fill="auto"/>
                </w:tcPr>
                <w:p w14:paraId="475BF994" w14:textId="7FA938AA" w:rsidR="001E0379" w:rsidRPr="001E676D" w:rsidRDefault="001E0379" w:rsidP="001E0379">
                  <w:pPr>
                    <w:pStyle w:val="TableBodyText"/>
                    <w:rPr>
                      <w:rFonts w:cs="Arial"/>
                      <w:szCs w:val="18"/>
                    </w:rPr>
                  </w:pPr>
                  <w:r w:rsidRPr="001E676D">
                    <w:rPr>
                      <w:rFonts w:eastAsiaTheme="minorHAnsi" w:cs="Arial"/>
                      <w:color w:val="000000"/>
                      <w:szCs w:val="18"/>
                      <w:lang w:eastAsia="en-US"/>
                    </w:rPr>
                    <w:t>1.</w:t>
                  </w:r>
                  <w:r>
                    <w:rPr>
                      <w:rFonts w:eastAsiaTheme="minorHAnsi" w:cs="Arial"/>
                      <w:color w:val="000000"/>
                      <w:szCs w:val="18"/>
                      <w:lang w:eastAsia="en-US"/>
                    </w:rPr>
                    <w:t>7</w:t>
                  </w:r>
                </w:p>
              </w:tc>
              <w:tc>
                <w:tcPr>
                  <w:tcW w:w="999" w:type="pct"/>
                  <w:shd w:val="clear" w:color="auto" w:fill="auto"/>
                </w:tcPr>
                <w:p w14:paraId="2E826AFF" w14:textId="2081BA40"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1.6</w:t>
                  </w:r>
                </w:p>
              </w:tc>
              <w:tc>
                <w:tcPr>
                  <w:tcW w:w="999" w:type="pct"/>
                </w:tcPr>
                <w:p w14:paraId="5C4F965F" w14:textId="57AC0C3A"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1.0</w:t>
                  </w:r>
                </w:p>
              </w:tc>
            </w:tr>
            <w:tr w:rsidR="001E0379" w14:paraId="077ACEF0" w14:textId="77777777" w:rsidTr="00D71386">
              <w:tc>
                <w:tcPr>
                  <w:tcW w:w="1088" w:type="pct"/>
                  <w:shd w:val="clear" w:color="auto" w:fill="auto"/>
                </w:tcPr>
                <w:p w14:paraId="20C622FB" w14:textId="77777777" w:rsidR="001E0379" w:rsidRPr="001E676D" w:rsidRDefault="001E0379" w:rsidP="001E0379">
                  <w:pPr>
                    <w:pStyle w:val="TableBodyText"/>
                    <w:jc w:val="left"/>
                    <w:rPr>
                      <w:rFonts w:cs="Arial"/>
                      <w:b/>
                      <w:szCs w:val="18"/>
                    </w:rPr>
                  </w:pPr>
                  <w:r w:rsidRPr="001E676D">
                    <w:rPr>
                      <w:rFonts w:cs="Arial"/>
                      <w:b/>
                      <w:szCs w:val="18"/>
                    </w:rPr>
                    <w:t>Labour productivity</w:t>
                  </w:r>
                </w:p>
              </w:tc>
              <w:tc>
                <w:tcPr>
                  <w:tcW w:w="914" w:type="pct"/>
                </w:tcPr>
                <w:p w14:paraId="6C38B299" w14:textId="75059814" w:rsidR="001E0379" w:rsidRPr="001E676D" w:rsidRDefault="001E0379" w:rsidP="001E0379">
                  <w:pPr>
                    <w:pStyle w:val="TableBodyText"/>
                    <w:rPr>
                      <w:rFonts w:cs="Arial"/>
                      <w:szCs w:val="18"/>
                    </w:rPr>
                  </w:pPr>
                  <w:r>
                    <w:rPr>
                      <w:rFonts w:cs="Arial"/>
                      <w:szCs w:val="18"/>
                    </w:rPr>
                    <w:t>2.0</w:t>
                  </w:r>
                </w:p>
              </w:tc>
              <w:tc>
                <w:tcPr>
                  <w:tcW w:w="1000" w:type="pct"/>
                  <w:shd w:val="clear" w:color="auto" w:fill="auto"/>
                </w:tcPr>
                <w:p w14:paraId="5628995B" w14:textId="397ED2B0" w:rsidR="001E0379" w:rsidRPr="001E676D" w:rsidRDefault="001E0379" w:rsidP="001E0379">
                  <w:pPr>
                    <w:pStyle w:val="TableBodyText"/>
                    <w:rPr>
                      <w:rFonts w:cs="Arial"/>
                      <w:szCs w:val="18"/>
                    </w:rPr>
                  </w:pPr>
                  <w:r w:rsidRPr="001E676D">
                    <w:rPr>
                      <w:rFonts w:eastAsiaTheme="minorHAnsi" w:cs="Arial"/>
                      <w:color w:val="000000"/>
                      <w:szCs w:val="18"/>
                      <w:lang w:eastAsia="en-US"/>
                    </w:rPr>
                    <w:t>0.</w:t>
                  </w:r>
                  <w:r>
                    <w:rPr>
                      <w:rFonts w:eastAsiaTheme="minorHAnsi" w:cs="Arial"/>
                      <w:color w:val="000000"/>
                      <w:szCs w:val="18"/>
                      <w:lang w:eastAsia="en-US"/>
                    </w:rPr>
                    <w:t>8</w:t>
                  </w:r>
                </w:p>
              </w:tc>
              <w:tc>
                <w:tcPr>
                  <w:tcW w:w="999" w:type="pct"/>
                  <w:shd w:val="clear" w:color="auto" w:fill="auto"/>
                </w:tcPr>
                <w:p w14:paraId="6E9028F9" w14:textId="3D244A7C"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0.2</w:t>
                  </w:r>
                </w:p>
              </w:tc>
              <w:tc>
                <w:tcPr>
                  <w:tcW w:w="999" w:type="pct"/>
                </w:tcPr>
                <w:p w14:paraId="2B80CE65" w14:textId="215BAE28"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0.6</w:t>
                  </w:r>
                </w:p>
              </w:tc>
            </w:tr>
            <w:tr w:rsidR="001E0379" w14:paraId="5EA4101C" w14:textId="77777777" w:rsidTr="00D71386">
              <w:tc>
                <w:tcPr>
                  <w:tcW w:w="1088" w:type="pct"/>
                  <w:tcBorders>
                    <w:bottom w:val="single" w:sz="4" w:space="0" w:color="BFBFBF"/>
                  </w:tcBorders>
                  <w:shd w:val="clear" w:color="auto" w:fill="auto"/>
                </w:tcPr>
                <w:p w14:paraId="0D61834A" w14:textId="77777777" w:rsidR="001E0379" w:rsidRPr="001E676D" w:rsidRDefault="001E0379" w:rsidP="001E0379">
                  <w:pPr>
                    <w:pStyle w:val="TableBodyText"/>
                    <w:jc w:val="left"/>
                    <w:rPr>
                      <w:rFonts w:cs="Arial"/>
                      <w:b/>
                      <w:szCs w:val="18"/>
                    </w:rPr>
                  </w:pPr>
                  <w:r w:rsidRPr="001E676D">
                    <w:rPr>
                      <w:rFonts w:cs="Arial"/>
                      <w:b/>
                      <w:szCs w:val="18"/>
                    </w:rPr>
                    <w:t>MFP</w:t>
                  </w:r>
                </w:p>
              </w:tc>
              <w:tc>
                <w:tcPr>
                  <w:tcW w:w="914" w:type="pct"/>
                  <w:tcBorders>
                    <w:bottom w:val="single" w:sz="4" w:space="0" w:color="BFBFBF"/>
                  </w:tcBorders>
                </w:tcPr>
                <w:p w14:paraId="70F666E7" w14:textId="6D6FBB76" w:rsidR="001E0379" w:rsidRPr="001E676D" w:rsidRDefault="001E0379" w:rsidP="001E0379">
                  <w:pPr>
                    <w:pStyle w:val="TableBodyText"/>
                    <w:rPr>
                      <w:rFonts w:cs="Arial"/>
                      <w:szCs w:val="18"/>
                    </w:rPr>
                  </w:pPr>
                  <w:r w:rsidRPr="001E676D">
                    <w:rPr>
                      <w:rFonts w:eastAsiaTheme="minorHAnsi" w:cs="Arial"/>
                      <w:color w:val="000000"/>
                      <w:szCs w:val="18"/>
                      <w:lang w:eastAsia="en-US"/>
                    </w:rPr>
                    <w:t>0.8</w:t>
                  </w:r>
                </w:p>
              </w:tc>
              <w:tc>
                <w:tcPr>
                  <w:tcW w:w="1000" w:type="pct"/>
                  <w:tcBorders>
                    <w:bottom w:val="single" w:sz="4" w:space="0" w:color="BFBFBF"/>
                  </w:tcBorders>
                  <w:shd w:val="clear" w:color="auto" w:fill="auto"/>
                </w:tcPr>
                <w:p w14:paraId="37D68E86" w14:textId="6E155708" w:rsidR="001E0379" w:rsidRPr="001E676D" w:rsidRDefault="001E0379" w:rsidP="001E0379">
                  <w:pPr>
                    <w:pStyle w:val="TableBodyText"/>
                    <w:rPr>
                      <w:rFonts w:cs="Arial"/>
                      <w:szCs w:val="18"/>
                    </w:rPr>
                  </w:pPr>
                  <w:r w:rsidRPr="001E676D">
                    <w:rPr>
                      <w:rFonts w:eastAsiaTheme="minorHAnsi" w:cs="Arial"/>
                      <w:color w:val="000000"/>
                      <w:szCs w:val="18"/>
                      <w:lang w:eastAsia="en-US"/>
                    </w:rPr>
                    <w:t>0.</w:t>
                  </w:r>
                  <w:r>
                    <w:rPr>
                      <w:rFonts w:eastAsiaTheme="minorHAnsi" w:cs="Arial"/>
                      <w:color w:val="000000"/>
                      <w:szCs w:val="18"/>
                      <w:lang w:eastAsia="en-US"/>
                    </w:rPr>
                    <w:t>1</w:t>
                  </w:r>
                </w:p>
              </w:tc>
              <w:tc>
                <w:tcPr>
                  <w:tcW w:w="999" w:type="pct"/>
                  <w:tcBorders>
                    <w:bottom w:val="single" w:sz="4" w:space="0" w:color="BFBFBF"/>
                  </w:tcBorders>
                  <w:shd w:val="clear" w:color="auto" w:fill="auto"/>
                </w:tcPr>
                <w:p w14:paraId="3D268605" w14:textId="1FFC45A2" w:rsidR="001E0379" w:rsidRPr="001E676D" w:rsidRDefault="001E0379" w:rsidP="001E0379">
                  <w:pPr>
                    <w:pStyle w:val="TableBodyText"/>
                    <w:ind w:right="28"/>
                    <w:rPr>
                      <w:rFonts w:cs="Arial"/>
                      <w:szCs w:val="18"/>
                    </w:rPr>
                  </w:pPr>
                  <w:r w:rsidRPr="001E676D">
                    <w:rPr>
                      <w:rFonts w:eastAsiaTheme="minorHAnsi" w:cs="Arial"/>
                      <w:color w:val="000000"/>
                      <w:szCs w:val="18"/>
                      <w:lang w:eastAsia="en-US"/>
                    </w:rPr>
                    <w:t>0.2</w:t>
                  </w:r>
                </w:p>
              </w:tc>
              <w:tc>
                <w:tcPr>
                  <w:tcW w:w="999" w:type="pct"/>
                  <w:tcBorders>
                    <w:bottom w:val="single" w:sz="4" w:space="0" w:color="BFBFBF"/>
                  </w:tcBorders>
                </w:tcPr>
                <w:p w14:paraId="09F03168" w14:textId="4E67A781" w:rsidR="001E0379" w:rsidRPr="001E676D" w:rsidRDefault="001E0379" w:rsidP="001E0379">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r>
          </w:tbl>
          <w:p w14:paraId="570AFE41" w14:textId="77777777" w:rsidR="00534098" w:rsidRDefault="00534098" w:rsidP="007A39EB">
            <w:pPr>
              <w:pStyle w:val="Box"/>
            </w:pPr>
          </w:p>
        </w:tc>
      </w:tr>
      <w:tr w:rsidR="00534098" w14:paraId="62FA0C52" w14:textId="77777777" w:rsidTr="007A39EB">
        <w:tc>
          <w:tcPr>
            <w:tcW w:w="5000" w:type="pct"/>
            <w:tcBorders>
              <w:top w:val="nil"/>
              <w:left w:val="nil"/>
              <w:bottom w:val="nil"/>
              <w:right w:val="nil"/>
            </w:tcBorders>
            <w:shd w:val="clear" w:color="auto" w:fill="auto"/>
          </w:tcPr>
          <w:p w14:paraId="42B98A43" w14:textId="29FE85C2" w:rsidR="00534098" w:rsidRDefault="00534098" w:rsidP="007A39EB">
            <w:pPr>
              <w:pStyle w:val="Note"/>
              <w:rPr>
                <w:i/>
              </w:rPr>
            </w:pPr>
            <w:r w:rsidRPr="008E77FE">
              <w:rPr>
                <w:rStyle w:val="NoteLabel"/>
              </w:rPr>
              <w:t>a</w:t>
            </w:r>
            <w:r>
              <w:t xml:space="preserve"> Some figures will not appear to add correctly due to rounding to one decimal place, for example labour productivity growth and hours growth not appearing to add to GVA. Gross value added (GVA) output is Gross domestic product (GDP) less taxes less subsidies on products and the statistical discrepancy. Labour productivity is the growth in output per unit of labour input. Multifactor productivity growth is the growth in gross value added less the growth of hours worked and capital services, each weighted by their share of total factor income. </w:t>
            </w:r>
            <w:r>
              <w:rPr>
                <w:rStyle w:val="NoteLabel"/>
              </w:rPr>
              <w:t>b</w:t>
            </w:r>
            <w:r>
              <w:t xml:space="preserve"> All values are in real, chain weighted, terms</w:t>
            </w:r>
            <w:r w:rsidR="005F359A">
              <w:t>.</w:t>
            </w:r>
          </w:p>
        </w:tc>
      </w:tr>
      <w:tr w:rsidR="00534098" w14:paraId="77934806" w14:textId="77777777" w:rsidTr="007A39EB">
        <w:tc>
          <w:tcPr>
            <w:tcW w:w="5000" w:type="pct"/>
            <w:tcBorders>
              <w:top w:val="nil"/>
              <w:left w:val="nil"/>
              <w:bottom w:val="nil"/>
              <w:right w:val="nil"/>
            </w:tcBorders>
            <w:shd w:val="clear" w:color="auto" w:fill="auto"/>
          </w:tcPr>
          <w:p w14:paraId="2DB799C8" w14:textId="76269BF6" w:rsidR="00534098" w:rsidRPr="009D05B8" w:rsidRDefault="00534098" w:rsidP="007A39EB">
            <w:pPr>
              <w:pStyle w:val="Source"/>
              <w:rPr>
                <w:spacing w:val="-6"/>
              </w:rPr>
            </w:pPr>
            <w:r w:rsidRPr="009D05B8">
              <w:rPr>
                <w:spacing w:val="-6"/>
              </w:rPr>
              <w:t xml:space="preserve">Sources: Estimates based on: ABS (2018, </w:t>
            </w:r>
            <w:r w:rsidRPr="00A23967">
              <w:rPr>
                <w:i/>
                <w:iCs/>
                <w:spacing w:val="-6"/>
              </w:rPr>
              <w:t>Australian System of National Accounts, 2019</w:t>
            </w:r>
            <w:r w:rsidRPr="00A23967">
              <w:rPr>
                <w:i/>
                <w:iCs/>
                <w:spacing w:val="-6"/>
              </w:rPr>
              <w:noBreakHyphen/>
              <w:t>20</w:t>
            </w:r>
            <w:r w:rsidRPr="009D05B8">
              <w:rPr>
                <w:spacing w:val="-6"/>
              </w:rPr>
              <w:t xml:space="preserve">, Cat. no. 5204.0, tables 1, 5, 15, 46 and 58); ABS (2020, </w:t>
            </w:r>
            <w:r w:rsidRPr="00A23967">
              <w:rPr>
                <w:i/>
                <w:iCs/>
                <w:spacing w:val="-6"/>
              </w:rPr>
              <w:t>Estimates of Industry Multifactor Productivity, 2019</w:t>
            </w:r>
            <w:r w:rsidRPr="00A23967">
              <w:rPr>
                <w:i/>
                <w:iCs/>
                <w:spacing w:val="-6"/>
              </w:rPr>
              <w:noBreakHyphen/>
              <w:t>20</w:t>
            </w:r>
            <w:r w:rsidRPr="009D05B8">
              <w:rPr>
                <w:spacing w:val="-6"/>
              </w:rPr>
              <w:t>, Cat. no. 5260.0.55.002, tables 1, 6 and 14) and ABS (</w:t>
            </w:r>
            <w:r w:rsidRPr="00A23967">
              <w:rPr>
                <w:i/>
                <w:iCs/>
                <w:spacing w:val="-6"/>
              </w:rPr>
              <w:t xml:space="preserve">Labour </w:t>
            </w:r>
            <w:r w:rsidR="00B329D6" w:rsidRPr="00A23967">
              <w:rPr>
                <w:i/>
                <w:iCs/>
                <w:spacing w:val="-6"/>
              </w:rPr>
              <w:t>Account</w:t>
            </w:r>
            <w:r w:rsidRPr="00A23967">
              <w:rPr>
                <w:i/>
                <w:iCs/>
                <w:spacing w:val="-6"/>
              </w:rPr>
              <w:t>, Australia</w:t>
            </w:r>
            <w:r w:rsidRPr="009D05B8">
              <w:rPr>
                <w:spacing w:val="-6"/>
              </w:rPr>
              <w:t>, Cat. no. 6</w:t>
            </w:r>
            <w:r w:rsidR="00B329D6" w:rsidRPr="009D05B8">
              <w:rPr>
                <w:spacing w:val="-6"/>
              </w:rPr>
              <w:t>150</w:t>
            </w:r>
            <w:r w:rsidRPr="009D05B8">
              <w:rPr>
                <w:spacing w:val="-6"/>
              </w:rPr>
              <w:t>.0.55.003, Aug 20</w:t>
            </w:r>
            <w:r w:rsidR="00B329D6" w:rsidRPr="009D05B8">
              <w:rPr>
                <w:spacing w:val="-6"/>
              </w:rPr>
              <w:t>20</w:t>
            </w:r>
            <w:r w:rsidRPr="009D05B8">
              <w:rPr>
                <w:spacing w:val="-6"/>
              </w:rPr>
              <w:t>, table 1.</w:t>
            </w:r>
          </w:p>
        </w:tc>
      </w:tr>
      <w:tr w:rsidR="00534098" w14:paraId="5334D8A9" w14:textId="77777777" w:rsidTr="007A39EB">
        <w:tc>
          <w:tcPr>
            <w:tcW w:w="5000" w:type="pct"/>
            <w:tcBorders>
              <w:top w:val="nil"/>
              <w:left w:val="nil"/>
              <w:bottom w:val="single" w:sz="6" w:space="0" w:color="78A22F"/>
              <w:right w:val="nil"/>
            </w:tcBorders>
            <w:shd w:val="clear" w:color="auto" w:fill="auto"/>
          </w:tcPr>
          <w:p w14:paraId="683EFB20" w14:textId="77777777" w:rsidR="00534098" w:rsidRDefault="00534098" w:rsidP="007A39EB">
            <w:pPr>
              <w:pStyle w:val="Box"/>
              <w:spacing w:before="0" w:line="120" w:lineRule="exact"/>
            </w:pPr>
          </w:p>
        </w:tc>
      </w:tr>
      <w:tr w:rsidR="00534098" w:rsidRPr="000863A5" w14:paraId="225B6330" w14:textId="77777777" w:rsidTr="007A39EB">
        <w:tc>
          <w:tcPr>
            <w:tcW w:w="5000" w:type="pct"/>
            <w:tcBorders>
              <w:top w:val="single" w:sz="6" w:space="0" w:color="78A22F"/>
              <w:left w:val="nil"/>
              <w:bottom w:val="nil"/>
              <w:right w:val="nil"/>
            </w:tcBorders>
          </w:tcPr>
          <w:p w14:paraId="2D68A3A9" w14:textId="0474DB8C" w:rsidR="00534098" w:rsidRPr="00626D32" w:rsidRDefault="00534098" w:rsidP="007A39EB">
            <w:pPr>
              <w:pStyle w:val="BoxSpaceBelow"/>
            </w:pPr>
          </w:p>
        </w:tc>
      </w:tr>
    </w:tbl>
    <w:p w14:paraId="26F8E548" w14:textId="121735FF"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5AF98084" w14:textId="77777777" w:rsidTr="007A39EB">
        <w:trPr>
          <w:tblHeader/>
        </w:trPr>
        <w:tc>
          <w:tcPr>
            <w:tcW w:w="5000" w:type="pct"/>
            <w:tcBorders>
              <w:top w:val="single" w:sz="6" w:space="0" w:color="78A22F"/>
              <w:left w:val="nil"/>
              <w:bottom w:val="nil"/>
              <w:right w:val="nil"/>
            </w:tcBorders>
            <w:shd w:val="clear" w:color="auto" w:fill="auto"/>
          </w:tcPr>
          <w:p w14:paraId="3580C184" w14:textId="24CDCD14" w:rsidR="00534098" w:rsidRDefault="00534098" w:rsidP="007A39EB">
            <w:pPr>
              <w:pStyle w:val="TableTitle"/>
            </w:pPr>
            <w:r>
              <w:rPr>
                <w:b w:val="0"/>
              </w:rPr>
              <w:t xml:space="preserve">Table </w:t>
            </w:r>
            <w:r w:rsidR="0015674B">
              <w:rPr>
                <w:b w:val="0"/>
                <w:noProof/>
              </w:rPr>
              <w:t>2</w:t>
            </w:r>
            <w:r>
              <w:tab/>
              <w:t>Industry productivity growth, 2019</w:t>
            </w:r>
            <w:r>
              <w:noBreakHyphen/>
              <w:t>20</w:t>
            </w:r>
            <w:r w:rsidRPr="007F3BED">
              <w:rPr>
                <w:rStyle w:val="NoteLabel"/>
                <w:rFonts w:ascii="Arial Bold" w:hAnsi="Arial Bold"/>
                <w:b/>
                <w:bCs/>
                <w:position w:val="10"/>
              </w:rPr>
              <w:t>a</w:t>
            </w:r>
          </w:p>
          <w:p w14:paraId="278CADEF" w14:textId="77777777" w:rsidR="00534098" w:rsidRPr="00784A05" w:rsidRDefault="00534098" w:rsidP="007A39EB">
            <w:pPr>
              <w:pStyle w:val="Subtitle"/>
            </w:pPr>
            <w:r>
              <w:t>Per cent</w:t>
            </w:r>
          </w:p>
        </w:tc>
      </w:tr>
      <w:tr w:rsidR="00534098" w14:paraId="4879ECEE"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74"/>
              <w:gridCol w:w="709"/>
              <w:gridCol w:w="1165"/>
              <w:gridCol w:w="1162"/>
              <w:gridCol w:w="1398"/>
              <w:gridCol w:w="1396"/>
            </w:tblGrid>
            <w:tr w:rsidR="00534098" w14:paraId="778A5E80" w14:textId="77777777" w:rsidTr="00C25536">
              <w:trPr>
                <w:tblHeader/>
              </w:trPr>
              <w:tc>
                <w:tcPr>
                  <w:tcW w:w="1572" w:type="pct"/>
                  <w:tcBorders>
                    <w:top w:val="single" w:sz="6" w:space="0" w:color="BFBFBF"/>
                    <w:bottom w:val="single" w:sz="6" w:space="0" w:color="BFBFBF"/>
                  </w:tcBorders>
                  <w:shd w:val="clear" w:color="auto" w:fill="auto"/>
                  <w:tcMar>
                    <w:top w:w="28" w:type="dxa"/>
                  </w:tcMar>
                  <w:vAlign w:val="bottom"/>
                </w:tcPr>
                <w:p w14:paraId="30C427DD" w14:textId="6BB0DB05" w:rsidR="00534098" w:rsidRPr="00930BF0" w:rsidRDefault="00534098" w:rsidP="007A39EB">
                  <w:pPr>
                    <w:pStyle w:val="TableColumnHeading"/>
                    <w:jc w:val="left"/>
                    <w:rPr>
                      <w:b/>
                      <w:i w:val="0"/>
                    </w:rPr>
                  </w:pPr>
                </w:p>
              </w:tc>
              <w:tc>
                <w:tcPr>
                  <w:tcW w:w="417" w:type="pct"/>
                  <w:tcBorders>
                    <w:top w:val="single" w:sz="6" w:space="0" w:color="BFBFBF"/>
                    <w:bottom w:val="single" w:sz="6" w:space="0" w:color="BFBFBF"/>
                  </w:tcBorders>
                </w:tcPr>
                <w:p w14:paraId="7E827567" w14:textId="2A6BF422" w:rsidR="00534098" w:rsidRPr="00930BF0" w:rsidRDefault="00534098" w:rsidP="00AD768B">
                  <w:pPr>
                    <w:pStyle w:val="TableColumnHeading"/>
                    <w:rPr>
                      <w:b/>
                      <w:i w:val="0"/>
                    </w:rPr>
                  </w:pPr>
                  <w:r w:rsidRPr="00930BF0">
                    <w:rPr>
                      <w:b/>
                      <w:i w:val="0"/>
                    </w:rPr>
                    <w:t xml:space="preserve">Output </w:t>
                  </w:r>
                  <w:r w:rsidR="00AD768B">
                    <w:rPr>
                      <w:b/>
                      <w:i w:val="0"/>
                    </w:rPr>
                    <w:br/>
                  </w:r>
                  <w:r w:rsidRPr="00930BF0">
                    <w:rPr>
                      <w:b/>
                      <w:i w:val="0"/>
                    </w:rPr>
                    <w:t>(GVA)</w:t>
                  </w:r>
                </w:p>
              </w:tc>
              <w:tc>
                <w:tcPr>
                  <w:tcW w:w="685" w:type="pct"/>
                  <w:tcBorders>
                    <w:top w:val="single" w:sz="6" w:space="0" w:color="BFBFBF"/>
                    <w:bottom w:val="single" w:sz="6" w:space="0" w:color="BFBFBF"/>
                  </w:tcBorders>
                  <w:shd w:val="clear" w:color="auto" w:fill="auto"/>
                  <w:tcMar>
                    <w:top w:w="28" w:type="dxa"/>
                  </w:tcMar>
                </w:tcPr>
                <w:p w14:paraId="19D67723" w14:textId="7A769FE9" w:rsidR="00534098" w:rsidRPr="00930BF0" w:rsidRDefault="00534098" w:rsidP="00AD768B">
                  <w:pPr>
                    <w:pStyle w:val="TableColumnHeading"/>
                    <w:rPr>
                      <w:b/>
                      <w:i w:val="0"/>
                    </w:rPr>
                  </w:pPr>
                  <w:r w:rsidRPr="00930BF0">
                    <w:rPr>
                      <w:b/>
                      <w:i w:val="0"/>
                    </w:rPr>
                    <w:t xml:space="preserve">Hours </w:t>
                  </w:r>
                  <w:r w:rsidR="00AD768B">
                    <w:rPr>
                      <w:b/>
                      <w:i w:val="0"/>
                    </w:rPr>
                    <w:br/>
                  </w:r>
                  <w:r w:rsidRPr="00930BF0">
                    <w:rPr>
                      <w:b/>
                      <w:i w:val="0"/>
                    </w:rPr>
                    <w:t>worked</w:t>
                  </w:r>
                </w:p>
              </w:tc>
              <w:tc>
                <w:tcPr>
                  <w:tcW w:w="683" w:type="pct"/>
                  <w:tcBorders>
                    <w:top w:val="single" w:sz="6" w:space="0" w:color="BFBFBF"/>
                    <w:bottom w:val="single" w:sz="6" w:space="0" w:color="BFBFBF"/>
                  </w:tcBorders>
                  <w:shd w:val="clear" w:color="auto" w:fill="auto"/>
                  <w:tcMar>
                    <w:top w:w="28" w:type="dxa"/>
                  </w:tcMar>
                </w:tcPr>
                <w:p w14:paraId="0358FBC0" w14:textId="0BFA9D7E" w:rsidR="00534098" w:rsidRPr="00930BF0" w:rsidRDefault="00534098" w:rsidP="00AD768B">
                  <w:pPr>
                    <w:pStyle w:val="TableColumnHeading"/>
                    <w:ind w:right="28"/>
                    <w:rPr>
                      <w:b/>
                      <w:i w:val="0"/>
                    </w:rPr>
                  </w:pPr>
                  <w:r w:rsidRPr="00930BF0">
                    <w:rPr>
                      <w:b/>
                      <w:i w:val="0"/>
                    </w:rPr>
                    <w:t xml:space="preserve">Capital </w:t>
                  </w:r>
                  <w:r w:rsidR="00AD768B">
                    <w:rPr>
                      <w:b/>
                      <w:i w:val="0"/>
                    </w:rPr>
                    <w:br/>
                  </w:r>
                  <w:r w:rsidRPr="00930BF0">
                    <w:rPr>
                      <w:b/>
                      <w:i w:val="0"/>
                    </w:rPr>
                    <w:t>services</w:t>
                  </w:r>
                </w:p>
              </w:tc>
              <w:tc>
                <w:tcPr>
                  <w:tcW w:w="822" w:type="pct"/>
                  <w:tcBorders>
                    <w:top w:val="single" w:sz="6" w:space="0" w:color="BFBFBF"/>
                    <w:bottom w:val="single" w:sz="6" w:space="0" w:color="BFBFBF"/>
                  </w:tcBorders>
                </w:tcPr>
                <w:p w14:paraId="3A98B01A" w14:textId="5BD6FA5F" w:rsidR="00534098" w:rsidRPr="00930BF0" w:rsidRDefault="00534098" w:rsidP="00AD768B">
                  <w:pPr>
                    <w:pStyle w:val="TableColumnHeading"/>
                    <w:ind w:right="28"/>
                    <w:rPr>
                      <w:b/>
                      <w:i w:val="0"/>
                    </w:rPr>
                  </w:pPr>
                  <w:r w:rsidRPr="00930BF0">
                    <w:rPr>
                      <w:b/>
                      <w:i w:val="0"/>
                    </w:rPr>
                    <w:t>Labour</w:t>
                  </w:r>
                  <w:r w:rsidR="00AD768B">
                    <w:rPr>
                      <w:b/>
                      <w:i w:val="0"/>
                    </w:rPr>
                    <w:br/>
                  </w:r>
                  <w:r w:rsidRPr="00930BF0">
                    <w:rPr>
                      <w:b/>
                      <w:i w:val="0"/>
                    </w:rPr>
                    <w:t xml:space="preserve">productivity </w:t>
                  </w:r>
                </w:p>
              </w:tc>
              <w:tc>
                <w:tcPr>
                  <w:tcW w:w="822" w:type="pct"/>
                  <w:tcBorders>
                    <w:top w:val="single" w:sz="6" w:space="0" w:color="BFBFBF"/>
                    <w:bottom w:val="single" w:sz="6" w:space="0" w:color="BFBFBF"/>
                  </w:tcBorders>
                </w:tcPr>
                <w:p w14:paraId="0EA8A9E5" w14:textId="77777777" w:rsidR="00534098" w:rsidRPr="00930BF0" w:rsidRDefault="00534098" w:rsidP="007A39EB">
                  <w:pPr>
                    <w:pStyle w:val="TableColumnHeading"/>
                    <w:ind w:right="28"/>
                    <w:rPr>
                      <w:b/>
                      <w:i w:val="0"/>
                    </w:rPr>
                  </w:pPr>
                  <w:r>
                    <w:rPr>
                      <w:b/>
                      <w:i w:val="0"/>
                    </w:rPr>
                    <w:t>MFP</w:t>
                  </w:r>
                </w:p>
              </w:tc>
            </w:tr>
            <w:tr w:rsidR="0053659F" w14:paraId="1DF3A4B1" w14:textId="77777777" w:rsidTr="00C25536">
              <w:trPr>
                <w:tblHeader/>
              </w:trPr>
              <w:tc>
                <w:tcPr>
                  <w:tcW w:w="1572" w:type="pct"/>
                  <w:tcBorders>
                    <w:top w:val="single" w:sz="6" w:space="0" w:color="BFBFBF"/>
                  </w:tcBorders>
                  <w:shd w:val="clear" w:color="auto" w:fill="E0F1F7" w:themeFill="text2" w:themeFillTint="33"/>
                  <w:tcMar>
                    <w:top w:w="28" w:type="dxa"/>
                  </w:tcMar>
                  <w:vAlign w:val="bottom"/>
                </w:tcPr>
                <w:p w14:paraId="12584A11" w14:textId="741D0860" w:rsidR="0053659F" w:rsidRPr="00930BF0" w:rsidRDefault="0053659F" w:rsidP="007F3BED">
                  <w:pPr>
                    <w:pStyle w:val="TableColumnHeading"/>
                    <w:spacing w:after="40"/>
                    <w:jc w:val="left"/>
                    <w:rPr>
                      <w:b/>
                      <w:i w:val="0"/>
                    </w:rPr>
                  </w:pPr>
                  <w:r w:rsidRPr="00930BF0">
                    <w:rPr>
                      <w:b/>
                      <w:i w:val="0"/>
                    </w:rPr>
                    <w:t>Market sector (16 industries)</w:t>
                  </w:r>
                </w:p>
              </w:tc>
              <w:tc>
                <w:tcPr>
                  <w:tcW w:w="417" w:type="pct"/>
                  <w:tcBorders>
                    <w:top w:val="single" w:sz="6" w:space="0" w:color="BFBFBF"/>
                  </w:tcBorders>
                  <w:shd w:val="clear" w:color="auto" w:fill="E0F1F7" w:themeFill="text2" w:themeFillTint="33"/>
                </w:tcPr>
                <w:p w14:paraId="601E2180" w14:textId="77777777" w:rsidR="0053659F" w:rsidRPr="00930BF0" w:rsidRDefault="0053659F" w:rsidP="007F3BED">
                  <w:pPr>
                    <w:pStyle w:val="TableColumnHeading"/>
                    <w:spacing w:after="40"/>
                    <w:rPr>
                      <w:b/>
                      <w:i w:val="0"/>
                    </w:rPr>
                  </w:pPr>
                </w:p>
              </w:tc>
              <w:tc>
                <w:tcPr>
                  <w:tcW w:w="685" w:type="pct"/>
                  <w:tcBorders>
                    <w:top w:val="single" w:sz="6" w:space="0" w:color="BFBFBF"/>
                  </w:tcBorders>
                  <w:shd w:val="clear" w:color="auto" w:fill="E0F1F7" w:themeFill="text2" w:themeFillTint="33"/>
                  <w:tcMar>
                    <w:top w:w="28" w:type="dxa"/>
                  </w:tcMar>
                </w:tcPr>
                <w:p w14:paraId="7EF81598" w14:textId="77777777" w:rsidR="0053659F" w:rsidRPr="00930BF0" w:rsidRDefault="0053659F" w:rsidP="007F3BED">
                  <w:pPr>
                    <w:pStyle w:val="TableColumnHeading"/>
                    <w:spacing w:after="40"/>
                    <w:rPr>
                      <w:b/>
                      <w:i w:val="0"/>
                    </w:rPr>
                  </w:pPr>
                </w:p>
              </w:tc>
              <w:tc>
                <w:tcPr>
                  <w:tcW w:w="683" w:type="pct"/>
                  <w:tcBorders>
                    <w:top w:val="single" w:sz="6" w:space="0" w:color="BFBFBF"/>
                  </w:tcBorders>
                  <w:shd w:val="clear" w:color="auto" w:fill="E0F1F7" w:themeFill="text2" w:themeFillTint="33"/>
                  <w:tcMar>
                    <w:top w:w="28" w:type="dxa"/>
                  </w:tcMar>
                </w:tcPr>
                <w:p w14:paraId="0E617038" w14:textId="77777777" w:rsidR="0053659F" w:rsidRPr="00930BF0" w:rsidRDefault="0053659F" w:rsidP="007F3BED">
                  <w:pPr>
                    <w:pStyle w:val="TableColumnHeading"/>
                    <w:spacing w:after="40"/>
                    <w:ind w:right="28"/>
                    <w:rPr>
                      <w:b/>
                      <w:i w:val="0"/>
                    </w:rPr>
                  </w:pPr>
                </w:p>
              </w:tc>
              <w:tc>
                <w:tcPr>
                  <w:tcW w:w="822" w:type="pct"/>
                  <w:tcBorders>
                    <w:top w:val="single" w:sz="6" w:space="0" w:color="BFBFBF"/>
                  </w:tcBorders>
                  <w:shd w:val="clear" w:color="auto" w:fill="E0F1F7" w:themeFill="text2" w:themeFillTint="33"/>
                </w:tcPr>
                <w:p w14:paraId="4B1ABB88" w14:textId="77777777" w:rsidR="0053659F" w:rsidRPr="00930BF0" w:rsidRDefault="0053659F" w:rsidP="007F3BED">
                  <w:pPr>
                    <w:pStyle w:val="TableColumnHeading"/>
                    <w:spacing w:after="40"/>
                    <w:ind w:right="28"/>
                    <w:rPr>
                      <w:b/>
                      <w:i w:val="0"/>
                    </w:rPr>
                  </w:pPr>
                </w:p>
              </w:tc>
              <w:tc>
                <w:tcPr>
                  <w:tcW w:w="822" w:type="pct"/>
                  <w:tcBorders>
                    <w:top w:val="single" w:sz="6" w:space="0" w:color="BFBFBF"/>
                  </w:tcBorders>
                  <w:shd w:val="clear" w:color="auto" w:fill="E0F1F7" w:themeFill="text2" w:themeFillTint="33"/>
                </w:tcPr>
                <w:p w14:paraId="5B992A2B" w14:textId="77777777" w:rsidR="0053659F" w:rsidRPr="00930BF0" w:rsidRDefault="0053659F" w:rsidP="007F3BED">
                  <w:pPr>
                    <w:pStyle w:val="TableColumnHeading"/>
                    <w:spacing w:after="40"/>
                    <w:ind w:right="28"/>
                    <w:rPr>
                      <w:b/>
                      <w:i w:val="0"/>
                    </w:rPr>
                  </w:pPr>
                </w:p>
              </w:tc>
            </w:tr>
            <w:tr w:rsidR="0053659F" w14:paraId="7D8D983E" w14:textId="77777777" w:rsidTr="007F3BED">
              <w:tc>
                <w:tcPr>
                  <w:tcW w:w="1572" w:type="pct"/>
                  <w:shd w:val="clear" w:color="auto" w:fill="F2F2F2" w:themeFill="background1" w:themeFillShade="F2"/>
                </w:tcPr>
                <w:p w14:paraId="2701D173" w14:textId="77777777" w:rsidR="0053659F" w:rsidRDefault="0053659F" w:rsidP="0053659F">
                  <w:pPr>
                    <w:pStyle w:val="TableUnitsRow"/>
                    <w:jc w:val="left"/>
                  </w:pPr>
                  <w:r>
                    <w:t>Agriculture, forestry and fishing</w:t>
                  </w:r>
                </w:p>
              </w:tc>
              <w:tc>
                <w:tcPr>
                  <w:tcW w:w="417" w:type="pct"/>
                  <w:shd w:val="clear" w:color="auto" w:fill="F2F2F2" w:themeFill="background1" w:themeFillShade="F2"/>
                </w:tcPr>
                <w:p w14:paraId="0BCCF6A2" w14:textId="77777777" w:rsidR="0053659F" w:rsidRPr="001E676D" w:rsidRDefault="0053659F" w:rsidP="0053659F">
                  <w:pPr>
                    <w:pStyle w:val="TableUnitsRow"/>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8</w:t>
                  </w:r>
                </w:p>
              </w:tc>
              <w:tc>
                <w:tcPr>
                  <w:tcW w:w="685" w:type="pct"/>
                  <w:shd w:val="clear" w:color="auto" w:fill="F2F2F2" w:themeFill="background1" w:themeFillShade="F2"/>
                </w:tcPr>
                <w:p w14:paraId="511E4DC3" w14:textId="77777777" w:rsidR="0053659F" w:rsidRPr="001E676D" w:rsidRDefault="0053659F" w:rsidP="0053659F">
                  <w:pPr>
                    <w:pStyle w:val="TableUnitsRow"/>
                    <w:rPr>
                      <w:rFonts w:cs="Arial"/>
                      <w:szCs w:val="18"/>
                    </w:rPr>
                  </w:pPr>
                  <w:r w:rsidRPr="001E676D">
                    <w:rPr>
                      <w:rFonts w:eastAsiaTheme="minorHAnsi" w:cs="Arial"/>
                      <w:color w:val="000000"/>
                      <w:szCs w:val="18"/>
                      <w:lang w:eastAsia="en-US"/>
                    </w:rPr>
                    <w:t>2.8</w:t>
                  </w:r>
                </w:p>
              </w:tc>
              <w:tc>
                <w:tcPr>
                  <w:tcW w:w="683" w:type="pct"/>
                  <w:shd w:val="clear" w:color="auto" w:fill="F2F2F2" w:themeFill="background1" w:themeFillShade="F2"/>
                </w:tcPr>
                <w:p w14:paraId="129A126D" w14:textId="77777777" w:rsidR="0053659F" w:rsidRPr="001E676D" w:rsidRDefault="0053659F" w:rsidP="0053659F">
                  <w:pPr>
                    <w:pStyle w:val="TableUnitsRow"/>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c>
                <w:tcPr>
                  <w:tcW w:w="822" w:type="pct"/>
                  <w:shd w:val="clear" w:color="auto" w:fill="F2F2F2" w:themeFill="background1" w:themeFillShade="F2"/>
                </w:tcPr>
                <w:p w14:paraId="3BC1983E" w14:textId="77777777" w:rsidR="0053659F" w:rsidRPr="001E676D" w:rsidRDefault="0053659F" w:rsidP="0053659F">
                  <w:pPr>
                    <w:pStyle w:val="TableUnitsRow"/>
                    <w:ind w:right="28"/>
                    <w:rPr>
                      <w:rFonts w:cs="Arial"/>
                      <w:szCs w:val="18"/>
                    </w:rPr>
                  </w:pPr>
                  <w:r w:rsidRPr="001E676D">
                    <w:rPr>
                      <w:rFonts w:eastAsiaTheme="minorHAnsi" w:cs="Arial"/>
                      <w:color w:val="000000"/>
                      <w:szCs w:val="18"/>
                      <w:lang w:eastAsia="en-US"/>
                    </w:rPr>
                    <w:t>0</w:t>
                  </w:r>
                </w:p>
              </w:tc>
              <w:tc>
                <w:tcPr>
                  <w:tcW w:w="822" w:type="pct"/>
                  <w:shd w:val="clear" w:color="auto" w:fill="F2F2F2" w:themeFill="background1" w:themeFillShade="F2"/>
                </w:tcPr>
                <w:p w14:paraId="0CFA68A7" w14:textId="77777777" w:rsidR="0053659F" w:rsidRPr="001E676D" w:rsidRDefault="0053659F" w:rsidP="0053659F">
                  <w:pPr>
                    <w:pStyle w:val="TableUnitsRow"/>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8.3</w:t>
                  </w:r>
                </w:p>
              </w:tc>
            </w:tr>
            <w:tr w:rsidR="0053659F" w14:paraId="18B18C68" w14:textId="77777777" w:rsidTr="0053659F">
              <w:tc>
                <w:tcPr>
                  <w:tcW w:w="1572" w:type="pct"/>
                </w:tcPr>
                <w:p w14:paraId="3C1690F6" w14:textId="77777777" w:rsidR="0053659F" w:rsidRDefault="0053659F" w:rsidP="0053659F">
                  <w:pPr>
                    <w:pStyle w:val="TableBodyText"/>
                    <w:jc w:val="left"/>
                  </w:pPr>
                  <w:r>
                    <w:t>Mining</w:t>
                  </w:r>
                </w:p>
              </w:tc>
              <w:tc>
                <w:tcPr>
                  <w:tcW w:w="417" w:type="pct"/>
                </w:tcPr>
                <w:p w14:paraId="48C412BF"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4.9</w:t>
                  </w:r>
                </w:p>
              </w:tc>
              <w:tc>
                <w:tcPr>
                  <w:tcW w:w="685" w:type="pct"/>
                </w:tcPr>
                <w:p w14:paraId="250FFA03"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1.7</w:t>
                  </w:r>
                </w:p>
              </w:tc>
              <w:tc>
                <w:tcPr>
                  <w:tcW w:w="683" w:type="pct"/>
                </w:tcPr>
                <w:p w14:paraId="70F709A6"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1.04</w:t>
                  </w:r>
                </w:p>
              </w:tc>
              <w:tc>
                <w:tcPr>
                  <w:tcW w:w="822" w:type="pct"/>
                </w:tcPr>
                <w:p w14:paraId="503A06DC"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3.2</w:t>
                  </w:r>
                </w:p>
              </w:tc>
              <w:tc>
                <w:tcPr>
                  <w:tcW w:w="822" w:type="pct"/>
                </w:tcPr>
                <w:p w14:paraId="5D2612F1"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3.7</w:t>
                  </w:r>
                </w:p>
              </w:tc>
            </w:tr>
            <w:tr w:rsidR="0053659F" w14:paraId="776DF24D" w14:textId="77777777" w:rsidTr="0053659F">
              <w:tc>
                <w:tcPr>
                  <w:tcW w:w="1572" w:type="pct"/>
                  <w:shd w:val="clear" w:color="auto" w:fill="F2F2F2" w:themeFill="background1" w:themeFillShade="F2"/>
                </w:tcPr>
                <w:p w14:paraId="6E6437FD" w14:textId="77777777" w:rsidR="0053659F" w:rsidRDefault="0053659F" w:rsidP="0053659F">
                  <w:pPr>
                    <w:pStyle w:val="TableBodyText"/>
                    <w:jc w:val="left"/>
                  </w:pPr>
                  <w:r>
                    <w:t>Manufacturing</w:t>
                  </w:r>
                </w:p>
              </w:tc>
              <w:tc>
                <w:tcPr>
                  <w:tcW w:w="417" w:type="pct"/>
                  <w:shd w:val="clear" w:color="auto" w:fill="F2F2F2" w:themeFill="background1" w:themeFillShade="F2"/>
                </w:tcPr>
                <w:p w14:paraId="15C4C652" w14:textId="73B5CB99"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w:t>
                  </w:r>
                  <w:r>
                    <w:rPr>
                      <w:rFonts w:eastAsiaTheme="minorHAnsi" w:cs="Arial"/>
                      <w:color w:val="000000"/>
                      <w:szCs w:val="18"/>
                      <w:lang w:eastAsia="en-US"/>
                    </w:rPr>
                    <w:t>7</w:t>
                  </w:r>
                </w:p>
              </w:tc>
              <w:tc>
                <w:tcPr>
                  <w:tcW w:w="685" w:type="pct"/>
                  <w:shd w:val="clear" w:color="auto" w:fill="F2F2F2" w:themeFill="background1" w:themeFillShade="F2"/>
                </w:tcPr>
                <w:p w14:paraId="38F8F05C"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2.3</w:t>
                  </w:r>
                </w:p>
              </w:tc>
              <w:tc>
                <w:tcPr>
                  <w:tcW w:w="683" w:type="pct"/>
                  <w:shd w:val="clear" w:color="auto" w:fill="F2F2F2" w:themeFill="background1" w:themeFillShade="F2"/>
                </w:tcPr>
                <w:p w14:paraId="4129D895"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1.07</w:t>
                  </w:r>
                </w:p>
              </w:tc>
              <w:tc>
                <w:tcPr>
                  <w:tcW w:w="822" w:type="pct"/>
                  <w:shd w:val="clear" w:color="auto" w:fill="F2F2F2" w:themeFill="background1" w:themeFillShade="F2"/>
                </w:tcPr>
                <w:p w14:paraId="7D6699D3"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3.9</w:t>
                  </w:r>
                </w:p>
              </w:tc>
              <w:tc>
                <w:tcPr>
                  <w:tcW w:w="822" w:type="pct"/>
                  <w:shd w:val="clear" w:color="auto" w:fill="F2F2F2" w:themeFill="background1" w:themeFillShade="F2"/>
                </w:tcPr>
                <w:p w14:paraId="642841B7"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2.8</w:t>
                  </w:r>
                </w:p>
              </w:tc>
            </w:tr>
            <w:tr w:rsidR="0053659F" w14:paraId="0F25BF92" w14:textId="77777777" w:rsidTr="0053659F">
              <w:tc>
                <w:tcPr>
                  <w:tcW w:w="1572" w:type="pct"/>
                </w:tcPr>
                <w:p w14:paraId="4FF57898" w14:textId="77777777" w:rsidR="0053659F" w:rsidRDefault="0053659F" w:rsidP="0053659F">
                  <w:pPr>
                    <w:pStyle w:val="TableBodyText"/>
                    <w:jc w:val="left"/>
                  </w:pPr>
                  <w:r>
                    <w:t>Electricity, gas, water and waste services</w:t>
                  </w:r>
                </w:p>
              </w:tc>
              <w:tc>
                <w:tcPr>
                  <w:tcW w:w="417" w:type="pct"/>
                </w:tcPr>
                <w:p w14:paraId="17204C8B"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1.8</w:t>
                  </w:r>
                </w:p>
              </w:tc>
              <w:tc>
                <w:tcPr>
                  <w:tcW w:w="685" w:type="pct"/>
                </w:tcPr>
                <w:p w14:paraId="4D25247F"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0.5</w:t>
                  </w:r>
                </w:p>
              </w:tc>
              <w:tc>
                <w:tcPr>
                  <w:tcW w:w="683" w:type="pct"/>
                </w:tcPr>
                <w:p w14:paraId="24F5F83A"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2.38</w:t>
                  </w:r>
                </w:p>
              </w:tc>
              <w:tc>
                <w:tcPr>
                  <w:tcW w:w="822" w:type="pct"/>
                </w:tcPr>
                <w:p w14:paraId="0B40859E"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2.3</w:t>
                  </w:r>
                </w:p>
              </w:tc>
              <w:tc>
                <w:tcPr>
                  <w:tcW w:w="822" w:type="pct"/>
                </w:tcPr>
                <w:p w14:paraId="4552A8E2"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3.6</w:t>
                  </w:r>
                </w:p>
              </w:tc>
            </w:tr>
            <w:tr w:rsidR="0053659F" w14:paraId="5875EA8F" w14:textId="77777777" w:rsidTr="0053659F">
              <w:tc>
                <w:tcPr>
                  <w:tcW w:w="1572" w:type="pct"/>
                  <w:shd w:val="clear" w:color="auto" w:fill="F2F2F2" w:themeFill="background1" w:themeFillShade="F2"/>
                </w:tcPr>
                <w:p w14:paraId="3632F2DF" w14:textId="77777777" w:rsidR="0053659F" w:rsidRDefault="0053659F" w:rsidP="0053659F">
                  <w:pPr>
                    <w:pStyle w:val="TableBodyText"/>
                    <w:jc w:val="left"/>
                  </w:pPr>
                  <w:r>
                    <w:t>Construction</w:t>
                  </w:r>
                </w:p>
              </w:tc>
              <w:tc>
                <w:tcPr>
                  <w:tcW w:w="417" w:type="pct"/>
                  <w:shd w:val="clear" w:color="auto" w:fill="F2F2F2" w:themeFill="background1" w:themeFillShade="F2"/>
                </w:tcPr>
                <w:p w14:paraId="5B9C1CA4"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4.6</w:t>
                  </w:r>
                </w:p>
              </w:tc>
              <w:tc>
                <w:tcPr>
                  <w:tcW w:w="685" w:type="pct"/>
                  <w:shd w:val="clear" w:color="auto" w:fill="F2F2F2" w:themeFill="background1" w:themeFillShade="F2"/>
                </w:tcPr>
                <w:p w14:paraId="0F03B24C"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2.1</w:t>
                  </w:r>
                </w:p>
              </w:tc>
              <w:tc>
                <w:tcPr>
                  <w:tcW w:w="683" w:type="pct"/>
                  <w:shd w:val="clear" w:color="auto" w:fill="F2F2F2" w:themeFill="background1" w:themeFillShade="F2"/>
                </w:tcPr>
                <w:p w14:paraId="1BDBC49C"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0.89</w:t>
                  </w:r>
                </w:p>
              </w:tc>
              <w:tc>
                <w:tcPr>
                  <w:tcW w:w="822" w:type="pct"/>
                  <w:shd w:val="clear" w:color="auto" w:fill="F2F2F2" w:themeFill="background1" w:themeFillShade="F2"/>
                </w:tcPr>
                <w:p w14:paraId="59125496"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2.6</w:t>
                  </w:r>
                </w:p>
              </w:tc>
              <w:tc>
                <w:tcPr>
                  <w:tcW w:w="822" w:type="pct"/>
                  <w:shd w:val="clear" w:color="auto" w:fill="F2F2F2" w:themeFill="background1" w:themeFillShade="F2"/>
                </w:tcPr>
                <w:p w14:paraId="2F43D603"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3.6</w:t>
                  </w:r>
                </w:p>
              </w:tc>
            </w:tr>
            <w:tr w:rsidR="0053659F" w14:paraId="738AB625" w14:textId="77777777" w:rsidTr="0053659F">
              <w:tc>
                <w:tcPr>
                  <w:tcW w:w="1572" w:type="pct"/>
                </w:tcPr>
                <w:p w14:paraId="3EB45601" w14:textId="77777777" w:rsidR="0053659F" w:rsidRDefault="0053659F" w:rsidP="0053659F">
                  <w:pPr>
                    <w:pStyle w:val="TableBodyText"/>
                    <w:jc w:val="left"/>
                  </w:pPr>
                  <w:r>
                    <w:t>Wholesale trade</w:t>
                  </w:r>
                </w:p>
              </w:tc>
              <w:tc>
                <w:tcPr>
                  <w:tcW w:w="417" w:type="pct"/>
                </w:tcPr>
                <w:p w14:paraId="275426FA"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1.4</w:t>
                  </w:r>
                </w:p>
              </w:tc>
              <w:tc>
                <w:tcPr>
                  <w:tcW w:w="685" w:type="pct"/>
                </w:tcPr>
                <w:p w14:paraId="62680AA7"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c>
                <w:tcPr>
                  <w:tcW w:w="683" w:type="pct"/>
                </w:tcPr>
                <w:p w14:paraId="4C6D8D99"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0.44</w:t>
                  </w:r>
                </w:p>
              </w:tc>
              <w:tc>
                <w:tcPr>
                  <w:tcW w:w="822" w:type="pct"/>
                </w:tcPr>
                <w:p w14:paraId="21DDF3C3"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c>
                <w:tcPr>
                  <w:tcW w:w="822" w:type="pct"/>
                </w:tcPr>
                <w:p w14:paraId="5ADD36C3"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0.8</w:t>
                  </w:r>
                </w:p>
              </w:tc>
            </w:tr>
            <w:tr w:rsidR="0053659F" w14:paraId="05B4EFFA" w14:textId="77777777" w:rsidTr="0053659F">
              <w:tc>
                <w:tcPr>
                  <w:tcW w:w="1572" w:type="pct"/>
                  <w:shd w:val="clear" w:color="auto" w:fill="F2F2F2" w:themeFill="background1" w:themeFillShade="F2"/>
                </w:tcPr>
                <w:p w14:paraId="2B7AAB72" w14:textId="77777777" w:rsidR="0053659F" w:rsidRDefault="0053659F" w:rsidP="0053659F">
                  <w:pPr>
                    <w:pStyle w:val="TableBodyText"/>
                    <w:jc w:val="left"/>
                  </w:pPr>
                  <w:r>
                    <w:t>Retail trade</w:t>
                  </w:r>
                </w:p>
              </w:tc>
              <w:tc>
                <w:tcPr>
                  <w:tcW w:w="417" w:type="pct"/>
                  <w:shd w:val="clear" w:color="auto" w:fill="F2F2F2" w:themeFill="background1" w:themeFillShade="F2"/>
                </w:tcPr>
                <w:p w14:paraId="1C0FED96" w14:textId="77777777" w:rsidR="0053659F" w:rsidRPr="001E676D" w:rsidRDefault="0053659F" w:rsidP="0053659F">
                  <w:pPr>
                    <w:pStyle w:val="TableBodyText"/>
                    <w:rPr>
                      <w:rFonts w:eastAsiaTheme="minorHAnsi" w:cs="Arial"/>
                      <w:color w:val="000000"/>
                      <w:szCs w:val="18"/>
                      <w:lang w:eastAsia="en-US"/>
                    </w:rPr>
                  </w:pPr>
                  <w:r>
                    <w:rPr>
                      <w:rFonts w:eastAsiaTheme="minorHAnsi" w:cs="Arial"/>
                      <w:color w:val="000000"/>
                      <w:szCs w:val="18"/>
                      <w:lang w:eastAsia="en-US"/>
                    </w:rPr>
                    <w:noBreakHyphen/>
                  </w:r>
                  <w:r w:rsidRPr="001E676D">
                    <w:rPr>
                      <w:rFonts w:eastAsiaTheme="minorHAnsi" w:cs="Arial"/>
                      <w:color w:val="000000"/>
                      <w:szCs w:val="18"/>
                      <w:lang w:eastAsia="en-US"/>
                    </w:rPr>
                    <w:t>0.5</w:t>
                  </w:r>
                </w:p>
              </w:tc>
              <w:tc>
                <w:tcPr>
                  <w:tcW w:w="685" w:type="pct"/>
                  <w:shd w:val="clear" w:color="auto" w:fill="F2F2F2" w:themeFill="background1" w:themeFillShade="F2"/>
                </w:tcPr>
                <w:p w14:paraId="2A1A5DAC" w14:textId="77777777" w:rsidR="0053659F" w:rsidRPr="001E676D" w:rsidRDefault="0053659F" w:rsidP="0053659F">
                  <w:pPr>
                    <w:pStyle w:val="TableBodyText"/>
                    <w:rPr>
                      <w:rFonts w:eastAsiaTheme="minorHAnsi" w:cs="Arial"/>
                      <w:color w:val="000000"/>
                      <w:szCs w:val="18"/>
                      <w:lang w:eastAsia="en-US"/>
                    </w:rPr>
                  </w:pPr>
                  <w:r>
                    <w:rPr>
                      <w:rFonts w:eastAsiaTheme="minorHAnsi" w:cs="Arial"/>
                      <w:color w:val="000000"/>
                      <w:szCs w:val="18"/>
                      <w:lang w:eastAsia="en-US"/>
                    </w:rPr>
                    <w:noBreakHyphen/>
                  </w:r>
                  <w:r w:rsidRPr="001E676D">
                    <w:rPr>
                      <w:rFonts w:eastAsiaTheme="minorHAnsi" w:cs="Arial"/>
                      <w:color w:val="000000"/>
                      <w:szCs w:val="18"/>
                      <w:lang w:eastAsia="en-US"/>
                    </w:rPr>
                    <w:t>5.3</w:t>
                  </w:r>
                </w:p>
              </w:tc>
              <w:tc>
                <w:tcPr>
                  <w:tcW w:w="683" w:type="pct"/>
                  <w:shd w:val="clear" w:color="auto" w:fill="F2F2F2" w:themeFill="background1" w:themeFillShade="F2"/>
                </w:tcPr>
                <w:p w14:paraId="50886294" w14:textId="77777777" w:rsidR="0053659F" w:rsidRPr="001E676D" w:rsidRDefault="0053659F" w:rsidP="0053659F">
                  <w:pPr>
                    <w:pStyle w:val="TableBodyText"/>
                    <w:ind w:right="28"/>
                    <w:rPr>
                      <w:rFonts w:eastAsiaTheme="minorHAnsi" w:cs="Arial"/>
                      <w:color w:val="000000"/>
                      <w:szCs w:val="18"/>
                      <w:lang w:eastAsia="en-US"/>
                    </w:rPr>
                  </w:pPr>
                  <w:r>
                    <w:rPr>
                      <w:rFonts w:eastAsiaTheme="minorHAnsi" w:cs="Arial"/>
                      <w:color w:val="000000"/>
                      <w:szCs w:val="18"/>
                      <w:lang w:eastAsia="en-US"/>
                    </w:rPr>
                    <w:noBreakHyphen/>
                  </w:r>
                  <w:r w:rsidRPr="001E676D">
                    <w:rPr>
                      <w:rFonts w:eastAsiaTheme="minorHAnsi" w:cs="Arial"/>
                      <w:color w:val="000000"/>
                      <w:szCs w:val="18"/>
                      <w:lang w:eastAsia="en-US"/>
                    </w:rPr>
                    <w:t>0.4</w:t>
                  </w:r>
                </w:p>
              </w:tc>
              <w:tc>
                <w:tcPr>
                  <w:tcW w:w="822" w:type="pct"/>
                  <w:shd w:val="clear" w:color="auto" w:fill="F2F2F2" w:themeFill="background1" w:themeFillShade="F2"/>
                </w:tcPr>
                <w:p w14:paraId="1B3AB277" w14:textId="77777777" w:rsidR="0053659F" w:rsidRPr="001E676D" w:rsidRDefault="0053659F" w:rsidP="0053659F">
                  <w:pPr>
                    <w:pStyle w:val="TableBodyText"/>
                    <w:ind w:right="28"/>
                    <w:rPr>
                      <w:rFonts w:eastAsiaTheme="minorHAnsi" w:cs="Arial"/>
                      <w:color w:val="000000"/>
                      <w:szCs w:val="18"/>
                      <w:lang w:eastAsia="en-US"/>
                    </w:rPr>
                  </w:pPr>
                  <w:r w:rsidRPr="001E676D">
                    <w:rPr>
                      <w:rFonts w:eastAsiaTheme="minorHAnsi" w:cs="Arial"/>
                      <w:color w:val="000000"/>
                      <w:szCs w:val="18"/>
                      <w:lang w:eastAsia="en-US"/>
                    </w:rPr>
                    <w:t>5.1</w:t>
                  </w:r>
                </w:p>
              </w:tc>
              <w:tc>
                <w:tcPr>
                  <w:tcW w:w="822" w:type="pct"/>
                  <w:shd w:val="clear" w:color="auto" w:fill="F2F2F2" w:themeFill="background1" w:themeFillShade="F2"/>
                </w:tcPr>
                <w:p w14:paraId="35DD4BE2" w14:textId="77777777" w:rsidR="0053659F" w:rsidRPr="001E676D" w:rsidRDefault="0053659F" w:rsidP="0053659F">
                  <w:pPr>
                    <w:pStyle w:val="TableBodyText"/>
                    <w:ind w:right="28"/>
                    <w:rPr>
                      <w:rFonts w:eastAsiaTheme="minorHAnsi" w:cs="Arial"/>
                      <w:color w:val="000000"/>
                      <w:szCs w:val="18"/>
                      <w:lang w:eastAsia="en-US"/>
                    </w:rPr>
                  </w:pPr>
                  <w:r w:rsidRPr="001E676D">
                    <w:rPr>
                      <w:rFonts w:eastAsiaTheme="minorHAnsi" w:cs="Arial"/>
                      <w:color w:val="000000"/>
                      <w:szCs w:val="18"/>
                      <w:lang w:eastAsia="en-US"/>
                    </w:rPr>
                    <w:t>3.6</w:t>
                  </w:r>
                </w:p>
              </w:tc>
            </w:tr>
            <w:tr w:rsidR="0053659F" w14:paraId="5357D01B" w14:textId="77777777" w:rsidTr="0053659F">
              <w:tc>
                <w:tcPr>
                  <w:tcW w:w="1572" w:type="pct"/>
                </w:tcPr>
                <w:p w14:paraId="0966F941" w14:textId="77777777" w:rsidR="0053659F" w:rsidRDefault="0053659F" w:rsidP="0053659F">
                  <w:pPr>
                    <w:pStyle w:val="TableBodyText"/>
                    <w:jc w:val="left"/>
                  </w:pPr>
                  <w:r>
                    <w:t>Accommodation and food services</w:t>
                  </w:r>
                </w:p>
              </w:tc>
              <w:tc>
                <w:tcPr>
                  <w:tcW w:w="417" w:type="pct"/>
                </w:tcPr>
                <w:p w14:paraId="4E74E544"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11</w:t>
                  </w:r>
                </w:p>
              </w:tc>
              <w:tc>
                <w:tcPr>
                  <w:tcW w:w="685" w:type="pct"/>
                </w:tcPr>
                <w:p w14:paraId="758C3372"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10.8</w:t>
                  </w:r>
                </w:p>
              </w:tc>
              <w:tc>
                <w:tcPr>
                  <w:tcW w:w="683" w:type="pct"/>
                </w:tcPr>
                <w:p w14:paraId="1E9EA323"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0.09</w:t>
                  </w:r>
                </w:p>
              </w:tc>
              <w:tc>
                <w:tcPr>
                  <w:tcW w:w="822" w:type="pct"/>
                </w:tcPr>
                <w:p w14:paraId="46E53FF8"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0.3</w:t>
                  </w:r>
                </w:p>
              </w:tc>
              <w:tc>
                <w:tcPr>
                  <w:tcW w:w="822" w:type="pct"/>
                </w:tcPr>
                <w:p w14:paraId="63D3E728"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2.8</w:t>
                  </w:r>
                </w:p>
              </w:tc>
            </w:tr>
            <w:tr w:rsidR="0053659F" w14:paraId="0AF73180" w14:textId="77777777" w:rsidTr="0053659F">
              <w:trPr>
                <w:trHeight w:val="356"/>
              </w:trPr>
              <w:tc>
                <w:tcPr>
                  <w:tcW w:w="1572" w:type="pct"/>
                  <w:shd w:val="clear" w:color="auto" w:fill="F2F2F2" w:themeFill="background1" w:themeFillShade="F2"/>
                </w:tcPr>
                <w:p w14:paraId="6AD78F32" w14:textId="77777777" w:rsidR="0053659F" w:rsidRDefault="0053659F" w:rsidP="0053659F">
                  <w:pPr>
                    <w:pStyle w:val="TableBodyText"/>
                    <w:jc w:val="left"/>
                  </w:pPr>
                  <w:r>
                    <w:t>Transport, postal and warehousing</w:t>
                  </w:r>
                </w:p>
              </w:tc>
              <w:tc>
                <w:tcPr>
                  <w:tcW w:w="417" w:type="pct"/>
                  <w:shd w:val="clear" w:color="auto" w:fill="F2F2F2" w:themeFill="background1" w:themeFillShade="F2"/>
                </w:tcPr>
                <w:p w14:paraId="6A9D66E0"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6.1</w:t>
                  </w:r>
                </w:p>
              </w:tc>
              <w:tc>
                <w:tcPr>
                  <w:tcW w:w="685" w:type="pct"/>
                  <w:shd w:val="clear" w:color="auto" w:fill="F2F2F2" w:themeFill="background1" w:themeFillShade="F2"/>
                </w:tcPr>
                <w:p w14:paraId="33808700"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6.1</w:t>
                  </w:r>
                </w:p>
              </w:tc>
              <w:tc>
                <w:tcPr>
                  <w:tcW w:w="683" w:type="pct"/>
                  <w:shd w:val="clear" w:color="auto" w:fill="F2F2F2" w:themeFill="background1" w:themeFillShade="F2"/>
                </w:tcPr>
                <w:p w14:paraId="64C7ECDB"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2.92</w:t>
                  </w:r>
                </w:p>
              </w:tc>
              <w:tc>
                <w:tcPr>
                  <w:tcW w:w="822" w:type="pct"/>
                  <w:shd w:val="clear" w:color="auto" w:fill="F2F2F2" w:themeFill="background1" w:themeFillShade="F2"/>
                </w:tcPr>
                <w:p w14:paraId="64D66FF0"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0</w:t>
                  </w:r>
                </w:p>
              </w:tc>
              <w:tc>
                <w:tcPr>
                  <w:tcW w:w="822" w:type="pct"/>
                  <w:shd w:val="clear" w:color="auto" w:fill="F2F2F2" w:themeFill="background1" w:themeFillShade="F2"/>
                </w:tcPr>
                <w:p w14:paraId="119136FD"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3.7</w:t>
                  </w:r>
                </w:p>
              </w:tc>
            </w:tr>
            <w:tr w:rsidR="0053659F" w14:paraId="63F66FAD" w14:textId="77777777" w:rsidTr="0053659F">
              <w:tc>
                <w:tcPr>
                  <w:tcW w:w="1572" w:type="pct"/>
                </w:tcPr>
                <w:p w14:paraId="4832A7B5" w14:textId="77777777" w:rsidR="0053659F" w:rsidRDefault="0053659F" w:rsidP="0053659F">
                  <w:pPr>
                    <w:pStyle w:val="TableBodyText"/>
                    <w:jc w:val="left"/>
                  </w:pPr>
                  <w:r>
                    <w:t>Information media and telecommunications</w:t>
                  </w:r>
                </w:p>
              </w:tc>
              <w:tc>
                <w:tcPr>
                  <w:tcW w:w="417" w:type="pct"/>
                </w:tcPr>
                <w:p w14:paraId="5A58AB09"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0.9</w:t>
                  </w:r>
                </w:p>
              </w:tc>
              <w:tc>
                <w:tcPr>
                  <w:tcW w:w="685" w:type="pct"/>
                </w:tcPr>
                <w:p w14:paraId="16A661C5"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6.1</w:t>
                  </w:r>
                </w:p>
              </w:tc>
              <w:tc>
                <w:tcPr>
                  <w:tcW w:w="683" w:type="pct"/>
                </w:tcPr>
                <w:p w14:paraId="080192D1"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3.73</w:t>
                  </w:r>
                </w:p>
              </w:tc>
              <w:tc>
                <w:tcPr>
                  <w:tcW w:w="822" w:type="pct"/>
                </w:tcPr>
                <w:p w14:paraId="3F6A2402"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7.4</w:t>
                  </w:r>
                </w:p>
              </w:tc>
              <w:tc>
                <w:tcPr>
                  <w:tcW w:w="822" w:type="pct"/>
                </w:tcPr>
                <w:p w14:paraId="65F43086"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1.6</w:t>
                  </w:r>
                </w:p>
              </w:tc>
            </w:tr>
            <w:tr w:rsidR="0053659F" w14:paraId="455F1FD7" w14:textId="77777777" w:rsidTr="0053659F">
              <w:tc>
                <w:tcPr>
                  <w:tcW w:w="1572" w:type="pct"/>
                  <w:shd w:val="clear" w:color="auto" w:fill="F2F2F2" w:themeFill="background1" w:themeFillShade="F2"/>
                </w:tcPr>
                <w:p w14:paraId="00272860" w14:textId="77777777" w:rsidR="0053659F" w:rsidRDefault="0053659F" w:rsidP="0053659F">
                  <w:pPr>
                    <w:pStyle w:val="TableBodyText"/>
                    <w:jc w:val="left"/>
                  </w:pPr>
                  <w:r>
                    <w:t xml:space="preserve">Financial and insurance services </w:t>
                  </w:r>
                </w:p>
              </w:tc>
              <w:tc>
                <w:tcPr>
                  <w:tcW w:w="417" w:type="pct"/>
                  <w:shd w:val="clear" w:color="auto" w:fill="F2F2F2" w:themeFill="background1" w:themeFillShade="F2"/>
                </w:tcPr>
                <w:p w14:paraId="7944AD42"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1.8</w:t>
                  </w:r>
                </w:p>
              </w:tc>
              <w:tc>
                <w:tcPr>
                  <w:tcW w:w="685" w:type="pct"/>
                  <w:shd w:val="clear" w:color="auto" w:fill="F2F2F2" w:themeFill="background1" w:themeFillShade="F2"/>
                </w:tcPr>
                <w:p w14:paraId="5AB7BAA2"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2.5</w:t>
                  </w:r>
                </w:p>
              </w:tc>
              <w:tc>
                <w:tcPr>
                  <w:tcW w:w="683" w:type="pct"/>
                  <w:shd w:val="clear" w:color="auto" w:fill="F2F2F2" w:themeFill="background1" w:themeFillShade="F2"/>
                </w:tcPr>
                <w:p w14:paraId="557FB23D"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0.16</w:t>
                  </w:r>
                </w:p>
              </w:tc>
              <w:tc>
                <w:tcPr>
                  <w:tcW w:w="822" w:type="pct"/>
                  <w:shd w:val="clear" w:color="auto" w:fill="F2F2F2" w:themeFill="background1" w:themeFillShade="F2"/>
                </w:tcPr>
                <w:p w14:paraId="1EE5C2C0"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c>
                <w:tcPr>
                  <w:tcW w:w="822" w:type="pct"/>
                  <w:shd w:val="clear" w:color="auto" w:fill="F2F2F2" w:themeFill="background1" w:themeFillShade="F2"/>
                </w:tcPr>
                <w:p w14:paraId="6F6D0B80"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0.9</w:t>
                  </w:r>
                </w:p>
              </w:tc>
            </w:tr>
            <w:tr w:rsidR="0053659F" w14:paraId="603D01A5" w14:textId="77777777" w:rsidTr="0053659F">
              <w:tc>
                <w:tcPr>
                  <w:tcW w:w="1572" w:type="pct"/>
                </w:tcPr>
                <w:p w14:paraId="6D555C23" w14:textId="77777777" w:rsidR="0053659F" w:rsidRDefault="0053659F" w:rsidP="0053659F">
                  <w:pPr>
                    <w:pStyle w:val="TableBodyText"/>
                    <w:jc w:val="left"/>
                  </w:pPr>
                  <w:r>
                    <w:t>Rental, hiring and real estate services</w:t>
                  </w:r>
                </w:p>
              </w:tc>
              <w:tc>
                <w:tcPr>
                  <w:tcW w:w="417" w:type="pct"/>
                </w:tcPr>
                <w:p w14:paraId="7EBC8D2B"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2.1</w:t>
                  </w:r>
                </w:p>
              </w:tc>
              <w:tc>
                <w:tcPr>
                  <w:tcW w:w="685" w:type="pct"/>
                </w:tcPr>
                <w:p w14:paraId="22809E8A"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2</w:t>
                  </w:r>
                </w:p>
              </w:tc>
              <w:tc>
                <w:tcPr>
                  <w:tcW w:w="683" w:type="pct"/>
                </w:tcPr>
                <w:p w14:paraId="3B4EC79C"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2.26</w:t>
                  </w:r>
                </w:p>
              </w:tc>
              <w:tc>
                <w:tcPr>
                  <w:tcW w:w="822" w:type="pct"/>
                </w:tcPr>
                <w:p w14:paraId="584C7D58"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4.1</w:t>
                  </w:r>
                </w:p>
              </w:tc>
              <w:tc>
                <w:tcPr>
                  <w:tcW w:w="822" w:type="pct"/>
                </w:tcPr>
                <w:p w14:paraId="0971725D"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4.2</w:t>
                  </w:r>
                </w:p>
              </w:tc>
            </w:tr>
            <w:tr w:rsidR="0053659F" w14:paraId="000C3DFA" w14:textId="77777777" w:rsidTr="0053659F">
              <w:tc>
                <w:tcPr>
                  <w:tcW w:w="1572" w:type="pct"/>
                  <w:shd w:val="clear" w:color="auto" w:fill="F2F2F2" w:themeFill="background1" w:themeFillShade="F2"/>
                </w:tcPr>
                <w:p w14:paraId="1F75090F" w14:textId="77777777" w:rsidR="0053659F" w:rsidRDefault="0053659F" w:rsidP="0053659F">
                  <w:pPr>
                    <w:pStyle w:val="TableBodyText"/>
                    <w:jc w:val="left"/>
                  </w:pPr>
                  <w:r>
                    <w:t>Professional, scientific and technical services</w:t>
                  </w:r>
                </w:p>
              </w:tc>
              <w:tc>
                <w:tcPr>
                  <w:tcW w:w="417" w:type="pct"/>
                  <w:shd w:val="clear" w:color="auto" w:fill="F2F2F2" w:themeFill="background1" w:themeFillShade="F2"/>
                </w:tcPr>
                <w:p w14:paraId="67E9506D"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2.6</w:t>
                  </w:r>
                </w:p>
              </w:tc>
              <w:tc>
                <w:tcPr>
                  <w:tcW w:w="685" w:type="pct"/>
                  <w:shd w:val="clear" w:color="auto" w:fill="F2F2F2" w:themeFill="background1" w:themeFillShade="F2"/>
                </w:tcPr>
                <w:p w14:paraId="7CBF467A"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3.2</w:t>
                  </w:r>
                </w:p>
              </w:tc>
              <w:tc>
                <w:tcPr>
                  <w:tcW w:w="683" w:type="pct"/>
                  <w:shd w:val="clear" w:color="auto" w:fill="F2F2F2" w:themeFill="background1" w:themeFillShade="F2"/>
                </w:tcPr>
                <w:p w14:paraId="50FFB134"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3.83</w:t>
                  </w:r>
                </w:p>
              </w:tc>
              <w:tc>
                <w:tcPr>
                  <w:tcW w:w="822" w:type="pct"/>
                  <w:shd w:val="clear" w:color="auto" w:fill="F2F2F2" w:themeFill="background1" w:themeFillShade="F2"/>
                </w:tcPr>
                <w:p w14:paraId="7C3DED88"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0.6</w:t>
                  </w:r>
                </w:p>
              </w:tc>
              <w:tc>
                <w:tcPr>
                  <w:tcW w:w="822" w:type="pct"/>
                  <w:shd w:val="clear" w:color="auto" w:fill="F2F2F2" w:themeFill="background1" w:themeFillShade="F2"/>
                </w:tcPr>
                <w:p w14:paraId="6ECE6BD8"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0.7</w:t>
                  </w:r>
                </w:p>
              </w:tc>
            </w:tr>
            <w:tr w:rsidR="0053659F" w14:paraId="56FCD987" w14:textId="77777777" w:rsidTr="0053659F">
              <w:tc>
                <w:tcPr>
                  <w:tcW w:w="1572" w:type="pct"/>
                </w:tcPr>
                <w:p w14:paraId="70B240B6" w14:textId="77777777" w:rsidR="0053659F" w:rsidRDefault="0053659F" w:rsidP="0053659F">
                  <w:pPr>
                    <w:pStyle w:val="TableBodyText"/>
                    <w:jc w:val="left"/>
                  </w:pPr>
                  <w:r>
                    <w:t>Administrative and support services</w:t>
                  </w:r>
                </w:p>
              </w:tc>
              <w:tc>
                <w:tcPr>
                  <w:tcW w:w="417" w:type="pct"/>
                </w:tcPr>
                <w:p w14:paraId="01697C5C"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4.9</w:t>
                  </w:r>
                </w:p>
              </w:tc>
              <w:tc>
                <w:tcPr>
                  <w:tcW w:w="685" w:type="pct"/>
                </w:tcPr>
                <w:p w14:paraId="46D48873"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3.4</w:t>
                  </w:r>
                </w:p>
              </w:tc>
              <w:tc>
                <w:tcPr>
                  <w:tcW w:w="683" w:type="pct"/>
                </w:tcPr>
                <w:p w14:paraId="62837200"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0.83</w:t>
                  </w:r>
                </w:p>
              </w:tc>
              <w:tc>
                <w:tcPr>
                  <w:tcW w:w="822" w:type="pct"/>
                </w:tcPr>
                <w:p w14:paraId="67B96794"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8</w:t>
                  </w:r>
                </w:p>
              </w:tc>
              <w:tc>
                <w:tcPr>
                  <w:tcW w:w="822" w:type="pct"/>
                </w:tcPr>
                <w:p w14:paraId="4EC78317"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7.8</w:t>
                  </w:r>
                </w:p>
              </w:tc>
            </w:tr>
            <w:tr w:rsidR="0053659F" w14:paraId="4EE51B6D" w14:textId="77777777" w:rsidTr="0053659F">
              <w:tc>
                <w:tcPr>
                  <w:tcW w:w="1572" w:type="pct"/>
                  <w:shd w:val="clear" w:color="auto" w:fill="F2F2F2" w:themeFill="background1" w:themeFillShade="F2"/>
                </w:tcPr>
                <w:p w14:paraId="3D31F785" w14:textId="77777777" w:rsidR="0053659F" w:rsidRDefault="0053659F" w:rsidP="0053659F">
                  <w:pPr>
                    <w:pStyle w:val="TableBodyText"/>
                    <w:jc w:val="left"/>
                  </w:pPr>
                  <w:r>
                    <w:t>Arts and recreation services</w:t>
                  </w:r>
                </w:p>
              </w:tc>
              <w:tc>
                <w:tcPr>
                  <w:tcW w:w="417" w:type="pct"/>
                  <w:shd w:val="clear" w:color="auto" w:fill="F2F2F2" w:themeFill="background1" w:themeFillShade="F2"/>
                </w:tcPr>
                <w:p w14:paraId="40F17D3D"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6.2</w:t>
                  </w:r>
                </w:p>
              </w:tc>
              <w:tc>
                <w:tcPr>
                  <w:tcW w:w="685" w:type="pct"/>
                  <w:shd w:val="clear" w:color="auto" w:fill="F2F2F2" w:themeFill="background1" w:themeFillShade="F2"/>
                </w:tcPr>
                <w:p w14:paraId="0B5E516C"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14.9</w:t>
                  </w:r>
                </w:p>
              </w:tc>
              <w:tc>
                <w:tcPr>
                  <w:tcW w:w="683" w:type="pct"/>
                  <w:shd w:val="clear" w:color="auto" w:fill="F2F2F2" w:themeFill="background1" w:themeFillShade="F2"/>
                </w:tcPr>
                <w:p w14:paraId="3C6661EB"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3.69</w:t>
                  </w:r>
                </w:p>
              </w:tc>
              <w:tc>
                <w:tcPr>
                  <w:tcW w:w="822" w:type="pct"/>
                  <w:shd w:val="clear" w:color="auto" w:fill="F2F2F2" w:themeFill="background1" w:themeFillShade="F2"/>
                </w:tcPr>
                <w:p w14:paraId="3EC74B5D"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10.2</w:t>
                  </w:r>
                </w:p>
              </w:tc>
              <w:tc>
                <w:tcPr>
                  <w:tcW w:w="822" w:type="pct"/>
                  <w:shd w:val="clear" w:color="auto" w:fill="F2F2F2" w:themeFill="background1" w:themeFillShade="F2"/>
                </w:tcPr>
                <w:p w14:paraId="7EA30433"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3.2</w:t>
                  </w:r>
                </w:p>
              </w:tc>
            </w:tr>
            <w:tr w:rsidR="0053659F" w14:paraId="5F25FB21" w14:textId="77777777" w:rsidTr="0053659F">
              <w:tc>
                <w:tcPr>
                  <w:tcW w:w="1572" w:type="pct"/>
                </w:tcPr>
                <w:p w14:paraId="465A0B06" w14:textId="77777777" w:rsidR="0053659F" w:rsidRDefault="0053659F" w:rsidP="0053659F">
                  <w:pPr>
                    <w:pStyle w:val="TableBodyText"/>
                    <w:jc w:val="left"/>
                  </w:pPr>
                  <w:r>
                    <w:t>Other services</w:t>
                  </w:r>
                </w:p>
              </w:tc>
              <w:tc>
                <w:tcPr>
                  <w:tcW w:w="417" w:type="pct"/>
                </w:tcPr>
                <w:p w14:paraId="0765CAA3"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5.2</w:t>
                  </w:r>
                </w:p>
              </w:tc>
              <w:tc>
                <w:tcPr>
                  <w:tcW w:w="685" w:type="pct"/>
                </w:tcPr>
                <w:p w14:paraId="671B8071"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8.2</w:t>
                  </w:r>
                </w:p>
              </w:tc>
              <w:tc>
                <w:tcPr>
                  <w:tcW w:w="683" w:type="pct"/>
                </w:tcPr>
                <w:p w14:paraId="251B55DB"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4.19</w:t>
                  </w:r>
                </w:p>
              </w:tc>
              <w:tc>
                <w:tcPr>
                  <w:tcW w:w="822" w:type="pct"/>
                </w:tcPr>
                <w:p w14:paraId="24B96E21"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3.3</w:t>
                  </w:r>
                </w:p>
              </w:tc>
              <w:tc>
                <w:tcPr>
                  <w:tcW w:w="822" w:type="pct"/>
                </w:tcPr>
                <w:p w14:paraId="78C2AAF9"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1.5</w:t>
                  </w:r>
                </w:p>
              </w:tc>
            </w:tr>
            <w:tr w:rsidR="0053659F" w14:paraId="372C8292" w14:textId="77777777" w:rsidTr="0053659F">
              <w:tc>
                <w:tcPr>
                  <w:tcW w:w="1572" w:type="pct"/>
                  <w:shd w:val="clear" w:color="auto" w:fill="E0F1F7" w:themeFill="text2" w:themeFillTint="33"/>
                </w:tcPr>
                <w:p w14:paraId="4F2017C0" w14:textId="77777777" w:rsidR="0053659F" w:rsidRPr="00930BF0" w:rsidRDefault="0053659F" w:rsidP="0053659F">
                  <w:pPr>
                    <w:pStyle w:val="TableBodyText"/>
                    <w:spacing w:before="80"/>
                    <w:jc w:val="left"/>
                    <w:rPr>
                      <w:b/>
                    </w:rPr>
                  </w:pPr>
                  <w:r w:rsidRPr="00930BF0">
                    <w:rPr>
                      <w:b/>
                    </w:rPr>
                    <w:t>Non</w:t>
                  </w:r>
                  <w:r>
                    <w:rPr>
                      <w:b/>
                    </w:rPr>
                    <w:noBreakHyphen/>
                  </w:r>
                  <w:r w:rsidRPr="00930BF0">
                    <w:rPr>
                      <w:b/>
                    </w:rPr>
                    <w:t xml:space="preserve">market sector </w:t>
                  </w:r>
                </w:p>
              </w:tc>
              <w:tc>
                <w:tcPr>
                  <w:tcW w:w="417" w:type="pct"/>
                  <w:shd w:val="clear" w:color="auto" w:fill="E0F1F7" w:themeFill="text2" w:themeFillTint="33"/>
                </w:tcPr>
                <w:p w14:paraId="1D3BF6C5" w14:textId="77777777" w:rsidR="0053659F" w:rsidRPr="001E676D" w:rsidRDefault="0053659F" w:rsidP="0053659F">
                  <w:pPr>
                    <w:pStyle w:val="TableBodyText"/>
                    <w:rPr>
                      <w:rFonts w:cs="Arial"/>
                      <w:szCs w:val="18"/>
                    </w:rPr>
                  </w:pPr>
                </w:p>
              </w:tc>
              <w:tc>
                <w:tcPr>
                  <w:tcW w:w="685" w:type="pct"/>
                  <w:shd w:val="clear" w:color="auto" w:fill="E0F1F7" w:themeFill="text2" w:themeFillTint="33"/>
                </w:tcPr>
                <w:p w14:paraId="2076AB20" w14:textId="77777777" w:rsidR="0053659F" w:rsidRPr="001E676D" w:rsidRDefault="0053659F" w:rsidP="0053659F">
                  <w:pPr>
                    <w:pStyle w:val="TableBodyText"/>
                    <w:rPr>
                      <w:rFonts w:cs="Arial"/>
                      <w:szCs w:val="18"/>
                    </w:rPr>
                  </w:pPr>
                </w:p>
              </w:tc>
              <w:tc>
                <w:tcPr>
                  <w:tcW w:w="683" w:type="pct"/>
                  <w:shd w:val="clear" w:color="auto" w:fill="E0F1F7" w:themeFill="text2" w:themeFillTint="33"/>
                </w:tcPr>
                <w:p w14:paraId="038FB003" w14:textId="77777777" w:rsidR="0053659F" w:rsidRPr="001E676D" w:rsidRDefault="0053659F" w:rsidP="0053659F">
                  <w:pPr>
                    <w:pStyle w:val="TableBodyText"/>
                    <w:ind w:right="28"/>
                    <w:rPr>
                      <w:rFonts w:cs="Arial"/>
                      <w:szCs w:val="18"/>
                    </w:rPr>
                  </w:pPr>
                </w:p>
              </w:tc>
              <w:tc>
                <w:tcPr>
                  <w:tcW w:w="822" w:type="pct"/>
                  <w:shd w:val="clear" w:color="auto" w:fill="E0F1F7" w:themeFill="text2" w:themeFillTint="33"/>
                </w:tcPr>
                <w:p w14:paraId="3A601E35" w14:textId="77777777" w:rsidR="0053659F" w:rsidRPr="001E676D" w:rsidRDefault="0053659F" w:rsidP="0053659F">
                  <w:pPr>
                    <w:pStyle w:val="TableBodyText"/>
                    <w:ind w:right="28"/>
                    <w:rPr>
                      <w:rFonts w:cs="Arial"/>
                      <w:szCs w:val="18"/>
                    </w:rPr>
                  </w:pPr>
                </w:p>
              </w:tc>
              <w:tc>
                <w:tcPr>
                  <w:tcW w:w="822" w:type="pct"/>
                  <w:shd w:val="clear" w:color="auto" w:fill="E0F1F7" w:themeFill="text2" w:themeFillTint="33"/>
                </w:tcPr>
                <w:p w14:paraId="1473BD29" w14:textId="77777777" w:rsidR="0053659F" w:rsidRPr="001E676D" w:rsidRDefault="0053659F" w:rsidP="0053659F">
                  <w:pPr>
                    <w:pStyle w:val="TableBodyText"/>
                    <w:ind w:right="28"/>
                    <w:rPr>
                      <w:rFonts w:cs="Arial"/>
                      <w:szCs w:val="18"/>
                    </w:rPr>
                  </w:pPr>
                </w:p>
              </w:tc>
            </w:tr>
            <w:tr w:rsidR="0053659F" w14:paraId="224453DC" w14:textId="77777777" w:rsidTr="0053659F">
              <w:tc>
                <w:tcPr>
                  <w:tcW w:w="1572" w:type="pct"/>
                  <w:shd w:val="clear" w:color="auto" w:fill="F2F2F2" w:themeFill="background1" w:themeFillShade="F2"/>
                </w:tcPr>
                <w:p w14:paraId="4199E91D" w14:textId="77777777" w:rsidR="0053659F" w:rsidRDefault="0053659F" w:rsidP="0053659F">
                  <w:pPr>
                    <w:pStyle w:val="TableBodyText"/>
                    <w:jc w:val="left"/>
                  </w:pPr>
                  <w:r>
                    <w:t xml:space="preserve">Public administration and safety </w:t>
                  </w:r>
                </w:p>
              </w:tc>
              <w:tc>
                <w:tcPr>
                  <w:tcW w:w="417" w:type="pct"/>
                  <w:shd w:val="clear" w:color="auto" w:fill="F2F2F2" w:themeFill="background1" w:themeFillShade="F2"/>
                </w:tcPr>
                <w:p w14:paraId="4890E1B7"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4.7</w:t>
                  </w:r>
                </w:p>
              </w:tc>
              <w:tc>
                <w:tcPr>
                  <w:tcW w:w="685" w:type="pct"/>
                  <w:shd w:val="clear" w:color="auto" w:fill="F2F2F2" w:themeFill="background1" w:themeFillShade="F2"/>
                </w:tcPr>
                <w:p w14:paraId="792FFDB2"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1.8</w:t>
                  </w:r>
                </w:p>
              </w:tc>
              <w:tc>
                <w:tcPr>
                  <w:tcW w:w="683" w:type="pct"/>
                  <w:shd w:val="clear" w:color="auto" w:fill="F2F2F2" w:themeFill="background1" w:themeFillShade="F2"/>
                </w:tcPr>
                <w:p w14:paraId="41249C29" w14:textId="77777777" w:rsidR="0053659F" w:rsidRPr="001E676D" w:rsidRDefault="0053659F" w:rsidP="0053659F">
                  <w:pPr>
                    <w:pStyle w:val="TableBodyText"/>
                    <w:ind w:right="28"/>
                    <w:rPr>
                      <w:rFonts w:cs="Arial"/>
                      <w:szCs w:val="18"/>
                    </w:rPr>
                  </w:pPr>
                  <w:r w:rsidRPr="001E676D">
                    <w:rPr>
                      <w:rFonts w:cs="Arial"/>
                      <w:szCs w:val="18"/>
                    </w:rPr>
                    <w:t>NA</w:t>
                  </w:r>
                </w:p>
              </w:tc>
              <w:tc>
                <w:tcPr>
                  <w:tcW w:w="822" w:type="pct"/>
                  <w:shd w:val="clear" w:color="auto" w:fill="F2F2F2" w:themeFill="background1" w:themeFillShade="F2"/>
                </w:tcPr>
                <w:p w14:paraId="3487AC88"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6.6</w:t>
                  </w:r>
                </w:p>
              </w:tc>
              <w:tc>
                <w:tcPr>
                  <w:tcW w:w="822" w:type="pct"/>
                  <w:shd w:val="clear" w:color="auto" w:fill="F2F2F2" w:themeFill="background1" w:themeFillShade="F2"/>
                </w:tcPr>
                <w:p w14:paraId="53F2BCDD" w14:textId="77777777" w:rsidR="0053659F" w:rsidRPr="001E676D" w:rsidRDefault="0053659F" w:rsidP="0053659F">
                  <w:pPr>
                    <w:pStyle w:val="TableBodyText"/>
                    <w:ind w:right="28"/>
                    <w:rPr>
                      <w:rFonts w:cs="Arial"/>
                      <w:szCs w:val="18"/>
                    </w:rPr>
                  </w:pPr>
                  <w:r w:rsidRPr="001E676D">
                    <w:rPr>
                      <w:rFonts w:cs="Arial"/>
                      <w:szCs w:val="18"/>
                    </w:rPr>
                    <w:t>NA</w:t>
                  </w:r>
                </w:p>
              </w:tc>
            </w:tr>
            <w:tr w:rsidR="0053659F" w14:paraId="7D6B7DE1" w14:textId="77777777" w:rsidTr="0053659F">
              <w:tc>
                <w:tcPr>
                  <w:tcW w:w="1572" w:type="pct"/>
                </w:tcPr>
                <w:p w14:paraId="3251F624" w14:textId="77777777" w:rsidR="0053659F" w:rsidRDefault="0053659F" w:rsidP="0053659F">
                  <w:pPr>
                    <w:pStyle w:val="TableBodyText"/>
                    <w:jc w:val="left"/>
                  </w:pPr>
                  <w:r>
                    <w:t>Education and training</w:t>
                  </w:r>
                </w:p>
              </w:tc>
              <w:tc>
                <w:tcPr>
                  <w:tcW w:w="417" w:type="pct"/>
                </w:tcPr>
                <w:p w14:paraId="0D5C870B"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1.8</w:t>
                  </w:r>
                </w:p>
              </w:tc>
              <w:tc>
                <w:tcPr>
                  <w:tcW w:w="685" w:type="pct"/>
                </w:tcPr>
                <w:p w14:paraId="31B55ACF" w14:textId="77777777" w:rsidR="0053659F" w:rsidRPr="001E676D" w:rsidRDefault="0053659F" w:rsidP="0053659F">
                  <w:pPr>
                    <w:pStyle w:val="TableBodyText"/>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1.6</w:t>
                  </w:r>
                </w:p>
              </w:tc>
              <w:tc>
                <w:tcPr>
                  <w:tcW w:w="683" w:type="pct"/>
                </w:tcPr>
                <w:p w14:paraId="15697851" w14:textId="77777777" w:rsidR="0053659F" w:rsidRPr="001E676D" w:rsidRDefault="0053659F" w:rsidP="0053659F">
                  <w:pPr>
                    <w:pStyle w:val="TableBodyText"/>
                    <w:ind w:right="28"/>
                    <w:rPr>
                      <w:rFonts w:cs="Arial"/>
                      <w:szCs w:val="18"/>
                    </w:rPr>
                  </w:pPr>
                  <w:r w:rsidRPr="001E676D">
                    <w:rPr>
                      <w:rFonts w:cs="Arial"/>
                      <w:szCs w:val="18"/>
                    </w:rPr>
                    <w:t>NA</w:t>
                  </w:r>
                </w:p>
              </w:tc>
              <w:tc>
                <w:tcPr>
                  <w:tcW w:w="822" w:type="pct"/>
                </w:tcPr>
                <w:p w14:paraId="0A3968FC" w14:textId="77777777" w:rsidR="0053659F" w:rsidRPr="001E676D" w:rsidRDefault="0053659F" w:rsidP="0053659F">
                  <w:pPr>
                    <w:pStyle w:val="TableBodyText"/>
                    <w:ind w:right="28"/>
                    <w:rPr>
                      <w:rFonts w:cs="Arial"/>
                      <w:szCs w:val="18"/>
                    </w:rPr>
                  </w:pPr>
                  <w:r w:rsidRPr="001E676D">
                    <w:rPr>
                      <w:rFonts w:eastAsiaTheme="minorHAnsi" w:cs="Arial"/>
                      <w:color w:val="000000"/>
                      <w:szCs w:val="18"/>
                      <w:lang w:eastAsia="en-US"/>
                    </w:rPr>
                    <w:t>3.5</w:t>
                  </w:r>
                </w:p>
              </w:tc>
              <w:tc>
                <w:tcPr>
                  <w:tcW w:w="822" w:type="pct"/>
                </w:tcPr>
                <w:p w14:paraId="577D4FCE" w14:textId="77777777" w:rsidR="0053659F" w:rsidRPr="001E676D" w:rsidRDefault="0053659F" w:rsidP="0053659F">
                  <w:pPr>
                    <w:pStyle w:val="TableBodyText"/>
                    <w:ind w:right="28"/>
                    <w:rPr>
                      <w:rFonts w:cs="Arial"/>
                      <w:szCs w:val="18"/>
                    </w:rPr>
                  </w:pPr>
                  <w:r w:rsidRPr="001E676D">
                    <w:rPr>
                      <w:rFonts w:cs="Arial"/>
                      <w:szCs w:val="18"/>
                    </w:rPr>
                    <w:t>NA</w:t>
                  </w:r>
                </w:p>
              </w:tc>
            </w:tr>
            <w:tr w:rsidR="0053659F" w14:paraId="7CFBBAF7" w14:textId="77777777" w:rsidTr="0053659F">
              <w:tc>
                <w:tcPr>
                  <w:tcW w:w="1572" w:type="pct"/>
                  <w:shd w:val="clear" w:color="auto" w:fill="F2F2F2" w:themeFill="background1" w:themeFillShade="F2"/>
                </w:tcPr>
                <w:p w14:paraId="1FC91E18" w14:textId="77777777" w:rsidR="0053659F" w:rsidRDefault="0053659F" w:rsidP="0053659F">
                  <w:pPr>
                    <w:pStyle w:val="TableBodyText"/>
                    <w:jc w:val="left"/>
                  </w:pPr>
                  <w:r>
                    <w:t xml:space="preserve">Health care and social assistance </w:t>
                  </w:r>
                </w:p>
              </w:tc>
              <w:tc>
                <w:tcPr>
                  <w:tcW w:w="417" w:type="pct"/>
                  <w:shd w:val="clear" w:color="auto" w:fill="F2F2F2" w:themeFill="background1" w:themeFillShade="F2"/>
                </w:tcPr>
                <w:p w14:paraId="01945437"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4.4</w:t>
                  </w:r>
                </w:p>
              </w:tc>
              <w:tc>
                <w:tcPr>
                  <w:tcW w:w="685" w:type="pct"/>
                  <w:shd w:val="clear" w:color="auto" w:fill="F2F2F2" w:themeFill="background1" w:themeFillShade="F2"/>
                </w:tcPr>
                <w:p w14:paraId="326F7F20" w14:textId="77777777" w:rsidR="0053659F" w:rsidRPr="001E676D" w:rsidRDefault="0053659F" w:rsidP="0053659F">
                  <w:pPr>
                    <w:pStyle w:val="TableBodyText"/>
                    <w:rPr>
                      <w:rFonts w:cs="Arial"/>
                      <w:szCs w:val="18"/>
                    </w:rPr>
                  </w:pPr>
                  <w:r w:rsidRPr="001E676D">
                    <w:rPr>
                      <w:rFonts w:eastAsiaTheme="minorHAnsi" w:cs="Arial"/>
                      <w:color w:val="000000"/>
                      <w:szCs w:val="18"/>
                      <w:lang w:eastAsia="en-US"/>
                    </w:rPr>
                    <w:t>6.3</w:t>
                  </w:r>
                </w:p>
              </w:tc>
              <w:tc>
                <w:tcPr>
                  <w:tcW w:w="683" w:type="pct"/>
                  <w:shd w:val="clear" w:color="auto" w:fill="F2F2F2" w:themeFill="background1" w:themeFillShade="F2"/>
                </w:tcPr>
                <w:p w14:paraId="7A6CAA7E" w14:textId="77777777" w:rsidR="0053659F" w:rsidRPr="001E676D" w:rsidRDefault="0053659F" w:rsidP="0053659F">
                  <w:pPr>
                    <w:pStyle w:val="TableBodyText"/>
                    <w:ind w:right="28"/>
                    <w:rPr>
                      <w:rFonts w:cs="Arial"/>
                      <w:szCs w:val="18"/>
                    </w:rPr>
                  </w:pPr>
                  <w:r w:rsidRPr="001E676D">
                    <w:rPr>
                      <w:rFonts w:cs="Arial"/>
                      <w:szCs w:val="18"/>
                    </w:rPr>
                    <w:t>NA</w:t>
                  </w:r>
                </w:p>
              </w:tc>
              <w:tc>
                <w:tcPr>
                  <w:tcW w:w="822" w:type="pct"/>
                  <w:shd w:val="clear" w:color="auto" w:fill="F2F2F2" w:themeFill="background1" w:themeFillShade="F2"/>
                </w:tcPr>
                <w:p w14:paraId="35D58E23" w14:textId="77777777" w:rsidR="0053659F" w:rsidRPr="001E676D" w:rsidRDefault="0053659F" w:rsidP="0053659F">
                  <w:pPr>
                    <w:pStyle w:val="TableBodyText"/>
                    <w:ind w:right="28"/>
                    <w:rPr>
                      <w:rFonts w:cs="Arial"/>
                      <w:szCs w:val="18"/>
                    </w:rPr>
                  </w:pPr>
                  <w:r>
                    <w:rPr>
                      <w:rFonts w:eastAsiaTheme="minorHAnsi" w:cs="Arial"/>
                      <w:color w:val="000000"/>
                      <w:szCs w:val="18"/>
                      <w:lang w:eastAsia="en-US"/>
                    </w:rPr>
                    <w:noBreakHyphen/>
                  </w:r>
                  <w:r w:rsidRPr="001E676D">
                    <w:rPr>
                      <w:rFonts w:eastAsiaTheme="minorHAnsi" w:cs="Arial"/>
                      <w:color w:val="000000"/>
                      <w:szCs w:val="18"/>
                      <w:lang w:eastAsia="en-US"/>
                    </w:rPr>
                    <w:t>1.8</w:t>
                  </w:r>
                </w:p>
              </w:tc>
              <w:tc>
                <w:tcPr>
                  <w:tcW w:w="822" w:type="pct"/>
                  <w:shd w:val="clear" w:color="auto" w:fill="F2F2F2" w:themeFill="background1" w:themeFillShade="F2"/>
                </w:tcPr>
                <w:p w14:paraId="5CBA953A" w14:textId="77777777" w:rsidR="0053659F" w:rsidRPr="001E676D" w:rsidRDefault="0053659F" w:rsidP="0053659F">
                  <w:pPr>
                    <w:pStyle w:val="TableBodyText"/>
                    <w:ind w:right="28"/>
                    <w:rPr>
                      <w:rFonts w:cs="Arial"/>
                      <w:szCs w:val="18"/>
                    </w:rPr>
                  </w:pPr>
                  <w:r w:rsidRPr="001E676D">
                    <w:rPr>
                      <w:rFonts w:cs="Arial"/>
                      <w:szCs w:val="18"/>
                    </w:rPr>
                    <w:t>NA</w:t>
                  </w:r>
                </w:p>
              </w:tc>
            </w:tr>
            <w:tr w:rsidR="0053659F" w14:paraId="41D736F8" w14:textId="77777777" w:rsidTr="00E53D79">
              <w:tc>
                <w:tcPr>
                  <w:tcW w:w="1572" w:type="pct"/>
                  <w:tcBorders>
                    <w:bottom w:val="single" w:sz="6" w:space="0" w:color="BFBFBF"/>
                  </w:tcBorders>
                  <w:shd w:val="clear" w:color="auto" w:fill="E0F1F7" w:themeFill="text2" w:themeFillTint="33"/>
                </w:tcPr>
                <w:p w14:paraId="6040A152" w14:textId="77777777" w:rsidR="0053659F" w:rsidRPr="00E8510B" w:rsidRDefault="0053659F" w:rsidP="0053659F">
                  <w:pPr>
                    <w:pStyle w:val="TableBodyText"/>
                    <w:jc w:val="left"/>
                    <w:rPr>
                      <w:b/>
                    </w:rPr>
                  </w:pPr>
                  <w:r w:rsidRPr="00E8510B">
                    <w:rPr>
                      <w:b/>
                    </w:rPr>
                    <w:t xml:space="preserve">All industries </w:t>
                  </w:r>
                </w:p>
              </w:tc>
              <w:tc>
                <w:tcPr>
                  <w:tcW w:w="417" w:type="pct"/>
                  <w:tcBorders>
                    <w:bottom w:val="single" w:sz="6" w:space="0" w:color="BFBFBF"/>
                  </w:tcBorders>
                  <w:shd w:val="clear" w:color="auto" w:fill="E0F1F7" w:themeFill="text2" w:themeFillTint="33"/>
                </w:tcPr>
                <w:p w14:paraId="2A79AFEA" w14:textId="77777777" w:rsidR="0053659F" w:rsidRPr="00E8510B" w:rsidRDefault="0053659F" w:rsidP="0053659F">
                  <w:pPr>
                    <w:pStyle w:val="TableBodyText"/>
                    <w:rPr>
                      <w:rFonts w:cs="Arial"/>
                      <w:b/>
                      <w:szCs w:val="18"/>
                    </w:rPr>
                  </w:pPr>
                  <w:r w:rsidRPr="00E8510B">
                    <w:rPr>
                      <w:rFonts w:eastAsiaTheme="minorHAnsi" w:cs="Arial"/>
                      <w:b/>
                      <w:color w:val="000000"/>
                      <w:szCs w:val="18"/>
                      <w:lang w:eastAsia="en-US"/>
                    </w:rPr>
                    <w:t>0</w:t>
                  </w:r>
                </w:p>
              </w:tc>
              <w:tc>
                <w:tcPr>
                  <w:tcW w:w="685" w:type="pct"/>
                  <w:tcBorders>
                    <w:bottom w:val="single" w:sz="6" w:space="0" w:color="BFBFBF"/>
                  </w:tcBorders>
                  <w:shd w:val="clear" w:color="auto" w:fill="E0F1F7" w:themeFill="text2" w:themeFillTint="33"/>
                </w:tcPr>
                <w:p w14:paraId="195E77C8" w14:textId="77777777" w:rsidR="0053659F" w:rsidRPr="00E8510B" w:rsidRDefault="0053659F" w:rsidP="0053659F">
                  <w:pPr>
                    <w:pStyle w:val="TableBodyText"/>
                    <w:rPr>
                      <w:rFonts w:cs="Arial"/>
                      <w:b/>
                      <w:szCs w:val="18"/>
                    </w:rPr>
                  </w:pPr>
                  <w:r w:rsidRPr="00E8510B">
                    <w:rPr>
                      <w:rFonts w:eastAsiaTheme="minorHAnsi" w:cs="Arial"/>
                      <w:b/>
                      <w:color w:val="000000"/>
                      <w:szCs w:val="18"/>
                      <w:lang w:eastAsia="en-US"/>
                    </w:rPr>
                    <w:noBreakHyphen/>
                    <w:t>0.8</w:t>
                  </w:r>
                </w:p>
              </w:tc>
              <w:tc>
                <w:tcPr>
                  <w:tcW w:w="683" w:type="pct"/>
                  <w:tcBorders>
                    <w:bottom w:val="single" w:sz="6" w:space="0" w:color="BFBFBF"/>
                  </w:tcBorders>
                  <w:shd w:val="clear" w:color="auto" w:fill="E0F1F7" w:themeFill="text2" w:themeFillTint="33"/>
                </w:tcPr>
                <w:p w14:paraId="5825E9FA" w14:textId="77777777" w:rsidR="0053659F" w:rsidRPr="00E8510B" w:rsidRDefault="0053659F" w:rsidP="0053659F">
                  <w:pPr>
                    <w:pStyle w:val="TableBodyText"/>
                    <w:ind w:right="28"/>
                    <w:rPr>
                      <w:rFonts w:cs="Arial"/>
                      <w:b/>
                      <w:szCs w:val="18"/>
                    </w:rPr>
                  </w:pPr>
                  <w:r w:rsidRPr="00E8510B">
                    <w:rPr>
                      <w:rFonts w:cs="Arial"/>
                      <w:b/>
                      <w:szCs w:val="18"/>
                    </w:rPr>
                    <w:t>NA</w:t>
                  </w:r>
                </w:p>
              </w:tc>
              <w:tc>
                <w:tcPr>
                  <w:tcW w:w="822" w:type="pct"/>
                  <w:tcBorders>
                    <w:bottom w:val="single" w:sz="6" w:space="0" w:color="BFBFBF"/>
                  </w:tcBorders>
                  <w:shd w:val="clear" w:color="auto" w:fill="E0F1F7" w:themeFill="text2" w:themeFillTint="33"/>
                </w:tcPr>
                <w:p w14:paraId="418E101C" w14:textId="77777777" w:rsidR="0053659F" w:rsidRPr="00E8510B" w:rsidRDefault="0053659F" w:rsidP="0053659F">
                  <w:pPr>
                    <w:pStyle w:val="TableBodyText"/>
                    <w:ind w:right="28"/>
                    <w:rPr>
                      <w:rFonts w:cs="Arial"/>
                      <w:b/>
                      <w:szCs w:val="18"/>
                    </w:rPr>
                  </w:pPr>
                  <w:r w:rsidRPr="00E8510B">
                    <w:rPr>
                      <w:rFonts w:eastAsiaTheme="minorHAnsi" w:cs="Arial"/>
                      <w:b/>
                      <w:color w:val="000000"/>
                      <w:szCs w:val="18"/>
                      <w:lang w:eastAsia="en-US"/>
                    </w:rPr>
                    <w:t>0.8</w:t>
                  </w:r>
                </w:p>
              </w:tc>
              <w:tc>
                <w:tcPr>
                  <w:tcW w:w="822" w:type="pct"/>
                  <w:tcBorders>
                    <w:bottom w:val="single" w:sz="6" w:space="0" w:color="BFBFBF"/>
                  </w:tcBorders>
                  <w:shd w:val="clear" w:color="auto" w:fill="E0F1F7" w:themeFill="text2" w:themeFillTint="33"/>
                </w:tcPr>
                <w:p w14:paraId="020CD86B" w14:textId="77777777" w:rsidR="0053659F" w:rsidRPr="00E8510B" w:rsidRDefault="0053659F" w:rsidP="0053659F">
                  <w:pPr>
                    <w:pStyle w:val="TableBodyText"/>
                    <w:ind w:right="28"/>
                    <w:rPr>
                      <w:rFonts w:cs="Arial"/>
                      <w:b/>
                      <w:szCs w:val="18"/>
                    </w:rPr>
                  </w:pPr>
                  <w:r w:rsidRPr="00E8510B">
                    <w:rPr>
                      <w:rFonts w:cs="Arial"/>
                      <w:b/>
                      <w:szCs w:val="18"/>
                    </w:rPr>
                    <w:t>NA</w:t>
                  </w:r>
                </w:p>
              </w:tc>
            </w:tr>
          </w:tbl>
          <w:p w14:paraId="7864A77A" w14:textId="77777777" w:rsidR="00534098" w:rsidRDefault="00534098" w:rsidP="007A39EB">
            <w:pPr>
              <w:pStyle w:val="Box"/>
            </w:pPr>
          </w:p>
        </w:tc>
      </w:tr>
      <w:tr w:rsidR="00534098" w14:paraId="2D272894" w14:textId="77777777" w:rsidTr="007A39EB">
        <w:tc>
          <w:tcPr>
            <w:tcW w:w="5000" w:type="pct"/>
            <w:tcBorders>
              <w:top w:val="nil"/>
              <w:left w:val="nil"/>
              <w:bottom w:val="nil"/>
              <w:right w:val="nil"/>
            </w:tcBorders>
            <w:shd w:val="clear" w:color="auto" w:fill="auto"/>
          </w:tcPr>
          <w:p w14:paraId="088338D0" w14:textId="0048095C" w:rsidR="00534098" w:rsidRDefault="00E96970" w:rsidP="007A39EB">
            <w:pPr>
              <w:pStyle w:val="Note"/>
              <w:rPr>
                <w:i/>
              </w:rPr>
            </w:pPr>
            <w:r>
              <w:rPr>
                <w:rStyle w:val="NoteLabel"/>
              </w:rPr>
              <w:t>a</w:t>
            </w:r>
            <w:r w:rsidR="006F103E">
              <w:rPr>
                <w:rStyle w:val="NoteLabel"/>
              </w:rPr>
              <w:t xml:space="preserve"> </w:t>
            </w:r>
            <w:r w:rsidR="00534098">
              <w:t xml:space="preserve">Some figures will not appear to add correctly due to rounding to one decimal place, for example labour productivity growth and hours growth not appearing to add to GVA. </w:t>
            </w:r>
          </w:p>
        </w:tc>
      </w:tr>
      <w:tr w:rsidR="00534098" w14:paraId="5CA150D3" w14:textId="77777777" w:rsidTr="007A39EB">
        <w:tc>
          <w:tcPr>
            <w:tcW w:w="5000" w:type="pct"/>
            <w:tcBorders>
              <w:top w:val="nil"/>
              <w:left w:val="nil"/>
              <w:bottom w:val="nil"/>
              <w:right w:val="nil"/>
            </w:tcBorders>
            <w:shd w:val="clear" w:color="auto" w:fill="auto"/>
          </w:tcPr>
          <w:p w14:paraId="524C8544" w14:textId="77777777" w:rsidR="00534098" w:rsidRDefault="00534098" w:rsidP="007A39EB">
            <w:pPr>
              <w:pStyle w:val="Source"/>
            </w:pPr>
            <w:r>
              <w:t xml:space="preserve">Sources: Estimates based on: ABS (2020, </w:t>
            </w:r>
            <w:r w:rsidRPr="00E96970">
              <w:rPr>
                <w:i/>
                <w:iCs/>
              </w:rPr>
              <w:t>Australian System of National Accounts, 2019</w:t>
            </w:r>
            <w:r w:rsidRPr="00E96970">
              <w:rPr>
                <w:i/>
                <w:iCs/>
              </w:rPr>
              <w:noBreakHyphen/>
              <w:t>20</w:t>
            </w:r>
            <w:r>
              <w:t>, Cat. no. 5204.0, tables 1, 5, 15, 46 and 58); ABS (2020</w:t>
            </w:r>
            <w:r w:rsidRPr="00E96970">
              <w:rPr>
                <w:i/>
                <w:iCs/>
              </w:rPr>
              <w:t>, Estimates of Industry Multifactor Productivity, 2019</w:t>
            </w:r>
            <w:r w:rsidRPr="00E96970">
              <w:rPr>
                <w:i/>
                <w:iCs/>
              </w:rPr>
              <w:noBreakHyphen/>
              <w:t>20</w:t>
            </w:r>
            <w:r>
              <w:t>, Cat. no. 5260.0.55.002, tables 1, 6 and 14) and ABS (</w:t>
            </w:r>
            <w:r w:rsidRPr="00E96970">
              <w:rPr>
                <w:i/>
                <w:iCs/>
              </w:rPr>
              <w:t>Labour Force, Australia, Detailed, Quarterly</w:t>
            </w:r>
            <w:r>
              <w:t>, Cat no. 6291.0.55.003, Aug 2019, table 11).</w:t>
            </w:r>
          </w:p>
        </w:tc>
      </w:tr>
      <w:tr w:rsidR="00534098" w14:paraId="1B7AE5A6" w14:textId="77777777" w:rsidTr="007A39EB">
        <w:tc>
          <w:tcPr>
            <w:tcW w:w="5000" w:type="pct"/>
            <w:tcBorders>
              <w:top w:val="nil"/>
              <w:left w:val="nil"/>
              <w:bottom w:val="single" w:sz="6" w:space="0" w:color="78A22F"/>
              <w:right w:val="nil"/>
            </w:tcBorders>
            <w:shd w:val="clear" w:color="auto" w:fill="auto"/>
          </w:tcPr>
          <w:p w14:paraId="33A6A7AA" w14:textId="77777777" w:rsidR="00534098" w:rsidRDefault="00534098" w:rsidP="007A39EB">
            <w:pPr>
              <w:pStyle w:val="Box"/>
              <w:spacing w:before="0" w:line="120" w:lineRule="exact"/>
            </w:pPr>
          </w:p>
        </w:tc>
      </w:tr>
      <w:tr w:rsidR="00534098" w:rsidRPr="000863A5" w14:paraId="36ECAA6A" w14:textId="77777777" w:rsidTr="007A39EB">
        <w:tc>
          <w:tcPr>
            <w:tcW w:w="5000" w:type="pct"/>
            <w:tcBorders>
              <w:top w:val="single" w:sz="6" w:space="0" w:color="78A22F"/>
              <w:left w:val="nil"/>
              <w:bottom w:val="nil"/>
              <w:right w:val="nil"/>
            </w:tcBorders>
          </w:tcPr>
          <w:p w14:paraId="54C8D052" w14:textId="1F7F2A97" w:rsidR="00534098" w:rsidRPr="00626D32" w:rsidRDefault="00534098" w:rsidP="007A39EB">
            <w:pPr>
              <w:pStyle w:val="BoxSpaceBelow"/>
            </w:pPr>
          </w:p>
        </w:tc>
      </w:tr>
    </w:tbl>
    <w:p w14:paraId="30526912" w14:textId="6C91AA1C"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92AFCCE" w14:textId="77777777" w:rsidTr="007A39EB">
        <w:trPr>
          <w:tblHeader/>
        </w:trPr>
        <w:tc>
          <w:tcPr>
            <w:tcW w:w="5000" w:type="pct"/>
            <w:tcBorders>
              <w:top w:val="single" w:sz="6" w:space="0" w:color="78A22F"/>
              <w:left w:val="nil"/>
              <w:bottom w:val="nil"/>
              <w:right w:val="nil"/>
            </w:tcBorders>
            <w:shd w:val="clear" w:color="auto" w:fill="F2F2F2"/>
          </w:tcPr>
          <w:p w14:paraId="649592BB" w14:textId="0CEE20A1" w:rsidR="00534098" w:rsidRDefault="00534098" w:rsidP="007A39EB">
            <w:pPr>
              <w:pStyle w:val="BoxTitle"/>
            </w:pPr>
            <w:r>
              <w:rPr>
                <w:b w:val="0"/>
              </w:rPr>
              <w:t xml:space="preserve">Box </w:t>
            </w:r>
            <w:r w:rsidR="0015674B">
              <w:rPr>
                <w:b w:val="0"/>
                <w:noProof/>
              </w:rPr>
              <w:t>1</w:t>
            </w:r>
            <w:r>
              <w:tab/>
              <w:t xml:space="preserve">Productivity: a primer </w:t>
            </w:r>
          </w:p>
        </w:tc>
      </w:tr>
      <w:tr w:rsidR="00534098" w14:paraId="2B3D5527" w14:textId="77777777" w:rsidTr="007A39EB">
        <w:tc>
          <w:tcPr>
            <w:tcW w:w="5000" w:type="pct"/>
            <w:tcBorders>
              <w:top w:val="nil"/>
              <w:left w:val="nil"/>
              <w:bottom w:val="nil"/>
              <w:right w:val="nil"/>
            </w:tcBorders>
            <w:shd w:val="clear" w:color="auto" w:fill="F2F2F2"/>
          </w:tcPr>
          <w:p w14:paraId="613141C0" w14:textId="77777777" w:rsidR="00534098" w:rsidRDefault="00534098" w:rsidP="007A39EB">
            <w:pPr>
              <w:pStyle w:val="BoxHeading2"/>
            </w:pPr>
            <w:r>
              <w:t xml:space="preserve">What is productivity? </w:t>
            </w:r>
          </w:p>
          <w:p w14:paraId="39B45790" w14:textId="0687C7C1" w:rsidR="00534098" w:rsidRDefault="00534098" w:rsidP="007A39EB">
            <w:pPr>
              <w:pStyle w:val="Box"/>
            </w:pPr>
            <w:r>
              <w:t xml:space="preserve">Productivity is a measure of the rate at which output of goods and services are produced per unit of input (labour, capital, raw materials, etc.). It is calculated as the ratio of the quantity of output produced to some measure of the quantity of inputs used. Many factors can affect productivity growth. These include technological improvements, economies of scale and scope, workforce skills, management practices, changes in other inputs (such as capital), competitive pressures and the stage of the business cycle. </w:t>
            </w:r>
          </w:p>
          <w:p w14:paraId="56900FF8" w14:textId="77777777" w:rsidR="00534098" w:rsidRDefault="00534098" w:rsidP="007A39EB">
            <w:pPr>
              <w:pStyle w:val="BoxHeading2"/>
            </w:pPr>
            <w:r>
              <w:t xml:space="preserve">What are the main measures? </w:t>
            </w:r>
          </w:p>
          <w:p w14:paraId="6FC18312" w14:textId="77777777" w:rsidR="00534098" w:rsidRDefault="00534098" w:rsidP="007A39EB">
            <w:pPr>
              <w:pStyle w:val="Box"/>
            </w:pPr>
            <w:r>
              <w:t xml:space="preserve">There are two metrics that are most commonly used to measure aggregate productivity. Labour productivity is the ratio of output to hours worked. Output is typically defined as gross value added (the total value of a firm’s production minus intermediate inputs, inputs produced by other firms). Over the long term, wages generally grow in step with labour productivity and as such it is a key determinant of income growth. Multifactor productivity (MFP) is the ratio of output to combined input of labour and capital. It is generally considered to be a better measure of technological change and efficiency improvements than labour productivity. Usually, the growth in labour productivity exceeds the growth in multifactor productivity. The difference between the two is the contribution from ‘capital deepening’. That is, the accumulation of more and better capital equipment over time helps to make workers more productive. </w:t>
            </w:r>
          </w:p>
          <w:p w14:paraId="6DCE2B8B" w14:textId="77777777" w:rsidR="00534098" w:rsidRDefault="00534098" w:rsidP="007A39EB">
            <w:pPr>
              <w:pStyle w:val="BoxHeading2"/>
            </w:pPr>
            <w:r>
              <w:t>What parts of the economy are we measuring?</w:t>
            </w:r>
          </w:p>
          <w:p w14:paraId="196963D1" w14:textId="77777777" w:rsidR="00534098" w:rsidRDefault="00534098" w:rsidP="007A39EB">
            <w:pPr>
              <w:pStyle w:val="Box"/>
            </w:pPr>
            <w:r>
              <w:t xml:space="preserve">The most accurate estimates of productivity are for those industries where prices are set in markets — known as the ‘market sector’ — and where it is therefore easier to measure output (in terms of real industry gross value added). This publication provides estimates for the two market sectors used by the Australian Bureau of Statistics (ABS) — the 12 and 16 industry sectors — the latter distinguished by the fact that less historical data are available. Both labour productivity and MFP measures are available. Labour productivity can also be measured for the whole economy (in terms of real GDP per hour worked). Labour productivity measured in this way contributes to growth in living standards (commonly measured as GDP per capita) but is a poorer indicator of technological change and efficiency improvement because of the difficulty measuring output in health, education and public administration. </w:t>
            </w:r>
          </w:p>
          <w:p w14:paraId="7B270730" w14:textId="77777777" w:rsidR="00534098" w:rsidRDefault="00534098" w:rsidP="007A39EB">
            <w:pPr>
              <w:pStyle w:val="BoxHeading2"/>
            </w:pPr>
            <w:r>
              <w:t>How can productivity be compared across countries?</w:t>
            </w:r>
          </w:p>
          <w:p w14:paraId="234BBA78" w14:textId="77777777" w:rsidR="00534098" w:rsidRDefault="00534098" w:rsidP="007A39EB">
            <w:pPr>
              <w:pStyle w:val="Box"/>
            </w:pPr>
            <w:r>
              <w:t>While productivity growth rates can be compared readily across countries, productivity level comparisons require estimates of relative price levels across countries. International comparisons of labour productivity levels typically reflect conversion to US dollars per hour worked based on current year purchasing power parity. International comparisons of multifactor productivity levels require further assumptions about fair rates of return to capital and are not widely published.</w:t>
            </w:r>
          </w:p>
        </w:tc>
      </w:tr>
      <w:tr w:rsidR="00534098" w14:paraId="5A1BC8B4" w14:textId="77777777" w:rsidTr="007A39EB">
        <w:tc>
          <w:tcPr>
            <w:tcW w:w="5000" w:type="pct"/>
            <w:tcBorders>
              <w:top w:val="nil"/>
              <w:left w:val="nil"/>
              <w:bottom w:val="single" w:sz="6" w:space="0" w:color="78A22F"/>
              <w:right w:val="nil"/>
            </w:tcBorders>
            <w:shd w:val="clear" w:color="auto" w:fill="F2F2F2"/>
          </w:tcPr>
          <w:p w14:paraId="6AF87E8D" w14:textId="77777777" w:rsidR="00534098" w:rsidRDefault="00534098" w:rsidP="007A39EB">
            <w:pPr>
              <w:pStyle w:val="Box"/>
              <w:spacing w:before="0" w:line="120" w:lineRule="exact"/>
            </w:pPr>
          </w:p>
        </w:tc>
      </w:tr>
      <w:tr w:rsidR="00534098" w:rsidRPr="000863A5" w14:paraId="5E290327" w14:textId="77777777" w:rsidTr="007A39EB">
        <w:tc>
          <w:tcPr>
            <w:tcW w:w="5000" w:type="pct"/>
            <w:tcBorders>
              <w:top w:val="single" w:sz="6" w:space="0" w:color="78A22F"/>
              <w:left w:val="nil"/>
              <w:bottom w:val="nil"/>
              <w:right w:val="nil"/>
            </w:tcBorders>
          </w:tcPr>
          <w:p w14:paraId="76EF875D" w14:textId="2B37EA69" w:rsidR="00534098" w:rsidRPr="00626D32" w:rsidRDefault="00534098" w:rsidP="007A39EB">
            <w:pPr>
              <w:pStyle w:val="BoxSpaceBelow"/>
            </w:pPr>
          </w:p>
        </w:tc>
      </w:tr>
    </w:tbl>
    <w:p w14:paraId="2D0C7C9A" w14:textId="77777777" w:rsidR="00534098" w:rsidRDefault="00534098" w:rsidP="00534098">
      <w:pPr>
        <w:rPr>
          <w:szCs w:val="20"/>
        </w:rPr>
      </w:pPr>
      <w:r>
        <w:br w:type="page"/>
      </w:r>
    </w:p>
    <w:p w14:paraId="5314F0A4" w14:textId="77777777" w:rsidR="00534098" w:rsidRDefault="00534098" w:rsidP="00534098">
      <w:pPr>
        <w:pStyle w:val="BodyText"/>
      </w:pPr>
      <w:r>
        <w:t>Productivity growth is a key source of long</w:t>
      </w:r>
      <w:r>
        <w:noBreakHyphen/>
        <w:t xml:space="preserve">term economic and income growth, and as such, is an important determinant of a country’s average living standards. Conceptually, it seeks to quantify how efficiently resources, such as capital and labour, but also land, energy, environmental services, and other unpriced public goods, are used to produce output — the goods and services we consume every day. </w:t>
      </w:r>
    </w:p>
    <w:p w14:paraId="6560B578" w14:textId="77777777" w:rsidR="00534098" w:rsidRDefault="00534098" w:rsidP="00534098">
      <w:pPr>
        <w:pStyle w:val="BodyText"/>
      </w:pPr>
      <w:r>
        <w:t xml:space="preserve">This </w:t>
      </w:r>
      <w:r w:rsidRPr="00190F41">
        <w:rPr>
          <w:i/>
        </w:rPr>
        <w:t>Productivity Insights</w:t>
      </w:r>
      <w:r>
        <w:t xml:space="preserve"> paper analyses the most recent productivity trends at a highly</w:t>
      </w:r>
      <w:r>
        <w:noBreakHyphen/>
        <w:t>aggregated level, comprising labour productivity for the whole economy and both labour productivity and multifactor productivity for the market sector and its component industries. Annual data can be volatile, and subject to revisions and cyclical shocks. Medium</w:t>
      </w:r>
      <w:r>
        <w:noBreakHyphen/>
        <w:t xml:space="preserve">term trends over the past five years or longer periods generally provide a clearer guide to developments in the economy. </w:t>
      </w:r>
    </w:p>
    <w:p w14:paraId="4A1E9A07" w14:textId="77777777" w:rsidR="00534098" w:rsidRDefault="00534098" w:rsidP="00534098">
      <w:pPr>
        <w:pStyle w:val="BodyText"/>
      </w:pPr>
      <w:r>
        <w:t>This year’s data present additional conceptual and practical challenges to their interpretation due to both the effects of the COVID-19 pandemic itself, and the programs various governments put in place to manage its health and economic consequences (box 2). In this context, a few seemingly anomalous events have occurred — labour productivity rose while both output and labour hours fell, incomes grew as physical output fell, and hourly wage growth was its highest since the end of the mining boom. These outcomes are largely explained by the unique circumstances of the COVID-19 pandemic and its aftermath, and for this reason, a cautious interpretation of this year’s national accounts is necessary. The next few years of data will help interpret productivity outcomes over 2020.</w:t>
      </w:r>
    </w:p>
    <w:p w14:paraId="1307EBCB" w14:textId="1B2889E6"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7E18ED7F" w14:textId="77777777" w:rsidTr="007A39EB">
        <w:trPr>
          <w:tblHeader/>
        </w:trPr>
        <w:tc>
          <w:tcPr>
            <w:tcW w:w="5000" w:type="pct"/>
            <w:tcBorders>
              <w:top w:val="single" w:sz="6" w:space="0" w:color="78A22F"/>
              <w:left w:val="nil"/>
              <w:bottom w:val="nil"/>
              <w:right w:val="nil"/>
            </w:tcBorders>
            <w:shd w:val="clear" w:color="auto" w:fill="F2F2F2"/>
          </w:tcPr>
          <w:p w14:paraId="31ED77C7" w14:textId="4DD42047" w:rsidR="00534098" w:rsidRDefault="00534098" w:rsidP="007A39EB">
            <w:pPr>
              <w:pStyle w:val="BoxTitle"/>
            </w:pPr>
            <w:r>
              <w:rPr>
                <w:b w:val="0"/>
              </w:rPr>
              <w:t xml:space="preserve">Box </w:t>
            </w:r>
            <w:r w:rsidR="0015674B">
              <w:rPr>
                <w:b w:val="0"/>
                <w:noProof/>
              </w:rPr>
              <w:t>2</w:t>
            </w:r>
            <w:r>
              <w:tab/>
            </w:r>
            <w:r w:rsidRPr="00464DD7">
              <w:t>Productivity measurement in a pandemic</w:t>
            </w:r>
          </w:p>
        </w:tc>
      </w:tr>
      <w:tr w:rsidR="00534098" w14:paraId="2C892E8D" w14:textId="77777777" w:rsidTr="007A39EB">
        <w:tc>
          <w:tcPr>
            <w:tcW w:w="5000" w:type="pct"/>
            <w:tcBorders>
              <w:top w:val="nil"/>
              <w:left w:val="nil"/>
              <w:bottom w:val="nil"/>
              <w:right w:val="nil"/>
            </w:tcBorders>
            <w:shd w:val="clear" w:color="auto" w:fill="F2F2F2"/>
          </w:tcPr>
          <w:p w14:paraId="1D5C2A08" w14:textId="77777777" w:rsidR="00534098" w:rsidRDefault="00534098" w:rsidP="007A39EB">
            <w:pPr>
              <w:pStyle w:val="BoxHeading1"/>
            </w:pPr>
            <w:r>
              <w:t xml:space="preserve">Issues in measuring productivity </w:t>
            </w:r>
          </w:p>
          <w:p w14:paraId="73C54959" w14:textId="77777777" w:rsidR="00534098" w:rsidRDefault="00534098" w:rsidP="007A39EB">
            <w:pPr>
              <w:pStyle w:val="Box"/>
            </w:pPr>
            <w:r>
              <w:t>COVID</w:t>
            </w:r>
            <w:r>
              <w:noBreakHyphen/>
              <w:t xml:space="preserve">19 and the policy responses to it create several issues in measuring productivity as well as avenues for mismeasurement. Overall, it appears there is more scope for </w:t>
            </w:r>
            <w:r w:rsidRPr="0095248A">
              <w:rPr>
                <w:i/>
                <w:iCs/>
              </w:rPr>
              <w:t>underestimation</w:t>
            </w:r>
            <w:r>
              <w:t xml:space="preserve"> of MFP in 2019</w:t>
            </w:r>
            <w:r>
              <w:noBreakHyphen/>
              <w:t>20 from the various effects of COVID</w:t>
            </w:r>
            <w:r>
              <w:noBreakHyphen/>
              <w:t>19 .</w:t>
            </w:r>
          </w:p>
          <w:p w14:paraId="729BD05E" w14:textId="77777777" w:rsidR="00534098" w:rsidRDefault="00534098" w:rsidP="007A39EB">
            <w:pPr>
              <w:pStyle w:val="BoxHeading2"/>
            </w:pPr>
            <w:r>
              <w:t xml:space="preserve">Gross value added </w:t>
            </w:r>
          </w:p>
          <w:p w14:paraId="5E959BDC" w14:textId="77777777" w:rsidR="00534098" w:rsidRDefault="00534098" w:rsidP="007A39EB">
            <w:pPr>
              <w:pStyle w:val="Box"/>
            </w:pPr>
            <w:r>
              <w:t>Gross value added (GVA) is the main measure of output in productivity measurement. It is equal to gross output (total production) minus intermediate inputs (inputs supplied by other firms). A key assumption the ABS makes in estimating GVA is that GVA, gross output and intermediate input usage all grow proportionally to one another (and so growth in total sales can be used to proxy growth in GVA). The ABS initially thought the COVID</w:t>
            </w:r>
            <w:r>
              <w:noBreakHyphen/>
              <w:t xml:space="preserve">19 recession might violate this assumption but data from the </w:t>
            </w:r>
            <w:r>
              <w:rPr>
                <w:i/>
                <w:iCs/>
              </w:rPr>
              <w:t>Business indicators</w:t>
            </w:r>
            <w:r>
              <w:t xml:space="preserve"> survey and the </w:t>
            </w:r>
            <w:r w:rsidRPr="0095248A">
              <w:rPr>
                <w:i/>
                <w:iCs/>
              </w:rPr>
              <w:t>Business impact of COVID</w:t>
            </w:r>
            <w:r w:rsidRPr="0095248A">
              <w:rPr>
                <w:i/>
                <w:iCs/>
              </w:rPr>
              <w:noBreakHyphen/>
              <w:t>19</w:t>
            </w:r>
            <w:r>
              <w:t xml:space="preserve"> survey indicated to the ABS that this was not the case. The significant government assistance programs, such as JobKeeper and Cashflow Booster, did not directly affect the measurement of GVA as subsidies are included in factor incomes but not GVA.</w:t>
            </w:r>
          </w:p>
        </w:tc>
      </w:tr>
      <w:tr w:rsidR="00534098" w14:paraId="0DC858DD" w14:textId="77777777" w:rsidTr="007A39EB">
        <w:tc>
          <w:tcPr>
            <w:tcW w:w="5000" w:type="pct"/>
            <w:tcBorders>
              <w:top w:val="nil"/>
              <w:left w:val="nil"/>
              <w:bottom w:val="nil"/>
              <w:right w:val="nil"/>
            </w:tcBorders>
            <w:shd w:val="clear" w:color="auto" w:fill="F2F2F2"/>
          </w:tcPr>
          <w:p w14:paraId="25CB92B8" w14:textId="77777777" w:rsidR="00534098" w:rsidRDefault="00534098" w:rsidP="007A39EB">
            <w:pPr>
              <w:pStyle w:val="Continued"/>
            </w:pPr>
            <w:r>
              <w:t>(continued next page)</w:t>
            </w:r>
          </w:p>
        </w:tc>
      </w:tr>
      <w:tr w:rsidR="00534098" w14:paraId="2DF14ECB" w14:textId="77777777" w:rsidTr="007A39EB">
        <w:tc>
          <w:tcPr>
            <w:tcW w:w="5000" w:type="pct"/>
            <w:tcBorders>
              <w:top w:val="nil"/>
              <w:left w:val="nil"/>
              <w:bottom w:val="single" w:sz="6" w:space="0" w:color="78A22F"/>
              <w:right w:val="nil"/>
            </w:tcBorders>
            <w:shd w:val="clear" w:color="auto" w:fill="F2F2F2"/>
          </w:tcPr>
          <w:p w14:paraId="5A05DCB7" w14:textId="77777777" w:rsidR="00534098" w:rsidRDefault="00534098" w:rsidP="007A39EB">
            <w:pPr>
              <w:pStyle w:val="Box"/>
              <w:spacing w:before="0" w:line="120" w:lineRule="exact"/>
            </w:pPr>
          </w:p>
        </w:tc>
      </w:tr>
      <w:tr w:rsidR="00534098" w:rsidRPr="000863A5" w14:paraId="500EC7B5" w14:textId="77777777" w:rsidTr="007A39EB">
        <w:tc>
          <w:tcPr>
            <w:tcW w:w="5000" w:type="pct"/>
            <w:tcBorders>
              <w:top w:val="single" w:sz="6" w:space="0" w:color="78A22F"/>
              <w:left w:val="nil"/>
              <w:bottom w:val="nil"/>
              <w:right w:val="nil"/>
            </w:tcBorders>
          </w:tcPr>
          <w:p w14:paraId="1D689452" w14:textId="7D3F0887" w:rsidR="00534098" w:rsidRPr="00626D32" w:rsidRDefault="00534098" w:rsidP="007A39EB">
            <w:pPr>
              <w:pStyle w:val="BoxSpaceBelow"/>
            </w:pPr>
          </w:p>
        </w:tc>
      </w:tr>
    </w:tbl>
    <w:p w14:paraId="62105440" w14:textId="3D5E2D7A"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0423135F" w14:textId="77777777" w:rsidTr="007A39EB">
        <w:trPr>
          <w:tblHeader/>
        </w:trPr>
        <w:tc>
          <w:tcPr>
            <w:tcW w:w="5000" w:type="pct"/>
            <w:tcBorders>
              <w:top w:val="single" w:sz="6" w:space="0" w:color="78A22F"/>
              <w:left w:val="nil"/>
              <w:bottom w:val="nil"/>
              <w:right w:val="nil"/>
            </w:tcBorders>
            <w:shd w:val="clear" w:color="auto" w:fill="F2F2F2"/>
          </w:tcPr>
          <w:p w14:paraId="277D11DD" w14:textId="468EFD11" w:rsidR="00534098" w:rsidRDefault="00534098" w:rsidP="007A39EB">
            <w:pPr>
              <w:pStyle w:val="BoxTitle"/>
            </w:pPr>
            <w:r>
              <w:rPr>
                <w:b w:val="0"/>
              </w:rPr>
              <w:t>Box 2</w:t>
            </w:r>
            <w:r>
              <w:tab/>
            </w:r>
            <w:r w:rsidRPr="00773A6A">
              <w:rPr>
                <w:b w:val="0"/>
                <w:bCs/>
                <w:sz w:val="18"/>
                <w:szCs w:val="18"/>
              </w:rPr>
              <w:t>(continued)</w:t>
            </w:r>
          </w:p>
        </w:tc>
      </w:tr>
      <w:tr w:rsidR="00534098" w14:paraId="7C7AB73C" w14:textId="77777777" w:rsidTr="007A39EB">
        <w:tc>
          <w:tcPr>
            <w:tcW w:w="5000" w:type="pct"/>
            <w:tcBorders>
              <w:top w:val="nil"/>
              <w:left w:val="nil"/>
              <w:bottom w:val="nil"/>
              <w:right w:val="nil"/>
            </w:tcBorders>
            <w:shd w:val="clear" w:color="auto" w:fill="F2F2F2"/>
          </w:tcPr>
          <w:p w14:paraId="50AACCF2" w14:textId="77777777" w:rsidR="00534098" w:rsidRDefault="00534098" w:rsidP="007A39EB">
            <w:pPr>
              <w:pStyle w:val="BoxHeading2"/>
            </w:pPr>
            <w:r>
              <w:t>Labour inputs</w:t>
            </w:r>
          </w:p>
          <w:p w14:paraId="43854AE9" w14:textId="77777777" w:rsidR="00534098" w:rsidRDefault="00534098" w:rsidP="007A39EB">
            <w:pPr>
              <w:pStyle w:val="Box"/>
            </w:pPr>
            <w:r>
              <w:t xml:space="preserve">Two types of labour inputs are used in productivity statistics: simple hours worked estimates and quality adjusted labour inputs (QALI), which adjust labour inputs by weighting labour hours from those with different skill and education characteristics differently. Labour hours measurement is not directly affected by the introduction of JobKeeper, as this does not directly affect how many hours an employee works. However, it may indirectly contribute to employees working additional low marginal value hours. That is, an employer whose workers now have zero marginal cost (due to the flat rate of JobKeeper subsidy) may use labour to perform low value tasks due to the weak business environment creating few opportunities for higher value tasks. </w:t>
            </w:r>
          </w:p>
          <w:p w14:paraId="6B97B52B" w14:textId="77777777" w:rsidR="00534098" w:rsidRDefault="00534098" w:rsidP="007A39EB">
            <w:pPr>
              <w:pStyle w:val="Box"/>
            </w:pPr>
            <w:r>
              <w:t>Whether or not this constitutes mismeasurement of the labour input is debateable though, as the time spent doing low value work is still usage of a labour input that has an opportunity cost in terms of leisure. QALI measures may need to be adjusted in response to the introduction of s</w:t>
            </w:r>
            <w:r w:rsidRPr="00F90B8C">
              <w:t>hort, highly discounted, online courses at higher education levels to upskill or retrain workers displaced by the pandemic</w:t>
            </w:r>
            <w:r>
              <w:t xml:space="preserve"> when the 2021 Census is completed.</w:t>
            </w:r>
          </w:p>
          <w:p w14:paraId="360E1B5F" w14:textId="77777777" w:rsidR="00534098" w:rsidRDefault="00534098" w:rsidP="007A39EB">
            <w:pPr>
              <w:pStyle w:val="BoxHeading2"/>
            </w:pPr>
            <w:r>
              <w:t>Capital inputs</w:t>
            </w:r>
          </w:p>
          <w:p w14:paraId="563CE2F4" w14:textId="77777777" w:rsidR="00534098" w:rsidRDefault="00534098" w:rsidP="007A39EB">
            <w:pPr>
              <w:pStyle w:val="Box"/>
            </w:pPr>
            <w:r>
              <w:t>Capital utilisation, which usually falls in a recession, is assumed to be constant by the ABS for the purposes of constructing estimates of capital inputs and productivity. This means that the likely fall in capital usage during COVID</w:t>
            </w:r>
            <w:r>
              <w:noBreakHyphen/>
              <w:t xml:space="preserve">19 was not measured by the ABS, and as a result, MFP was likely </w:t>
            </w:r>
            <w:r w:rsidRPr="00041550">
              <w:rPr>
                <w:i/>
              </w:rPr>
              <w:t>underestimated</w:t>
            </w:r>
            <w:r>
              <w:t xml:space="preserve"> (due to the non</w:t>
            </w:r>
            <w:r>
              <w:noBreakHyphen/>
              <w:t>measured fall in inputs). The ABS has modelled the effect of mismeasurement of capital utilisation on MFP and found that when using the gap between potential output and actual output, economy</w:t>
            </w:r>
            <w:r>
              <w:noBreakHyphen/>
              <w:t>wide unemployment or economy</w:t>
            </w:r>
            <w:r>
              <w:noBreakHyphen/>
              <w:t>wide underemployment as proxies for capital utilisation, estimates of capital services growth (in the market sector) fell below official estimates for 2019</w:t>
            </w:r>
            <w:r>
              <w:noBreakHyphen/>
              <w:t xml:space="preserve">20 (and consequently MFP growth was estimated to be higher under these assumptions). However, when underemployment in the market sector specifically was used as a proxy for underutilisation, the estimates of capital services growth (and MFP growth) were almost the same as the official estimates. The ABS did not model the use of unemployment in the market sector specifically as a proxy for capital underutilisation, which may have yielded different results. </w:t>
            </w:r>
          </w:p>
          <w:p w14:paraId="78DB8381" w14:textId="77777777" w:rsidR="00534098" w:rsidRPr="004531CA" w:rsidRDefault="00534098" w:rsidP="007A39EB">
            <w:pPr>
              <w:pStyle w:val="Box"/>
            </w:pPr>
            <w:r>
              <w:t>Another issue may be unforeseen obsolescence of capital due to COVID</w:t>
            </w:r>
            <w:r>
              <w:noBreakHyphen/>
              <w:t xml:space="preserve">19. For example, to the extent that the move to online retail has been accelerated by the pandemic (section 3), this may cause unforeseen obsolescence of the capital involved in brick and mortar retail operations. The ABS models the decline in efficiency of capital based on </w:t>
            </w:r>
            <w:r>
              <w:rPr>
                <w:i/>
                <w:iCs/>
              </w:rPr>
              <w:t>foreseeable</w:t>
            </w:r>
            <w:r>
              <w:t xml:space="preserve"> obsolescence of capital, but one off structural events, like COVID</w:t>
            </w:r>
            <w:r>
              <w:noBreakHyphen/>
              <w:t xml:space="preserve">19, are not captured by these estimates. To the extent that unforeseen capital obsolescence has occurred, this may cause </w:t>
            </w:r>
            <w:r w:rsidRPr="00041550">
              <w:rPr>
                <w:i/>
              </w:rPr>
              <w:t>overestimation</w:t>
            </w:r>
            <w:r>
              <w:t xml:space="preserve"> of capital services.</w:t>
            </w:r>
          </w:p>
          <w:p w14:paraId="1850D60A" w14:textId="77777777" w:rsidR="00534098" w:rsidRDefault="00534098" w:rsidP="007A39EB">
            <w:pPr>
              <w:pStyle w:val="BoxHeading2"/>
            </w:pPr>
            <w:r>
              <w:t>Labour and capital shares of income</w:t>
            </w:r>
          </w:p>
          <w:p w14:paraId="702FFFF1" w14:textId="77777777" w:rsidR="00534098" w:rsidRDefault="00534098" w:rsidP="007A39EB">
            <w:pPr>
              <w:pStyle w:val="Box"/>
            </w:pPr>
            <w:r>
              <w:t>The labour and capital shares of income are used to weight growth in labour hours and capital services respectively in the calculation of multifactor productivity. Certain payments developed in response to COVID</w:t>
            </w:r>
            <w:r>
              <w:noBreakHyphen/>
              <w:t xml:space="preserve">19, such as JobKeeper and Cashflow Booster, were counted as part of factor income (below) and resulted in the capital share of income increasing. This increased the weight given to the growth of capital (which was positive) and decreased the weight given to the growth in labour (which was negative), with the result that measured MFP growth was lower than it would have been without the effect of these payments. </w:t>
            </w:r>
          </w:p>
        </w:tc>
      </w:tr>
      <w:tr w:rsidR="00534098" w14:paraId="1294D95F" w14:textId="77777777" w:rsidTr="007A39EB">
        <w:tc>
          <w:tcPr>
            <w:tcW w:w="5000" w:type="pct"/>
            <w:tcBorders>
              <w:top w:val="nil"/>
              <w:left w:val="nil"/>
              <w:bottom w:val="nil"/>
              <w:right w:val="nil"/>
            </w:tcBorders>
            <w:shd w:val="clear" w:color="auto" w:fill="F2F2F2"/>
          </w:tcPr>
          <w:p w14:paraId="0AD46E37" w14:textId="77777777" w:rsidR="00534098" w:rsidRDefault="00534098" w:rsidP="007A39EB">
            <w:pPr>
              <w:pStyle w:val="Continued"/>
            </w:pPr>
            <w:r>
              <w:t>(continued next page)</w:t>
            </w:r>
          </w:p>
        </w:tc>
      </w:tr>
      <w:tr w:rsidR="00534098" w14:paraId="5934E54B" w14:textId="77777777" w:rsidTr="007A39EB">
        <w:tc>
          <w:tcPr>
            <w:tcW w:w="5000" w:type="pct"/>
            <w:tcBorders>
              <w:top w:val="nil"/>
              <w:left w:val="nil"/>
              <w:bottom w:val="single" w:sz="6" w:space="0" w:color="78A22F"/>
              <w:right w:val="nil"/>
            </w:tcBorders>
            <w:shd w:val="clear" w:color="auto" w:fill="F2F2F2"/>
          </w:tcPr>
          <w:p w14:paraId="7363DD7C" w14:textId="77777777" w:rsidR="00534098" w:rsidRDefault="00534098" w:rsidP="007A39EB">
            <w:pPr>
              <w:pStyle w:val="Box"/>
              <w:spacing w:before="0" w:line="120" w:lineRule="exact"/>
            </w:pPr>
          </w:p>
        </w:tc>
      </w:tr>
      <w:tr w:rsidR="00534098" w:rsidRPr="000863A5" w14:paraId="780A0EB7" w14:textId="77777777" w:rsidTr="007A39EB">
        <w:tc>
          <w:tcPr>
            <w:tcW w:w="5000" w:type="pct"/>
            <w:tcBorders>
              <w:top w:val="single" w:sz="6" w:space="0" w:color="78A22F"/>
              <w:left w:val="nil"/>
              <w:bottom w:val="nil"/>
              <w:right w:val="nil"/>
            </w:tcBorders>
          </w:tcPr>
          <w:p w14:paraId="5D4D42D7" w14:textId="61037E01" w:rsidR="00534098" w:rsidRPr="00626D32" w:rsidRDefault="00534098" w:rsidP="007A39EB">
            <w:pPr>
              <w:pStyle w:val="BoxSpaceBelow"/>
            </w:pPr>
          </w:p>
        </w:tc>
      </w:tr>
    </w:tbl>
    <w:p w14:paraId="34E36FCD" w14:textId="5E05E0A7"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234FEB3" w14:textId="77777777" w:rsidTr="007A39EB">
        <w:trPr>
          <w:tblHeader/>
        </w:trPr>
        <w:tc>
          <w:tcPr>
            <w:tcW w:w="5000" w:type="pct"/>
            <w:tcBorders>
              <w:top w:val="single" w:sz="6" w:space="0" w:color="78A22F"/>
              <w:left w:val="nil"/>
              <w:bottom w:val="nil"/>
              <w:right w:val="nil"/>
            </w:tcBorders>
            <w:shd w:val="clear" w:color="auto" w:fill="F2F2F2"/>
          </w:tcPr>
          <w:p w14:paraId="1444E5EA" w14:textId="0A21D681" w:rsidR="00534098" w:rsidRDefault="00534098" w:rsidP="007A39EB">
            <w:pPr>
              <w:pStyle w:val="BoxTitle"/>
            </w:pPr>
            <w:r>
              <w:rPr>
                <w:b w:val="0"/>
              </w:rPr>
              <w:t>Box 2</w:t>
            </w:r>
            <w:r>
              <w:tab/>
            </w:r>
            <w:r w:rsidRPr="007F3BED">
              <w:rPr>
                <w:b w:val="0"/>
                <w:bCs/>
                <w:sz w:val="18"/>
                <w:szCs w:val="18"/>
              </w:rPr>
              <w:t>(continued)</w:t>
            </w:r>
          </w:p>
        </w:tc>
      </w:tr>
      <w:tr w:rsidR="00534098" w14:paraId="0CD9149C" w14:textId="77777777" w:rsidTr="007A39EB">
        <w:tc>
          <w:tcPr>
            <w:tcW w:w="5000" w:type="pct"/>
            <w:tcBorders>
              <w:top w:val="nil"/>
              <w:left w:val="nil"/>
              <w:bottom w:val="nil"/>
              <w:right w:val="nil"/>
            </w:tcBorders>
            <w:shd w:val="clear" w:color="auto" w:fill="F2F2F2"/>
          </w:tcPr>
          <w:p w14:paraId="361BF7D0" w14:textId="1C651ECA" w:rsidR="00534098" w:rsidRDefault="00534098" w:rsidP="007A39EB">
            <w:pPr>
              <w:pStyle w:val="Box"/>
            </w:pPr>
            <w:r>
              <w:t xml:space="preserve">Capital and labour shares of income are used to weight growth in each of these inputs because they are assumed to represent the contribution to growth in production stemming from labour and capital. But to the extent that changes in these income shares have been driven by temporary changes in government policy, this raises the question of whether the income shares </w:t>
            </w:r>
            <w:r w:rsidR="00787458">
              <w:t>for</w:t>
            </w:r>
            <w:r>
              <w:t xml:space="preserve"> this year may misattribute the contribution of different inputs in 2019</w:t>
            </w:r>
            <w:r>
              <w:noBreakHyphen/>
              <w:t xml:space="preserve">20. If this is the case, then it is likely that the effect is to cause an </w:t>
            </w:r>
            <w:r>
              <w:rPr>
                <w:i/>
                <w:iCs/>
              </w:rPr>
              <w:t xml:space="preserve">underestimation </w:t>
            </w:r>
            <w:r>
              <w:t>of MFP growth.</w:t>
            </w:r>
          </w:p>
          <w:p w14:paraId="69FEB7C8" w14:textId="77777777" w:rsidR="00534098" w:rsidRDefault="00534098" w:rsidP="007A39EB">
            <w:pPr>
              <w:pStyle w:val="BoxHeading1"/>
            </w:pPr>
            <w:r>
              <w:t>Selected other issues in measuring other national accounts</w:t>
            </w:r>
          </w:p>
          <w:p w14:paraId="6BDD6FF6" w14:textId="77777777" w:rsidR="00534098" w:rsidRPr="00F10C72" w:rsidRDefault="00534098" w:rsidP="007A39EB">
            <w:pPr>
              <w:pStyle w:val="Box"/>
            </w:pPr>
            <w:r>
              <w:t>The numerous policy changes that occurred in response to COVID</w:t>
            </w:r>
            <w:r>
              <w:noBreakHyphen/>
              <w:t xml:space="preserve">19 required decisions on how to properly record the effects on the different components of the national accounts. </w:t>
            </w:r>
          </w:p>
          <w:p w14:paraId="291D1752" w14:textId="77777777" w:rsidR="00534098" w:rsidRDefault="00534098" w:rsidP="007A39EB">
            <w:pPr>
              <w:pStyle w:val="BoxHeading2"/>
            </w:pPr>
            <w:r>
              <w:t>Classifying JobKeeper payments</w:t>
            </w:r>
          </w:p>
          <w:p w14:paraId="5C146E71" w14:textId="77777777" w:rsidR="00534098" w:rsidRDefault="00534098" w:rsidP="007A39EB">
            <w:pPr>
              <w:pStyle w:val="Box"/>
            </w:pPr>
            <w:r>
              <w:t xml:space="preserve">JobKeeper had two key effects on the recording of the national accounts: </w:t>
            </w:r>
          </w:p>
          <w:p w14:paraId="16DDD419" w14:textId="77777777" w:rsidR="00534098" w:rsidRDefault="00534098" w:rsidP="007A39EB">
            <w:pPr>
              <w:pStyle w:val="BoxListBullet"/>
            </w:pPr>
            <w:r>
              <w:t>JobKeeper payments were treated as ‘other subsidies on production’ paid from government to employees (that is, they raised factor income but not physical production)</w:t>
            </w:r>
          </w:p>
          <w:p w14:paraId="571E7DE6" w14:textId="77777777" w:rsidR="00534098" w:rsidRDefault="00534098" w:rsidP="007A39EB">
            <w:pPr>
              <w:pStyle w:val="BoxListBullet"/>
            </w:pPr>
            <w:r>
              <w:t>employees receiving JobKeeper are counted as employed and in receipt of a wage (even if they worked zero hours).</w:t>
            </w:r>
          </w:p>
          <w:p w14:paraId="47D0D0F2" w14:textId="77777777" w:rsidR="00534098" w:rsidRDefault="00534098" w:rsidP="007A39EB">
            <w:pPr>
              <w:pStyle w:val="Box"/>
            </w:pPr>
            <w:r>
              <w:t>These decisions were made on the basis that JobKeeper preserves the employer</w:t>
            </w:r>
            <w:r>
              <w:noBreakHyphen/>
              <w:t>employee connection (even in the absence of actual work being done) and is sufficiently connected with production to be considered a subsidy on production rather than say a ‘social benefit’.</w:t>
            </w:r>
          </w:p>
          <w:p w14:paraId="30ECBF70" w14:textId="77777777" w:rsidR="00534098" w:rsidRDefault="00534098" w:rsidP="007A39EB">
            <w:pPr>
              <w:pStyle w:val="BoxHeading2"/>
            </w:pPr>
            <w:r>
              <w:t>Classifying Cashflow Booster payments</w:t>
            </w:r>
          </w:p>
          <w:p w14:paraId="0578F845" w14:textId="77777777" w:rsidR="00534098" w:rsidRPr="00041550" w:rsidRDefault="00534098" w:rsidP="007A39EB">
            <w:pPr>
              <w:pStyle w:val="Box"/>
              <w:rPr>
                <w:i/>
              </w:rPr>
            </w:pPr>
            <w:r>
              <w:t xml:space="preserve">Cashflow Booster, like JobKeeper, is classified as under ‘other subsidies on production’ which affects factor income but not measured production. This decision was made because entitlements were based on business activity statements which meant there was enough of a connection between the payments and the production process. </w:t>
            </w:r>
          </w:p>
        </w:tc>
      </w:tr>
      <w:tr w:rsidR="00534098" w14:paraId="185D5B5A" w14:textId="77777777" w:rsidTr="007A39EB">
        <w:tc>
          <w:tcPr>
            <w:tcW w:w="5000" w:type="pct"/>
            <w:tcBorders>
              <w:top w:val="nil"/>
              <w:left w:val="nil"/>
              <w:bottom w:val="nil"/>
              <w:right w:val="nil"/>
            </w:tcBorders>
            <w:shd w:val="clear" w:color="auto" w:fill="F2F2F2"/>
          </w:tcPr>
          <w:p w14:paraId="7EF85838" w14:textId="77777777" w:rsidR="00534098" w:rsidRPr="00733510" w:rsidRDefault="00534098" w:rsidP="007A39EB">
            <w:pPr>
              <w:pStyle w:val="BoxSource"/>
              <w:rPr>
                <w:spacing w:val="-8"/>
              </w:rPr>
            </w:pPr>
            <w:r w:rsidRPr="00733510">
              <w:rPr>
                <w:i/>
                <w:spacing w:val="-8"/>
              </w:rPr>
              <w:t>Sources</w:t>
            </w:r>
            <w:r w:rsidRPr="00733510">
              <w:rPr>
                <w:spacing w:val="-8"/>
              </w:rPr>
              <w:t>: ABS (</w:t>
            </w:r>
            <w:r w:rsidRPr="00733510">
              <w:rPr>
                <w:i/>
                <w:iCs/>
                <w:spacing w:val="-8"/>
              </w:rPr>
              <w:t>Economic measurement during COVID</w:t>
            </w:r>
            <w:r w:rsidRPr="00733510">
              <w:rPr>
                <w:i/>
                <w:iCs/>
                <w:spacing w:val="-8"/>
              </w:rPr>
              <w:noBreakHyphen/>
              <w:t>19: Selected issues in the Economic Accounts</w:t>
            </w:r>
            <w:r w:rsidRPr="00733510">
              <w:rPr>
                <w:spacing w:val="-8"/>
              </w:rPr>
              <w:t xml:space="preserve">, Cat. no. 5261.0; </w:t>
            </w:r>
            <w:r w:rsidRPr="00D265AE">
              <w:rPr>
                <w:i/>
                <w:iCs/>
                <w:spacing w:val="-8"/>
              </w:rPr>
              <w:t>Productivity measurement in the time of a pandemic</w:t>
            </w:r>
            <w:r w:rsidRPr="00733510">
              <w:rPr>
                <w:spacing w:val="-8"/>
              </w:rPr>
              <w:t xml:space="preserve">; </w:t>
            </w:r>
            <w:r w:rsidRPr="00D265AE">
              <w:rPr>
                <w:i/>
                <w:iCs/>
                <w:spacing w:val="-8"/>
              </w:rPr>
              <w:t>Variations in the Utilisation of Productivity Inputs</w:t>
            </w:r>
            <w:r w:rsidRPr="00733510">
              <w:rPr>
                <w:spacing w:val="-8"/>
              </w:rPr>
              <w:t>).</w:t>
            </w:r>
          </w:p>
        </w:tc>
      </w:tr>
      <w:tr w:rsidR="00534098" w14:paraId="4885D46A" w14:textId="77777777" w:rsidTr="007A39EB">
        <w:tc>
          <w:tcPr>
            <w:tcW w:w="5000" w:type="pct"/>
            <w:tcBorders>
              <w:top w:val="nil"/>
              <w:left w:val="nil"/>
              <w:bottom w:val="single" w:sz="6" w:space="0" w:color="78A22F"/>
              <w:right w:val="nil"/>
            </w:tcBorders>
            <w:shd w:val="clear" w:color="auto" w:fill="F2F2F2"/>
          </w:tcPr>
          <w:p w14:paraId="50863AAD" w14:textId="77777777" w:rsidR="00534098" w:rsidRDefault="00534098" w:rsidP="007A39EB">
            <w:pPr>
              <w:pStyle w:val="Box"/>
              <w:spacing w:before="0" w:line="120" w:lineRule="exact"/>
            </w:pPr>
          </w:p>
        </w:tc>
      </w:tr>
      <w:tr w:rsidR="00534098" w:rsidRPr="000863A5" w14:paraId="25880B4C" w14:textId="77777777" w:rsidTr="007A39EB">
        <w:tc>
          <w:tcPr>
            <w:tcW w:w="5000" w:type="pct"/>
            <w:tcBorders>
              <w:top w:val="single" w:sz="6" w:space="0" w:color="78A22F"/>
              <w:left w:val="nil"/>
              <w:bottom w:val="nil"/>
              <w:right w:val="nil"/>
            </w:tcBorders>
          </w:tcPr>
          <w:p w14:paraId="5132D0FB" w14:textId="22883CEA" w:rsidR="00534098" w:rsidRPr="00626D32" w:rsidRDefault="00534098" w:rsidP="007A39EB">
            <w:pPr>
              <w:pStyle w:val="BoxSpaceBelow"/>
            </w:pPr>
          </w:p>
        </w:tc>
      </w:tr>
    </w:tbl>
    <w:p w14:paraId="6F261B7A" w14:textId="0C14843D" w:rsidR="00534098" w:rsidRDefault="00534098" w:rsidP="00534098">
      <w:pPr>
        <w:pStyle w:val="Heading2"/>
      </w:pPr>
      <w:bookmarkStart w:id="11" w:name="_Toc74138577"/>
      <w:r>
        <w:t>1</w:t>
      </w:r>
      <w:r>
        <w:tab/>
      </w:r>
      <w:r w:rsidRPr="00D428D2">
        <w:t>The first recession in 28 years</w:t>
      </w:r>
      <w:bookmarkEnd w:id="11"/>
    </w:p>
    <w:p w14:paraId="23F9125B" w14:textId="2FD150C6" w:rsidR="00534098" w:rsidRDefault="00534098" w:rsidP="00534098">
      <w:pPr>
        <w:pStyle w:val="BodyText"/>
      </w:pPr>
      <w:r>
        <w:t>Australian gross domestic product (GDP) fell 0.3 per cent during 2019</w:t>
      </w:r>
      <w:r>
        <w:noBreakHyphen/>
        <w:t xml:space="preserve">20 causing the first recession in 28 years. Per person output (GDP per capita) and income (gross national income (GNI) per capita) also fell (1.7 and 0.3 per cent respectively), though a rise in the terms of trade (0.8 per cent) meant that income growth exceeded production growth </w:t>
      </w:r>
      <w:r w:rsidRPr="00037B59">
        <w:rPr>
          <w:szCs w:val="24"/>
        </w:rPr>
        <w:t>(ABS 2020c)</w:t>
      </w:r>
      <w:r>
        <w:t>.</w:t>
      </w:r>
    </w:p>
    <w:p w14:paraId="2541EA6D" w14:textId="35B3F839" w:rsidR="00534098" w:rsidRDefault="00534098" w:rsidP="00534098">
      <w:pPr>
        <w:pStyle w:val="BodyText"/>
      </w:pPr>
      <w:r>
        <w:t>Notwithstanding the recession, both whole economy and market sector labour productivity rose (0.50 and 0.56 per cent respectively), though this growth was below the long</w:t>
      </w:r>
      <w:r>
        <w:noBreakHyphen/>
        <w:t>term average (1.5 and 2 per cent since 1994</w:t>
      </w:r>
      <w:r>
        <w:noBreakHyphen/>
        <w:t xml:space="preserve">95 respectively) </w:t>
      </w:r>
      <w:r w:rsidRPr="00E72382">
        <w:rPr>
          <w:szCs w:val="24"/>
        </w:rPr>
        <w:t>(ABS 2020c, 2020e)</w:t>
      </w:r>
      <w:r>
        <w:t>. This increase was due to labour hours falling by more than output during the COVID</w:t>
      </w:r>
      <w:r>
        <w:noBreakHyphen/>
        <w:t>19 recession. Market sector MFP fell (0.68 per cent) for the first time in nearly a decade (figure 1) and capital per hour of labour (capital deepening) increased (2.5 per cent) more than it has in any of the past five years due to a combination of modest capital services</w:t>
      </w:r>
      <w:r>
        <w:rPr>
          <w:rStyle w:val="FootnoteReference"/>
        </w:rPr>
        <w:footnoteReference w:id="2"/>
      </w:r>
      <w:r>
        <w:t xml:space="preserve"> growth and a large fall in hours worked. </w:t>
      </w:r>
    </w:p>
    <w:p w14:paraId="6CCB285E" w14:textId="5F95931B"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505AA20" w14:textId="77777777" w:rsidTr="007A39EB">
        <w:trPr>
          <w:tblHeader/>
        </w:trPr>
        <w:tc>
          <w:tcPr>
            <w:tcW w:w="5000" w:type="pct"/>
            <w:tcBorders>
              <w:top w:val="single" w:sz="6" w:space="0" w:color="78A22F"/>
              <w:left w:val="nil"/>
              <w:bottom w:val="nil"/>
              <w:right w:val="nil"/>
            </w:tcBorders>
            <w:shd w:val="clear" w:color="auto" w:fill="auto"/>
          </w:tcPr>
          <w:p w14:paraId="48D89702" w14:textId="5935975D" w:rsidR="00534098" w:rsidRDefault="00534098" w:rsidP="007A39EB">
            <w:pPr>
              <w:pStyle w:val="FigureTitle"/>
            </w:pPr>
            <w:r w:rsidRPr="00784A05">
              <w:rPr>
                <w:b w:val="0"/>
              </w:rPr>
              <w:t xml:space="preserve">Figure </w:t>
            </w:r>
            <w:r w:rsidR="0015674B">
              <w:rPr>
                <w:b w:val="0"/>
                <w:noProof/>
              </w:rPr>
              <w:t>1</w:t>
            </w:r>
            <w:r>
              <w:tab/>
              <w:t>Labour productivity and MFP were well below their long</w:t>
            </w:r>
            <w:r>
              <w:noBreakHyphen/>
              <w:t>run average in 2019</w:t>
            </w:r>
            <w:r>
              <w:noBreakHyphen/>
              <w:t>20</w:t>
            </w:r>
          </w:p>
          <w:p w14:paraId="3826011E" w14:textId="77777777" w:rsidR="00534098" w:rsidRPr="009F3F45" w:rsidRDefault="00534098" w:rsidP="007A39EB">
            <w:pPr>
              <w:pStyle w:val="Subtitle"/>
              <w:rPr>
                <w:spacing w:val="2"/>
              </w:rPr>
            </w:pPr>
            <w:r w:rsidRPr="009F3F45">
              <w:rPr>
                <w:spacing w:val="2"/>
              </w:rPr>
              <w:t>Growth in market sector labour productivity and MFP in 2019</w:t>
            </w:r>
            <w:r w:rsidRPr="009F3F45">
              <w:rPr>
                <w:spacing w:val="2"/>
              </w:rPr>
              <w:noBreakHyphen/>
              <w:t>20 and their averages since 1994</w:t>
            </w:r>
            <w:r w:rsidRPr="009F3F45">
              <w:rPr>
                <w:spacing w:val="2"/>
              </w:rPr>
              <w:noBreakHyphen/>
              <w:t>95 (left); contributions to market sector value added (output) growth from hours worked (labour), capital services (capital), and MFP between 2009</w:t>
            </w:r>
            <w:r w:rsidRPr="009F3F45">
              <w:rPr>
                <w:spacing w:val="2"/>
              </w:rPr>
              <w:noBreakHyphen/>
              <w:t>10 and 2019</w:t>
            </w:r>
            <w:r w:rsidRPr="009F3F45">
              <w:rPr>
                <w:spacing w:val="2"/>
              </w:rPr>
              <w:noBreakHyphen/>
              <w:t xml:space="preserve">20 (right) </w:t>
            </w:r>
          </w:p>
        </w:tc>
      </w:tr>
      <w:tr w:rsidR="00534098" w14:paraId="02A77E7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2"/>
            </w:tblGrid>
            <w:tr w:rsidR="00534098" w:rsidRPr="00B1465D" w14:paraId="2CD7E0DD" w14:textId="77777777" w:rsidTr="00CF6ED5">
              <w:trPr>
                <w:tblHeader/>
                <w:jc w:val="center"/>
              </w:trPr>
              <w:tc>
                <w:tcPr>
                  <w:tcW w:w="4028" w:type="dxa"/>
                  <w:tcBorders>
                    <w:top w:val="nil"/>
                    <w:bottom w:val="nil"/>
                  </w:tcBorders>
                </w:tcPr>
                <w:p w14:paraId="655C5960" w14:textId="3DF49D6D" w:rsidR="00534098" w:rsidRPr="00B1465D" w:rsidRDefault="008144B0" w:rsidP="007A39EB">
                  <w:pPr>
                    <w:pStyle w:val="Figure"/>
                    <w:spacing w:before="60" w:after="60"/>
                    <w:ind w:left="720" w:hanging="720"/>
                    <w:rPr>
                      <w:rFonts w:ascii="Arial" w:hAnsi="Arial" w:cs="Arial"/>
                      <w:sz w:val="18"/>
                      <w:szCs w:val="18"/>
                    </w:rPr>
                  </w:pPr>
                  <w:r w:rsidRPr="008144B0">
                    <w:rPr>
                      <w:rFonts w:ascii="Arial" w:hAnsi="Arial" w:cs="Arial"/>
                      <w:noProof/>
                      <w:sz w:val="18"/>
                      <w:szCs w:val="18"/>
                    </w:rPr>
                    <w:drawing>
                      <wp:inline distT="0" distB="0" distL="0" distR="0" wp14:anchorId="2A93BBD6" wp14:editId="1340C8DA">
                        <wp:extent cx="2705100" cy="3238500"/>
                        <wp:effectExtent l="0" t="0" r="0" b="0"/>
                        <wp:docPr id="17" name="Picture 17" descr="This chart on the left-hand side of the figure shows that labour productivity and multifactor productivity growth were below their 25-year average in 2019-20. Labour productivity growth was 0.5 per cent in 2019-20 compared to about 2 per cent over the last 25 years and multifactor productivity was about -0.6 per cent in 2019-20 compared to about 0.9 per cent over the last 25-years. The chart on the right-hand side shows that output fell about 1 per cent in 2019-20 after increasing in the previous 10 years. This was due to falls in both multifactor productivity and hours worked which more than offset a small increase in capit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on the left-hand side of the figure shows that labour productivity and multifactor productivity growth were below their 25-year average in 2019-20. Labour productivity growth was 0.5 per cent in 2019-20 compared to about 2 per cent over the last 25 years and multifactor productivity was about -0.6 per cent in 2019-20 compared to about 0.9 per cent over the last 25-years. The chart on the right-hand side shows that output fell about 1 per cent in 2019-20 after increasing in the previous 10 years. This was due to falls in both multifactor productivity and hours worked which more than offset a small increase in capital servic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238500"/>
                                </a:xfrm>
                                <a:prstGeom prst="rect">
                                  <a:avLst/>
                                </a:prstGeom>
                                <a:noFill/>
                                <a:ln>
                                  <a:noFill/>
                                </a:ln>
                              </pic:spPr>
                            </pic:pic>
                          </a:graphicData>
                        </a:graphic>
                      </wp:inline>
                    </w:drawing>
                  </w:r>
                </w:p>
              </w:tc>
              <w:tc>
                <w:tcPr>
                  <w:tcW w:w="4476" w:type="dxa"/>
                  <w:tcBorders>
                    <w:top w:val="nil"/>
                    <w:bottom w:val="nil"/>
                  </w:tcBorders>
                </w:tcPr>
                <w:p w14:paraId="22DDAA38" w14:textId="77777777" w:rsidR="00534098" w:rsidRPr="00B1465D" w:rsidRDefault="00534098" w:rsidP="007A39EB">
                  <w:pPr>
                    <w:pStyle w:val="Figure"/>
                    <w:spacing w:before="60" w:after="60"/>
                    <w:rPr>
                      <w:rFonts w:ascii="Arial" w:hAnsi="Arial" w:cs="Arial"/>
                      <w:sz w:val="18"/>
                      <w:szCs w:val="18"/>
                    </w:rPr>
                  </w:pPr>
                  <w:r w:rsidRPr="002F5DE9">
                    <w:rPr>
                      <w:rFonts w:ascii="Arial" w:hAnsi="Arial" w:cs="Arial"/>
                      <w:noProof/>
                      <w:sz w:val="18"/>
                      <w:szCs w:val="18"/>
                    </w:rPr>
                    <w:drawing>
                      <wp:inline distT="0" distB="0" distL="0" distR="0" wp14:anchorId="515A21EF" wp14:editId="09D49F80">
                        <wp:extent cx="2696210" cy="3106420"/>
                        <wp:effectExtent l="0" t="0" r="8890" b="0"/>
                        <wp:docPr id="58" name="Picture 58" descr="The chart on the right-hand side shows that output fell about 1 per cent in 2019-20 after increasing in the previous 10 years. This was due to falls in both multifactor productivity and hours worked which more than offset a small increase in capit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chart on the right-hand side shows that output fell about 1 per cent in 2019-20 after increasing in the previous 10 years. This was due to falls in both multifactor productivity and hours worked which more than offset a small increase in capital servic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210" cy="3106420"/>
                                </a:xfrm>
                                <a:prstGeom prst="rect">
                                  <a:avLst/>
                                </a:prstGeom>
                                <a:noFill/>
                                <a:ln>
                                  <a:noFill/>
                                </a:ln>
                              </pic:spPr>
                            </pic:pic>
                          </a:graphicData>
                        </a:graphic>
                      </wp:inline>
                    </w:drawing>
                  </w:r>
                </w:p>
              </w:tc>
            </w:tr>
          </w:tbl>
          <w:p w14:paraId="70DA52CD" w14:textId="77777777" w:rsidR="00534098" w:rsidRDefault="00534098" w:rsidP="007A39EB">
            <w:pPr>
              <w:pStyle w:val="Figure"/>
            </w:pPr>
          </w:p>
        </w:tc>
      </w:tr>
      <w:tr w:rsidR="00534098" w:rsidRPr="00176D3F" w14:paraId="578295B3" w14:textId="77777777" w:rsidTr="007A39EB">
        <w:tc>
          <w:tcPr>
            <w:tcW w:w="5000" w:type="pct"/>
            <w:tcBorders>
              <w:top w:val="nil"/>
              <w:left w:val="nil"/>
              <w:bottom w:val="nil"/>
              <w:right w:val="nil"/>
            </w:tcBorders>
            <w:shd w:val="clear" w:color="auto" w:fill="auto"/>
          </w:tcPr>
          <w:p w14:paraId="6EABFFD6" w14:textId="77777777" w:rsidR="00534098" w:rsidRPr="00176D3F" w:rsidRDefault="00534098" w:rsidP="007A39EB">
            <w:pPr>
              <w:pStyle w:val="Source"/>
            </w:pPr>
            <w:r>
              <w:rPr>
                <w:i/>
              </w:rPr>
              <w:t>S</w:t>
            </w:r>
            <w:r w:rsidRPr="00784A05">
              <w:rPr>
                <w:i/>
              </w:rPr>
              <w:t>ource</w:t>
            </w:r>
            <w:r w:rsidRPr="00176D3F">
              <w:t xml:space="preserve">: </w:t>
            </w:r>
            <w:r>
              <w:t>ABS (</w:t>
            </w:r>
            <w:r w:rsidRPr="00C422E7">
              <w:rPr>
                <w:i/>
                <w:iCs/>
              </w:rPr>
              <w:t>Estimates of Industry Multifactor Productivity</w:t>
            </w:r>
            <w:r w:rsidRPr="008E06DC">
              <w:rPr>
                <w:i/>
                <w:iCs/>
              </w:rPr>
              <w:t>, 2019</w:t>
            </w:r>
            <w:r w:rsidRPr="008E06DC">
              <w:rPr>
                <w:i/>
                <w:iCs/>
              </w:rPr>
              <w:noBreakHyphen/>
              <w:t>20</w:t>
            </w:r>
            <w:r>
              <w:t>, Cat. no. </w:t>
            </w:r>
            <w:r w:rsidRPr="000D1D3C">
              <w:t>5260.0.55.002</w:t>
            </w:r>
            <w:r w:rsidRPr="00260C3D">
              <w:t>.</w:t>
            </w:r>
            <w:r>
              <w:t>, tables 1</w:t>
            </w:r>
            <w:r>
              <w:noBreakHyphen/>
              <w:t>19).</w:t>
            </w:r>
          </w:p>
        </w:tc>
      </w:tr>
      <w:tr w:rsidR="00534098" w14:paraId="285C24A5" w14:textId="77777777" w:rsidTr="007A39EB">
        <w:tc>
          <w:tcPr>
            <w:tcW w:w="5000" w:type="pct"/>
            <w:tcBorders>
              <w:top w:val="nil"/>
              <w:left w:val="nil"/>
              <w:bottom w:val="single" w:sz="6" w:space="0" w:color="78A22F"/>
              <w:right w:val="nil"/>
            </w:tcBorders>
            <w:shd w:val="clear" w:color="auto" w:fill="auto"/>
          </w:tcPr>
          <w:p w14:paraId="47B5E698" w14:textId="77777777" w:rsidR="00534098" w:rsidRDefault="00534098" w:rsidP="007A39EB">
            <w:pPr>
              <w:pStyle w:val="Figurespace"/>
            </w:pPr>
          </w:p>
        </w:tc>
      </w:tr>
      <w:tr w:rsidR="00534098" w:rsidRPr="000863A5" w14:paraId="1BE913DA" w14:textId="77777777" w:rsidTr="007A39EB">
        <w:tc>
          <w:tcPr>
            <w:tcW w:w="5000" w:type="pct"/>
            <w:tcBorders>
              <w:top w:val="single" w:sz="6" w:space="0" w:color="78A22F"/>
              <w:left w:val="nil"/>
              <w:bottom w:val="nil"/>
              <w:right w:val="nil"/>
            </w:tcBorders>
          </w:tcPr>
          <w:p w14:paraId="71F69618" w14:textId="08395232" w:rsidR="00534098" w:rsidRPr="00626D32" w:rsidRDefault="00534098" w:rsidP="007A39EB">
            <w:pPr>
              <w:pStyle w:val="BoxSpaceBelow"/>
            </w:pPr>
          </w:p>
        </w:tc>
      </w:tr>
    </w:tbl>
    <w:p w14:paraId="57AB52DB" w14:textId="77777777" w:rsidR="00534098" w:rsidRDefault="00534098" w:rsidP="00534098">
      <w:pPr>
        <w:pStyle w:val="Heading3"/>
      </w:pPr>
      <w:r>
        <w:t>Anatomy of a recession</w:t>
      </w:r>
    </w:p>
    <w:p w14:paraId="62969265" w14:textId="149E9F9B" w:rsidR="00534098" w:rsidRDefault="00534098" w:rsidP="00534098">
      <w:pPr>
        <w:pStyle w:val="BodyText"/>
      </w:pPr>
      <w:r>
        <w:t>Figure 2 decomposes the 2019</w:t>
      </w:r>
      <w:r>
        <w:noBreakHyphen/>
        <w:t>20 fall in GDP per capita into the contributions from changes in hours worked per employee, the employment rate (1 minus the unemployment rate), the participation rate (the proportion of the population aged 15 and over that are employed or seeking employment), the working age ratio (ratio of working age to total population) and labour productivity. Overall, the largest contributor to the fall in GDP per capita was from lower hours per worker (about 82 per cent of the fall), with increases in unemployment and lower participation making up the remainder. Partially offsetting this, the share of the population aged 15 and over rose slightly and labour productivity rose</w:t>
      </w:r>
      <w:r w:rsidR="009B09CC">
        <w:t>,</w:t>
      </w:r>
      <w:r>
        <w:t xml:space="preserve"> mainly from the effect of labour redistribution between industries (section 2). </w:t>
      </w:r>
    </w:p>
    <w:p w14:paraId="457B09AD" w14:textId="1A130469"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B4BC4C6" w14:textId="77777777" w:rsidTr="007A39EB">
        <w:trPr>
          <w:tblHeader/>
        </w:trPr>
        <w:tc>
          <w:tcPr>
            <w:tcW w:w="5000" w:type="pct"/>
            <w:tcBorders>
              <w:top w:val="single" w:sz="6" w:space="0" w:color="78A22F"/>
              <w:left w:val="nil"/>
              <w:bottom w:val="nil"/>
              <w:right w:val="nil"/>
            </w:tcBorders>
            <w:shd w:val="clear" w:color="auto" w:fill="auto"/>
          </w:tcPr>
          <w:p w14:paraId="1C2F1BA6" w14:textId="6FA55A2A" w:rsidR="00534098" w:rsidRDefault="00534098" w:rsidP="007A39EB">
            <w:pPr>
              <w:pStyle w:val="FigureTitle"/>
            </w:pPr>
            <w:r w:rsidRPr="00784A05">
              <w:rPr>
                <w:b w:val="0"/>
              </w:rPr>
              <w:t xml:space="preserve">Figure </w:t>
            </w:r>
            <w:r w:rsidR="0015674B">
              <w:rPr>
                <w:b w:val="0"/>
                <w:noProof/>
              </w:rPr>
              <w:t>2</w:t>
            </w:r>
            <w:r>
              <w:tab/>
              <w:t>Hours per worker, employment and participation fell while labour productivity rose</w:t>
            </w:r>
          </w:p>
          <w:p w14:paraId="56447510" w14:textId="77777777" w:rsidR="00534098" w:rsidRPr="00176D3F" w:rsidRDefault="00534098" w:rsidP="007A39EB">
            <w:pPr>
              <w:pStyle w:val="Subtitle"/>
            </w:pPr>
            <w:r>
              <w:t>Contributions to GDP per capita from changes in hours per worker, the employment rate, the participation rate, the working age ratio</w:t>
            </w:r>
            <w:r w:rsidRPr="006C7CA3">
              <w:rPr>
                <w:rStyle w:val="NoteLabel"/>
              </w:rPr>
              <w:t>a</w:t>
            </w:r>
            <w:r>
              <w:t xml:space="preserve"> and labour productivity in 2019</w:t>
            </w:r>
            <w:r>
              <w:noBreakHyphen/>
              <w:t>20</w:t>
            </w:r>
          </w:p>
        </w:tc>
      </w:tr>
      <w:tr w:rsidR="00534098" w14:paraId="609E0D55"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6243DAFB" w14:textId="77777777" w:rsidTr="007A39EB">
              <w:trPr>
                <w:tblHeader/>
                <w:jc w:val="center"/>
              </w:trPr>
              <w:tc>
                <w:tcPr>
                  <w:tcW w:w="5000" w:type="pct"/>
                  <w:tcBorders>
                    <w:top w:val="nil"/>
                    <w:bottom w:val="nil"/>
                  </w:tcBorders>
                </w:tcPr>
                <w:p w14:paraId="44C8B13A" w14:textId="77777777" w:rsidR="00534098" w:rsidRPr="00B1465D" w:rsidRDefault="00534098" w:rsidP="007A39EB">
                  <w:pPr>
                    <w:pStyle w:val="Figure"/>
                    <w:spacing w:before="60" w:after="60"/>
                    <w:rPr>
                      <w:rFonts w:ascii="Arial" w:hAnsi="Arial" w:cs="Arial"/>
                      <w:sz w:val="18"/>
                      <w:szCs w:val="18"/>
                    </w:rPr>
                  </w:pPr>
                  <w:r w:rsidRPr="00F00F57">
                    <w:rPr>
                      <w:rFonts w:ascii="Arial" w:hAnsi="Arial" w:cs="Arial"/>
                      <w:noProof/>
                      <w:sz w:val="18"/>
                      <w:szCs w:val="18"/>
                    </w:rPr>
                    <w:drawing>
                      <wp:inline distT="0" distB="0" distL="0" distR="0" wp14:anchorId="3CF7A487" wp14:editId="036F9D46">
                        <wp:extent cx="5310505" cy="2872105"/>
                        <wp:effectExtent l="0" t="0" r="4445" b="4445"/>
                        <wp:docPr id="14" name="Picture 14" descr="This figure shows that GDP per capita fell 1.65 per cent in 2019-20. This was due to hours per worker falling 1.35 per cent, the employment rate falling 0.66 per cent and the participation rate falling 0.48 per cent. However, this was slightly offset by the working age ratio increasing 0.17 per cent and labour productivity increasing 0.6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shows that GDP per capita fell 1.65 per cent in 2019-20. This was due to hours per worker falling 1.35 per cent, the employment rate falling 0.66 per cent and the participation rate falling 0.48 per cent. However, this was slightly offset by the working age ratio increasing 0.17 per cent and labour productivity increasing 0.67 per c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505" cy="2872105"/>
                                </a:xfrm>
                                <a:prstGeom prst="rect">
                                  <a:avLst/>
                                </a:prstGeom>
                                <a:noFill/>
                                <a:ln>
                                  <a:noFill/>
                                </a:ln>
                              </pic:spPr>
                            </pic:pic>
                          </a:graphicData>
                        </a:graphic>
                      </wp:inline>
                    </w:drawing>
                  </w:r>
                </w:p>
              </w:tc>
            </w:tr>
          </w:tbl>
          <w:p w14:paraId="6034B203" w14:textId="77777777" w:rsidR="00534098" w:rsidRDefault="00534098" w:rsidP="007A39EB">
            <w:pPr>
              <w:pStyle w:val="Figure"/>
            </w:pPr>
          </w:p>
        </w:tc>
      </w:tr>
      <w:tr w:rsidR="00534098" w:rsidRPr="00176D3F" w14:paraId="7EF8D10C" w14:textId="77777777" w:rsidTr="007A39EB">
        <w:tc>
          <w:tcPr>
            <w:tcW w:w="5000" w:type="pct"/>
            <w:tcBorders>
              <w:top w:val="nil"/>
              <w:left w:val="nil"/>
              <w:bottom w:val="nil"/>
              <w:right w:val="nil"/>
            </w:tcBorders>
            <w:shd w:val="clear" w:color="auto" w:fill="auto"/>
          </w:tcPr>
          <w:p w14:paraId="2A725377" w14:textId="77777777" w:rsidR="00534098" w:rsidRPr="00176D3F" w:rsidRDefault="00534098" w:rsidP="007A39EB">
            <w:pPr>
              <w:pStyle w:val="Note"/>
            </w:pPr>
            <w:r>
              <w:rPr>
                <w:rStyle w:val="NoteLabel"/>
              </w:rPr>
              <w:t>a</w:t>
            </w:r>
            <w:r>
              <w:t xml:space="preserve"> The working age ratio is the ratio of the civilian population aged 15 and over to the total population. </w:t>
            </w:r>
          </w:p>
        </w:tc>
      </w:tr>
      <w:tr w:rsidR="00534098" w:rsidRPr="00176D3F" w14:paraId="72403468" w14:textId="77777777" w:rsidTr="007A39EB">
        <w:tc>
          <w:tcPr>
            <w:tcW w:w="5000" w:type="pct"/>
            <w:tcBorders>
              <w:top w:val="nil"/>
              <w:left w:val="nil"/>
              <w:bottom w:val="nil"/>
              <w:right w:val="nil"/>
            </w:tcBorders>
            <w:shd w:val="clear" w:color="auto" w:fill="auto"/>
          </w:tcPr>
          <w:p w14:paraId="2A78AAE1" w14:textId="77777777" w:rsidR="00534098" w:rsidRPr="00176D3F" w:rsidRDefault="00534098" w:rsidP="007A39EB">
            <w:pPr>
              <w:pStyle w:val="Source"/>
            </w:pPr>
            <w:r>
              <w:rPr>
                <w:i/>
              </w:rPr>
              <w:t>S</w:t>
            </w:r>
            <w:r w:rsidRPr="00784A05">
              <w:rPr>
                <w:i/>
              </w:rPr>
              <w:t>ource</w:t>
            </w:r>
            <w:r>
              <w:rPr>
                <w:i/>
              </w:rPr>
              <w:t>s</w:t>
            </w:r>
            <w:r w:rsidRPr="00176D3F">
              <w:t xml:space="preserve">: </w:t>
            </w:r>
            <w:r>
              <w:t>Commission estimates using hours actually worked, employment and the size of the labour force from ABS (</w:t>
            </w:r>
            <w:r w:rsidRPr="006C7CA3">
              <w:rPr>
                <w:i/>
              </w:rPr>
              <w:t>Labour Account Australia, September 2020</w:t>
            </w:r>
            <w:r>
              <w:t>, Cat. no. </w:t>
            </w:r>
            <w:r w:rsidRPr="00985C16">
              <w:t>6150.0.55.003</w:t>
            </w:r>
            <w:r>
              <w:t>, table 1); civilian population aged 15 and over ABS (</w:t>
            </w:r>
            <w:r w:rsidRPr="006C7CA3">
              <w:rPr>
                <w:i/>
              </w:rPr>
              <w:t>Labour force Australia, January 2021</w:t>
            </w:r>
            <w:r>
              <w:t>, Cat. no. </w:t>
            </w:r>
            <w:r w:rsidRPr="009815C8">
              <w:t>6202.0</w:t>
            </w:r>
            <w:r>
              <w:t>, table 1); the implied population growth in ABS (</w:t>
            </w:r>
            <w:r w:rsidRPr="00B8240F">
              <w:rPr>
                <w:i/>
                <w:iCs/>
              </w:rPr>
              <w:t xml:space="preserve">Australian National Accounts: National Income, Expenditure and Product, </w:t>
            </w:r>
            <w:r>
              <w:rPr>
                <w:i/>
                <w:iCs/>
              </w:rPr>
              <w:t>September 2020</w:t>
            </w:r>
            <w:r>
              <w:t>, Cat. no. </w:t>
            </w:r>
            <w:r w:rsidRPr="00260C3D">
              <w:t>5206.0.</w:t>
            </w:r>
            <w:r>
              <w:t>, table 1).</w:t>
            </w:r>
          </w:p>
        </w:tc>
      </w:tr>
      <w:tr w:rsidR="00534098" w14:paraId="150A5DB7" w14:textId="77777777" w:rsidTr="007A39EB">
        <w:tc>
          <w:tcPr>
            <w:tcW w:w="5000" w:type="pct"/>
            <w:tcBorders>
              <w:top w:val="nil"/>
              <w:left w:val="nil"/>
              <w:bottom w:val="single" w:sz="6" w:space="0" w:color="78A22F"/>
              <w:right w:val="nil"/>
            </w:tcBorders>
            <w:shd w:val="clear" w:color="auto" w:fill="auto"/>
          </w:tcPr>
          <w:p w14:paraId="24275C3D" w14:textId="77777777" w:rsidR="00534098" w:rsidRDefault="00534098" w:rsidP="007A39EB">
            <w:pPr>
              <w:pStyle w:val="Figurespace"/>
            </w:pPr>
          </w:p>
        </w:tc>
      </w:tr>
      <w:tr w:rsidR="00534098" w:rsidRPr="000863A5" w14:paraId="7C27F0CD" w14:textId="77777777" w:rsidTr="007A39EB">
        <w:tc>
          <w:tcPr>
            <w:tcW w:w="5000" w:type="pct"/>
            <w:tcBorders>
              <w:top w:val="single" w:sz="6" w:space="0" w:color="78A22F"/>
              <w:left w:val="nil"/>
              <w:bottom w:val="nil"/>
              <w:right w:val="nil"/>
            </w:tcBorders>
          </w:tcPr>
          <w:p w14:paraId="49B9E8E2" w14:textId="669CE51E" w:rsidR="00534098" w:rsidRPr="00626D32" w:rsidRDefault="00534098" w:rsidP="007A39EB">
            <w:pPr>
              <w:pStyle w:val="BoxSpaceBelow"/>
            </w:pPr>
          </w:p>
        </w:tc>
      </w:tr>
    </w:tbl>
    <w:p w14:paraId="234DEC59" w14:textId="77777777" w:rsidR="00534098" w:rsidRDefault="00534098" w:rsidP="00534098">
      <w:pPr>
        <w:pStyle w:val="BodyText"/>
      </w:pPr>
      <w:r>
        <w:t>Almost all of the fall in GDP in 2019</w:t>
      </w:r>
      <w:r>
        <w:noBreakHyphen/>
        <w:t>20 was driven by the significant fall in the June 2020 quarter (7 per cent fall in quarterly GDP), with significant recovery in the following quarters (figure 3). It can be seen that hours worked fell more sharply than GDP in the June quarter and then recovered more strongly in subsequent quarters. As a result, labour productivity spiked in the early parts of the recession (partly driven by a reallocation of labour from lower productivity industries to higher productivity industries, section 2) before then falling slightly. Hours falling faster (and recovering faster) than output also likely reflects that less experienced (and so less productive) workers are often the first to be made redundant, as well as some short term stickiness of capital (capital is often retained during recessions given the costs of disposal, while workers can be made redundant more easily) meaning that there was capital deepening despite subdued investment. However, this capital</w:t>
      </w:r>
      <w:r>
        <w:noBreakHyphen/>
        <w:t xml:space="preserve">deepening is likely overestimated once utilisation is properly accounted for (box 2). </w:t>
      </w:r>
    </w:p>
    <w:p w14:paraId="7F70E02E" w14:textId="77777777" w:rsidR="00534098" w:rsidRDefault="00534098" w:rsidP="00534098">
      <w:pPr>
        <w:pStyle w:val="BodyText"/>
      </w:pPr>
      <w:r>
        <w:t>Since the end of the 2019</w:t>
      </w:r>
      <w:r>
        <w:noBreakHyphen/>
        <w:t xml:space="preserve">20 financial year however, it </w:t>
      </w:r>
      <w:r w:rsidRPr="00AF43A7">
        <w:t>appears</w:t>
      </w:r>
      <w:r>
        <w:t xml:space="preserve"> that many labour market indicators have returned to pre</w:t>
      </w:r>
      <w:r>
        <w:noBreakHyphen/>
        <w:t>COVID levels. For example, average hours worked per employee across the economy had almost normalised by December 2020 (figure 4). Similarly, participation rates had returned to pre</w:t>
      </w:r>
      <w:r>
        <w:noBreakHyphen/>
        <w:t xml:space="preserve">COVID levels by February 2021, with only unemployment rates remaining slightly elevated (figure 5). </w:t>
      </w:r>
    </w:p>
    <w:p w14:paraId="28553A5A" w14:textId="64D1F6DD" w:rsidR="00534098" w:rsidRDefault="00534098" w:rsidP="00534098">
      <w:pPr>
        <w:pStyle w:val="BodyText"/>
      </w:pPr>
      <w:r>
        <w:t>So far, the recovery in employment has been much faster than previous recessions despite a larger, faster initial fall (figure 6). For example, during the 1991</w:t>
      </w:r>
      <w:r>
        <w:noBreakHyphen/>
        <w:t>92 recession, employment levels fell 3.6 per cent below pre</w:t>
      </w:r>
      <w:r>
        <w:noBreakHyphen/>
        <w:t>recession levels and it took over four years (49 months) for employment to recover</w:t>
      </w:r>
      <w:r w:rsidR="00424E17">
        <w:t xml:space="preserve"> back to pre-recession levels</w:t>
      </w:r>
      <w:r>
        <w:t xml:space="preserve">. By contrast, from February 2020, employment levels fell over 7 per cent in four months with the recovery effectively complete after twelve months. Though the withdrawal of stimulus measures may cause some reversals. </w:t>
      </w:r>
    </w:p>
    <w:p w14:paraId="68AC4910" w14:textId="4730ED87"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EEDB91D" w14:textId="77777777" w:rsidTr="007A39EB">
        <w:trPr>
          <w:tblHeader/>
        </w:trPr>
        <w:tc>
          <w:tcPr>
            <w:tcW w:w="5000" w:type="pct"/>
            <w:tcBorders>
              <w:top w:val="single" w:sz="6" w:space="0" w:color="78A22F"/>
              <w:left w:val="nil"/>
              <w:bottom w:val="nil"/>
              <w:right w:val="nil"/>
            </w:tcBorders>
            <w:shd w:val="clear" w:color="auto" w:fill="auto"/>
          </w:tcPr>
          <w:p w14:paraId="347BD7C2" w14:textId="017B331B" w:rsidR="00534098" w:rsidRDefault="00534098" w:rsidP="007A39EB">
            <w:pPr>
              <w:pStyle w:val="FigureTitle"/>
            </w:pPr>
            <w:r w:rsidRPr="00784A05">
              <w:rPr>
                <w:b w:val="0"/>
              </w:rPr>
              <w:t xml:space="preserve">Figure </w:t>
            </w:r>
            <w:r w:rsidR="0015674B">
              <w:rPr>
                <w:b w:val="0"/>
                <w:noProof/>
              </w:rPr>
              <w:t>3</w:t>
            </w:r>
            <w:r>
              <w:tab/>
              <w:t>Almost all of the fall in real GDP occurred in the June quarter, with some recovery in subsequent quarters</w:t>
            </w:r>
          </w:p>
          <w:p w14:paraId="0E110B5D" w14:textId="77777777" w:rsidR="00534098" w:rsidRPr="00176D3F" w:rsidRDefault="00534098" w:rsidP="007A39EB">
            <w:pPr>
              <w:pStyle w:val="Subtitle"/>
            </w:pPr>
            <w:r>
              <w:t>Quarterly growth in GDP, labour productivity and hours worked (all seasonally adjusted) between March 2019 and December 2020</w:t>
            </w:r>
          </w:p>
        </w:tc>
      </w:tr>
      <w:tr w:rsidR="00534098" w14:paraId="341F5404"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70159321" w14:textId="77777777" w:rsidTr="007A39EB">
              <w:trPr>
                <w:tblHeader/>
                <w:jc w:val="center"/>
              </w:trPr>
              <w:tc>
                <w:tcPr>
                  <w:tcW w:w="5000" w:type="pct"/>
                  <w:tcBorders>
                    <w:top w:val="nil"/>
                    <w:bottom w:val="nil"/>
                  </w:tcBorders>
                </w:tcPr>
                <w:p w14:paraId="40E36E91" w14:textId="77777777" w:rsidR="00534098" w:rsidRPr="00B1465D" w:rsidRDefault="00534098" w:rsidP="007A39EB">
                  <w:pPr>
                    <w:pStyle w:val="Figure"/>
                    <w:spacing w:before="60" w:after="60"/>
                    <w:rPr>
                      <w:rFonts w:ascii="Arial" w:hAnsi="Arial" w:cs="Arial"/>
                      <w:sz w:val="18"/>
                      <w:szCs w:val="18"/>
                    </w:rPr>
                  </w:pPr>
                  <w:r w:rsidRPr="004E65DA">
                    <w:rPr>
                      <w:rFonts w:ascii="Arial" w:hAnsi="Arial" w:cs="Arial"/>
                      <w:noProof/>
                      <w:sz w:val="18"/>
                      <w:szCs w:val="18"/>
                    </w:rPr>
                    <w:drawing>
                      <wp:inline distT="0" distB="0" distL="0" distR="0" wp14:anchorId="6BF12BD1" wp14:editId="1E2AE345">
                        <wp:extent cx="5322570" cy="2696210"/>
                        <wp:effectExtent l="0" t="0" r="0" b="8890"/>
                        <wp:docPr id="26" name="Picture 26" descr="This figure plots the quarterly growth in real GDP between March 2019 and December 2020 and shows that GDP fell significantly in the Jun 2020 quarter (about 10 per cent) before recovering in September and December. Most of these changes in real GDP growth was due to falling and subsequent recover in hours wo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figure plots the quarterly growth in real GDP between March 2019 and December 2020 and shows that GDP fell significantly in the Jun 2020 quarter (about 10 per cent) before recovering in September and December. Most of these changes in real GDP growth was due to falling and subsequent recover in hours worke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2570" cy="2696210"/>
                                </a:xfrm>
                                <a:prstGeom prst="rect">
                                  <a:avLst/>
                                </a:prstGeom>
                                <a:noFill/>
                                <a:ln>
                                  <a:noFill/>
                                </a:ln>
                              </pic:spPr>
                            </pic:pic>
                          </a:graphicData>
                        </a:graphic>
                      </wp:inline>
                    </w:drawing>
                  </w:r>
                </w:p>
              </w:tc>
            </w:tr>
          </w:tbl>
          <w:p w14:paraId="06BA4CC2" w14:textId="77777777" w:rsidR="00534098" w:rsidRDefault="00534098" w:rsidP="007A39EB">
            <w:pPr>
              <w:pStyle w:val="Figure"/>
            </w:pPr>
          </w:p>
        </w:tc>
      </w:tr>
      <w:tr w:rsidR="00534098" w:rsidRPr="00176D3F" w14:paraId="27ACA9CA" w14:textId="77777777" w:rsidTr="007A39EB">
        <w:tc>
          <w:tcPr>
            <w:tcW w:w="5000" w:type="pct"/>
            <w:tcBorders>
              <w:top w:val="nil"/>
              <w:left w:val="nil"/>
              <w:bottom w:val="nil"/>
              <w:right w:val="nil"/>
            </w:tcBorders>
            <w:shd w:val="clear" w:color="auto" w:fill="auto"/>
          </w:tcPr>
          <w:p w14:paraId="30E6F75E" w14:textId="77777777" w:rsidR="00534098" w:rsidRPr="00176D3F" w:rsidRDefault="00534098" w:rsidP="007A39EB">
            <w:pPr>
              <w:pStyle w:val="Source"/>
            </w:pPr>
            <w:r>
              <w:rPr>
                <w:i/>
              </w:rPr>
              <w:t>S</w:t>
            </w:r>
            <w:r w:rsidRPr="00784A05">
              <w:rPr>
                <w:i/>
              </w:rPr>
              <w:t>ource</w:t>
            </w:r>
            <w:r w:rsidRPr="00176D3F">
              <w:t xml:space="preserve">: </w:t>
            </w:r>
            <w:r>
              <w:t>ABS (</w:t>
            </w:r>
            <w:r w:rsidRPr="00B8240F">
              <w:rPr>
                <w:i/>
                <w:iCs/>
              </w:rPr>
              <w:t xml:space="preserve">Australian National Accounts: National Income, Expenditure and Product, </w:t>
            </w:r>
            <w:r>
              <w:rPr>
                <w:i/>
                <w:iCs/>
              </w:rPr>
              <w:t>December 2020</w:t>
            </w:r>
            <w:r>
              <w:t>, Cat. no. </w:t>
            </w:r>
            <w:r w:rsidRPr="00260C3D">
              <w:t>5206.0.</w:t>
            </w:r>
            <w:r>
              <w:t>, table 1).</w:t>
            </w:r>
          </w:p>
        </w:tc>
      </w:tr>
      <w:tr w:rsidR="00534098" w14:paraId="15FFF845" w14:textId="77777777" w:rsidTr="007A39EB">
        <w:tc>
          <w:tcPr>
            <w:tcW w:w="5000" w:type="pct"/>
            <w:tcBorders>
              <w:top w:val="nil"/>
              <w:left w:val="nil"/>
              <w:bottom w:val="single" w:sz="6" w:space="0" w:color="78A22F"/>
              <w:right w:val="nil"/>
            </w:tcBorders>
            <w:shd w:val="clear" w:color="auto" w:fill="auto"/>
          </w:tcPr>
          <w:p w14:paraId="25FA7FA7" w14:textId="77777777" w:rsidR="00534098" w:rsidRDefault="00534098" w:rsidP="007A39EB">
            <w:pPr>
              <w:pStyle w:val="Figurespace"/>
            </w:pPr>
          </w:p>
        </w:tc>
      </w:tr>
      <w:tr w:rsidR="00534098" w:rsidRPr="000863A5" w14:paraId="292A3C59" w14:textId="77777777" w:rsidTr="007A39EB">
        <w:tc>
          <w:tcPr>
            <w:tcW w:w="5000" w:type="pct"/>
            <w:tcBorders>
              <w:top w:val="single" w:sz="6" w:space="0" w:color="78A22F"/>
              <w:left w:val="nil"/>
              <w:bottom w:val="nil"/>
              <w:right w:val="nil"/>
            </w:tcBorders>
          </w:tcPr>
          <w:p w14:paraId="17E4374D" w14:textId="3B1529C3" w:rsidR="00534098" w:rsidRPr="00626D32" w:rsidRDefault="00534098" w:rsidP="007A39EB">
            <w:pPr>
              <w:pStyle w:val="BoxSpaceBelow"/>
            </w:pPr>
          </w:p>
        </w:tc>
      </w:tr>
    </w:tbl>
    <w:p w14:paraId="5459DEB9" w14:textId="35EFEFE3"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10E68C6" w14:textId="77777777" w:rsidTr="007A39EB">
        <w:trPr>
          <w:tblHeader/>
        </w:trPr>
        <w:tc>
          <w:tcPr>
            <w:tcW w:w="5000" w:type="pct"/>
            <w:tcBorders>
              <w:top w:val="single" w:sz="6" w:space="0" w:color="78A22F"/>
              <w:left w:val="nil"/>
              <w:bottom w:val="nil"/>
              <w:right w:val="nil"/>
            </w:tcBorders>
            <w:shd w:val="clear" w:color="auto" w:fill="auto"/>
          </w:tcPr>
          <w:p w14:paraId="16C2487C" w14:textId="2BF1BF9B" w:rsidR="00534098" w:rsidRDefault="00534098" w:rsidP="007A39EB">
            <w:pPr>
              <w:pStyle w:val="FigureTitle"/>
            </w:pPr>
            <w:r w:rsidRPr="00784A05">
              <w:rPr>
                <w:b w:val="0"/>
              </w:rPr>
              <w:t xml:space="preserve">Figure </w:t>
            </w:r>
            <w:r>
              <w:rPr>
                <w:b w:val="0"/>
              </w:rPr>
              <w:t>4</w:t>
            </w:r>
            <w:r>
              <w:tab/>
              <w:t>Hours worked per employee had almost recovered to pre</w:t>
            </w:r>
            <w:r>
              <w:noBreakHyphen/>
              <w:t>COVID levels by the end of 2020 …</w:t>
            </w:r>
          </w:p>
          <w:p w14:paraId="36637864" w14:textId="77777777" w:rsidR="00534098" w:rsidRPr="00176D3F" w:rsidRDefault="00534098" w:rsidP="007A39EB">
            <w:pPr>
              <w:pStyle w:val="Subtitle"/>
            </w:pPr>
            <w:r>
              <w:t xml:space="preserve">Hours worked per worker (per quarter, seasonally adjusted) levels and growth rates between December 2015 and December 2020 </w:t>
            </w:r>
          </w:p>
        </w:tc>
      </w:tr>
      <w:tr w:rsidR="00534098" w14:paraId="7112FA3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76C60381" w14:textId="77777777" w:rsidTr="007A39EB">
              <w:trPr>
                <w:tblHeader/>
                <w:jc w:val="center"/>
              </w:trPr>
              <w:tc>
                <w:tcPr>
                  <w:tcW w:w="5000" w:type="pct"/>
                  <w:tcBorders>
                    <w:top w:val="nil"/>
                    <w:bottom w:val="nil"/>
                  </w:tcBorders>
                </w:tcPr>
                <w:p w14:paraId="40D6429B" w14:textId="77777777" w:rsidR="00534098" w:rsidRPr="00B1465D" w:rsidRDefault="00534098" w:rsidP="007A39EB">
                  <w:pPr>
                    <w:pStyle w:val="Figure"/>
                    <w:spacing w:before="60" w:after="60"/>
                    <w:rPr>
                      <w:rFonts w:ascii="Arial" w:hAnsi="Arial" w:cs="Arial"/>
                      <w:sz w:val="18"/>
                      <w:szCs w:val="18"/>
                    </w:rPr>
                  </w:pPr>
                  <w:r w:rsidRPr="0049495D">
                    <w:rPr>
                      <w:rFonts w:ascii="Arial" w:hAnsi="Arial" w:cs="Arial"/>
                      <w:noProof/>
                      <w:sz w:val="18"/>
                      <w:szCs w:val="18"/>
                    </w:rPr>
                    <w:drawing>
                      <wp:inline distT="0" distB="0" distL="0" distR="0" wp14:anchorId="6E5D88BC" wp14:editId="155376C1">
                        <wp:extent cx="5404485" cy="2696210"/>
                        <wp:effectExtent l="0" t="0" r="5715" b="8890"/>
                        <wp:docPr id="46" name="Picture 46" descr="This figure plots the quarterly growth in hours worked between March 2019 and December 2020 and shows that hours worked fell significantly in the Jun 2020 quarter (about 5 per cent) before recovering in September and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plots the quarterly growth in hours worked between March 2019 and December 2020 and shows that hours worked fell significantly in the Jun 2020 quarter (about 5 per cent) before recovering in September and Dece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4485" cy="2696210"/>
                                </a:xfrm>
                                <a:prstGeom prst="rect">
                                  <a:avLst/>
                                </a:prstGeom>
                                <a:noFill/>
                                <a:ln>
                                  <a:noFill/>
                                </a:ln>
                              </pic:spPr>
                            </pic:pic>
                          </a:graphicData>
                        </a:graphic>
                      </wp:inline>
                    </w:drawing>
                  </w:r>
                </w:p>
              </w:tc>
            </w:tr>
          </w:tbl>
          <w:p w14:paraId="25816BD8" w14:textId="77777777" w:rsidR="00534098" w:rsidRDefault="00534098" w:rsidP="007A39EB">
            <w:pPr>
              <w:pStyle w:val="Figure"/>
            </w:pPr>
          </w:p>
        </w:tc>
      </w:tr>
      <w:tr w:rsidR="00534098" w:rsidRPr="00176D3F" w14:paraId="023FAF7A" w14:textId="77777777" w:rsidTr="007A39EB">
        <w:tc>
          <w:tcPr>
            <w:tcW w:w="5000" w:type="pct"/>
            <w:tcBorders>
              <w:top w:val="nil"/>
              <w:left w:val="nil"/>
              <w:bottom w:val="nil"/>
              <w:right w:val="nil"/>
            </w:tcBorders>
            <w:shd w:val="clear" w:color="auto" w:fill="auto"/>
          </w:tcPr>
          <w:p w14:paraId="0016B58E" w14:textId="77777777" w:rsidR="00534098" w:rsidRPr="00176D3F" w:rsidRDefault="00534098" w:rsidP="007A39EB">
            <w:pPr>
              <w:pStyle w:val="Source"/>
            </w:pPr>
            <w:r>
              <w:rPr>
                <w:i/>
              </w:rPr>
              <w:t>S</w:t>
            </w:r>
            <w:r w:rsidRPr="00784A05">
              <w:rPr>
                <w:i/>
              </w:rPr>
              <w:t>ource</w:t>
            </w:r>
            <w:r w:rsidRPr="00176D3F">
              <w:t xml:space="preserve">: </w:t>
            </w:r>
            <w:r>
              <w:t>ABS (</w:t>
            </w:r>
            <w:r w:rsidRPr="006C7CA3">
              <w:rPr>
                <w:i/>
              </w:rPr>
              <w:t xml:space="preserve">Labour Account Australia, </w:t>
            </w:r>
            <w:r>
              <w:rPr>
                <w:i/>
                <w:iCs/>
              </w:rPr>
              <w:t>December</w:t>
            </w:r>
            <w:r w:rsidRPr="006C7CA3">
              <w:rPr>
                <w:i/>
              </w:rPr>
              <w:t> 2020</w:t>
            </w:r>
            <w:r>
              <w:t>, Cat. no. </w:t>
            </w:r>
            <w:r w:rsidRPr="00985C16">
              <w:t>6150.0.55.003</w:t>
            </w:r>
            <w:r>
              <w:t>, table 1).</w:t>
            </w:r>
          </w:p>
        </w:tc>
      </w:tr>
      <w:tr w:rsidR="00534098" w14:paraId="69719575" w14:textId="77777777" w:rsidTr="007A39EB">
        <w:tc>
          <w:tcPr>
            <w:tcW w:w="5000" w:type="pct"/>
            <w:tcBorders>
              <w:top w:val="nil"/>
              <w:left w:val="nil"/>
              <w:bottom w:val="single" w:sz="6" w:space="0" w:color="78A22F"/>
              <w:right w:val="nil"/>
            </w:tcBorders>
            <w:shd w:val="clear" w:color="auto" w:fill="auto"/>
          </w:tcPr>
          <w:p w14:paraId="603B9936" w14:textId="77777777" w:rsidR="00534098" w:rsidRDefault="00534098" w:rsidP="007A39EB">
            <w:pPr>
              <w:pStyle w:val="Figurespace"/>
            </w:pPr>
          </w:p>
        </w:tc>
      </w:tr>
      <w:tr w:rsidR="00534098" w:rsidRPr="000863A5" w14:paraId="4D1A1C60" w14:textId="77777777" w:rsidTr="007A39EB">
        <w:tc>
          <w:tcPr>
            <w:tcW w:w="5000" w:type="pct"/>
            <w:tcBorders>
              <w:top w:val="single" w:sz="6" w:space="0" w:color="78A22F"/>
              <w:left w:val="nil"/>
              <w:bottom w:val="nil"/>
              <w:right w:val="nil"/>
            </w:tcBorders>
          </w:tcPr>
          <w:p w14:paraId="457FA642" w14:textId="50D2AD55" w:rsidR="00534098" w:rsidRPr="00626D32" w:rsidRDefault="00534098" w:rsidP="007A39EB">
            <w:pPr>
              <w:pStyle w:val="BoxSpaceBelow"/>
            </w:pPr>
          </w:p>
        </w:tc>
      </w:tr>
    </w:tbl>
    <w:p w14:paraId="7DBF6603" w14:textId="3D5075DD" w:rsidR="00534098" w:rsidRDefault="00534098" w:rsidP="00EC2C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40D8B79E" w14:textId="77777777" w:rsidTr="007A39EB">
        <w:trPr>
          <w:tblHeader/>
        </w:trPr>
        <w:tc>
          <w:tcPr>
            <w:tcW w:w="5000" w:type="pct"/>
            <w:tcBorders>
              <w:top w:val="single" w:sz="6" w:space="0" w:color="78A22F"/>
              <w:left w:val="nil"/>
              <w:bottom w:val="nil"/>
              <w:right w:val="nil"/>
            </w:tcBorders>
            <w:shd w:val="clear" w:color="auto" w:fill="auto"/>
          </w:tcPr>
          <w:p w14:paraId="32B98ACF" w14:textId="00C8A1BF" w:rsidR="00534098" w:rsidRDefault="00534098" w:rsidP="007A39EB">
            <w:pPr>
              <w:pStyle w:val="FigureTitle"/>
            </w:pPr>
            <w:r w:rsidRPr="00784A05">
              <w:rPr>
                <w:b w:val="0"/>
              </w:rPr>
              <w:t xml:space="preserve">Figure </w:t>
            </w:r>
            <w:r>
              <w:rPr>
                <w:b w:val="0"/>
              </w:rPr>
              <w:t>5</w:t>
            </w:r>
            <w:r>
              <w:tab/>
              <w:t xml:space="preserve">… and participation had recovered </w:t>
            </w:r>
            <w:r w:rsidRPr="009655B3">
              <w:t xml:space="preserve">but the unemployment rate still remains </w:t>
            </w:r>
            <w:r>
              <w:t xml:space="preserve">slightly </w:t>
            </w:r>
            <w:r w:rsidRPr="009655B3">
              <w:t>above pre</w:t>
            </w:r>
            <w:r w:rsidRPr="009655B3">
              <w:noBreakHyphen/>
              <w:t>COVID levels</w:t>
            </w:r>
          </w:p>
          <w:p w14:paraId="130EFBA5" w14:textId="77777777" w:rsidR="00534098" w:rsidRPr="00176D3F" w:rsidRDefault="00534098" w:rsidP="007A39EB">
            <w:pPr>
              <w:pStyle w:val="Subtitle"/>
            </w:pPr>
            <w:r>
              <w:t>Monthly participation rate (left) and monthly unemployment rate (right) (both seasonally adjusted) between August 2019 and February 2021</w:t>
            </w:r>
          </w:p>
        </w:tc>
      </w:tr>
      <w:tr w:rsidR="00534098" w14:paraId="1D7E3741"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534098" w:rsidRPr="00B1465D" w14:paraId="72029B4B" w14:textId="77777777" w:rsidTr="007A39EB">
              <w:trPr>
                <w:tblHeader/>
                <w:jc w:val="center"/>
              </w:trPr>
              <w:tc>
                <w:tcPr>
                  <w:tcW w:w="2500" w:type="pct"/>
                  <w:tcBorders>
                    <w:top w:val="nil"/>
                    <w:bottom w:val="nil"/>
                  </w:tcBorders>
                </w:tcPr>
                <w:p w14:paraId="5508F799" w14:textId="77777777" w:rsidR="00534098" w:rsidRDefault="00534098" w:rsidP="007A39EB">
                  <w:pPr>
                    <w:pStyle w:val="Figure"/>
                    <w:spacing w:before="60" w:after="60"/>
                    <w:rPr>
                      <w:rStyle w:val="CommentReference"/>
                      <w:szCs w:val="24"/>
                    </w:rPr>
                  </w:pPr>
                  <w:r w:rsidRPr="003B7F22">
                    <w:rPr>
                      <w:rFonts w:ascii="Arial" w:hAnsi="Arial" w:cs="Arial"/>
                      <w:noProof/>
                      <w:sz w:val="18"/>
                      <w:szCs w:val="18"/>
                    </w:rPr>
                    <w:drawing>
                      <wp:inline distT="0" distB="0" distL="0" distR="0" wp14:anchorId="3DFF97AA" wp14:editId="116A2E86">
                        <wp:extent cx="2701925" cy="2872105"/>
                        <wp:effectExtent l="0" t="0" r="3175" b="4445"/>
                        <wp:docPr id="49" name="Picture 49" descr="The left hand side of this figure plots the participation rate between September 2019 and March 2021 and shows that the participation rate fell about 3 per cent in March 2020 before recovering by Decemb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left hand side of this figure plots the participation rate between September 2019 and March 2021 and shows that the participation rate fell about 3 per cent in March 2020 before recovering by December 2020.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2872105"/>
                                </a:xfrm>
                                <a:prstGeom prst="rect">
                                  <a:avLst/>
                                </a:prstGeom>
                                <a:noFill/>
                                <a:ln>
                                  <a:noFill/>
                                </a:ln>
                              </pic:spPr>
                            </pic:pic>
                          </a:graphicData>
                        </a:graphic>
                      </wp:inline>
                    </w:drawing>
                  </w:r>
                </w:p>
              </w:tc>
              <w:tc>
                <w:tcPr>
                  <w:tcW w:w="2500" w:type="pct"/>
                  <w:tcBorders>
                    <w:top w:val="nil"/>
                    <w:bottom w:val="nil"/>
                  </w:tcBorders>
                </w:tcPr>
                <w:p w14:paraId="540F8232" w14:textId="77777777" w:rsidR="00534098" w:rsidRPr="00B1465D" w:rsidRDefault="00534098" w:rsidP="007A39EB">
                  <w:pPr>
                    <w:pStyle w:val="Figure"/>
                    <w:spacing w:before="60" w:after="60"/>
                    <w:rPr>
                      <w:rFonts w:ascii="Arial" w:hAnsi="Arial" w:cs="Arial"/>
                      <w:sz w:val="18"/>
                      <w:szCs w:val="18"/>
                    </w:rPr>
                  </w:pPr>
                  <w:r w:rsidRPr="00531847">
                    <w:rPr>
                      <w:rFonts w:ascii="Arial" w:hAnsi="Arial" w:cs="Arial"/>
                      <w:noProof/>
                      <w:sz w:val="18"/>
                      <w:szCs w:val="18"/>
                    </w:rPr>
                    <w:drawing>
                      <wp:inline distT="0" distB="0" distL="0" distR="0" wp14:anchorId="31879562" wp14:editId="397AAE1D">
                        <wp:extent cx="2701925" cy="2872105"/>
                        <wp:effectExtent l="0" t="0" r="3175" b="4445"/>
                        <wp:docPr id="47" name="Picture 47" descr="The right hand side plots the unemployment rate over the same time period and shows a 2 per cent spike in unemployment occurred in March 2020. Unemployment still had not fully recovered at March 2021 and is still about .5 per cent higher than it was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right hand side plots the unemployment rate over the same time period and shows a 2 per cent spike in unemployment occurred in March 2020. Unemployment still had not fully recovered at March 2021 and is still about .5 per cent higher than it was in March 20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925" cy="2872105"/>
                                </a:xfrm>
                                <a:prstGeom prst="rect">
                                  <a:avLst/>
                                </a:prstGeom>
                                <a:noFill/>
                                <a:ln>
                                  <a:noFill/>
                                </a:ln>
                              </pic:spPr>
                            </pic:pic>
                          </a:graphicData>
                        </a:graphic>
                      </wp:inline>
                    </w:drawing>
                  </w:r>
                </w:p>
              </w:tc>
            </w:tr>
          </w:tbl>
          <w:p w14:paraId="690C71FF" w14:textId="77777777" w:rsidR="00534098" w:rsidRDefault="00534098" w:rsidP="007A39EB">
            <w:pPr>
              <w:pStyle w:val="Figure"/>
            </w:pPr>
          </w:p>
        </w:tc>
      </w:tr>
      <w:tr w:rsidR="00534098" w:rsidRPr="00176D3F" w14:paraId="28410E0E" w14:textId="77777777" w:rsidTr="007A39EB">
        <w:tc>
          <w:tcPr>
            <w:tcW w:w="5000" w:type="pct"/>
            <w:tcBorders>
              <w:top w:val="nil"/>
              <w:left w:val="nil"/>
              <w:bottom w:val="nil"/>
              <w:right w:val="nil"/>
            </w:tcBorders>
            <w:shd w:val="clear" w:color="auto" w:fill="auto"/>
          </w:tcPr>
          <w:p w14:paraId="0E1A7682" w14:textId="77777777" w:rsidR="00534098" w:rsidRPr="00176D3F" w:rsidRDefault="00534098" w:rsidP="007A39EB">
            <w:pPr>
              <w:pStyle w:val="Source"/>
            </w:pPr>
            <w:r>
              <w:rPr>
                <w:i/>
              </w:rPr>
              <w:t>S</w:t>
            </w:r>
            <w:r w:rsidRPr="00784A05">
              <w:rPr>
                <w:i/>
              </w:rPr>
              <w:t>ource</w:t>
            </w:r>
            <w:r w:rsidRPr="00176D3F">
              <w:t xml:space="preserve">: </w:t>
            </w:r>
            <w:r>
              <w:t>ABS (</w:t>
            </w:r>
            <w:r w:rsidRPr="00B8240F">
              <w:rPr>
                <w:i/>
                <w:iCs/>
              </w:rPr>
              <w:t xml:space="preserve">Labour force Australia, </w:t>
            </w:r>
            <w:r>
              <w:rPr>
                <w:i/>
                <w:iCs/>
              </w:rPr>
              <w:t>March</w:t>
            </w:r>
            <w:r w:rsidRPr="00B8240F">
              <w:rPr>
                <w:i/>
                <w:iCs/>
              </w:rPr>
              <w:t xml:space="preserve"> 2021</w:t>
            </w:r>
            <w:r>
              <w:t>, Cat. no. </w:t>
            </w:r>
            <w:r w:rsidRPr="009815C8">
              <w:t>6202.0</w:t>
            </w:r>
            <w:r>
              <w:t>, table 1).</w:t>
            </w:r>
          </w:p>
        </w:tc>
      </w:tr>
      <w:tr w:rsidR="00534098" w14:paraId="3687DC3C" w14:textId="77777777" w:rsidTr="007A39EB">
        <w:tc>
          <w:tcPr>
            <w:tcW w:w="5000" w:type="pct"/>
            <w:tcBorders>
              <w:top w:val="nil"/>
              <w:left w:val="nil"/>
              <w:bottom w:val="single" w:sz="6" w:space="0" w:color="78A22F"/>
              <w:right w:val="nil"/>
            </w:tcBorders>
            <w:shd w:val="clear" w:color="auto" w:fill="auto"/>
          </w:tcPr>
          <w:p w14:paraId="62C4E4BC" w14:textId="77777777" w:rsidR="00534098" w:rsidRDefault="00534098" w:rsidP="00B83861">
            <w:pPr>
              <w:pStyle w:val="Figurespace"/>
              <w:keepNext w:val="0"/>
            </w:pPr>
          </w:p>
        </w:tc>
      </w:tr>
    </w:tbl>
    <w:p w14:paraId="54719BF6" w14:textId="214D0761"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0EC7C9FE" w14:textId="77777777" w:rsidTr="007A39EB">
        <w:trPr>
          <w:tblHeader/>
        </w:trPr>
        <w:tc>
          <w:tcPr>
            <w:tcW w:w="5000" w:type="pct"/>
            <w:tcBorders>
              <w:top w:val="single" w:sz="6" w:space="0" w:color="78A22F"/>
              <w:left w:val="nil"/>
              <w:bottom w:val="nil"/>
              <w:right w:val="nil"/>
            </w:tcBorders>
            <w:shd w:val="clear" w:color="auto" w:fill="auto"/>
          </w:tcPr>
          <w:p w14:paraId="2579089B" w14:textId="399E1642" w:rsidR="00534098" w:rsidRDefault="00534098" w:rsidP="007A39EB">
            <w:pPr>
              <w:pStyle w:val="FigureTitle"/>
            </w:pPr>
            <w:r w:rsidRPr="00784A05">
              <w:rPr>
                <w:b w:val="0"/>
              </w:rPr>
              <w:t xml:space="preserve">Figure </w:t>
            </w:r>
            <w:r>
              <w:rPr>
                <w:b w:val="0"/>
              </w:rPr>
              <w:t>6</w:t>
            </w:r>
            <w:r>
              <w:tab/>
              <w:t>COVID</w:t>
            </w:r>
            <w:r>
              <w:noBreakHyphen/>
              <w:t>19 caused a larger but briefer fall in employment relative to previous recessions</w:t>
            </w:r>
          </w:p>
          <w:p w14:paraId="2F4BECCA" w14:textId="77777777" w:rsidR="00534098" w:rsidRPr="00176D3F" w:rsidRDefault="00534098" w:rsidP="007A39EB">
            <w:pPr>
              <w:pStyle w:val="Subtitle"/>
            </w:pPr>
            <w:r>
              <w:t>Percentage fall in employment (seasonally adjusted) from peak employment</w:t>
            </w:r>
            <w:r w:rsidRPr="009044EF">
              <w:rPr>
                <w:rStyle w:val="NoteLabel"/>
              </w:rPr>
              <w:t>a</w:t>
            </w:r>
            <w:r>
              <w:t xml:space="preserve"> levels and the number of months since employment peaked</w:t>
            </w:r>
          </w:p>
        </w:tc>
      </w:tr>
      <w:tr w:rsidR="00534098" w14:paraId="01D0B85E"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16DC9EC7" w14:textId="77777777" w:rsidTr="007A39EB">
              <w:trPr>
                <w:tblHeader/>
                <w:jc w:val="center"/>
              </w:trPr>
              <w:tc>
                <w:tcPr>
                  <w:tcW w:w="5000" w:type="pct"/>
                  <w:tcBorders>
                    <w:top w:val="nil"/>
                    <w:bottom w:val="nil"/>
                  </w:tcBorders>
                </w:tcPr>
                <w:p w14:paraId="219CC920" w14:textId="044C3970" w:rsidR="00534098" w:rsidRPr="00B1465D" w:rsidRDefault="000D17B6" w:rsidP="007A39EB">
                  <w:pPr>
                    <w:pStyle w:val="Figure"/>
                    <w:spacing w:before="60" w:after="60"/>
                    <w:rPr>
                      <w:rFonts w:ascii="Arial" w:hAnsi="Arial" w:cs="Arial"/>
                      <w:sz w:val="18"/>
                      <w:szCs w:val="18"/>
                    </w:rPr>
                  </w:pPr>
                  <w:r w:rsidRPr="000D17B6">
                    <w:rPr>
                      <w:rFonts w:ascii="Arial" w:hAnsi="Arial" w:cs="Arial"/>
                      <w:noProof/>
                      <w:sz w:val="18"/>
                      <w:szCs w:val="18"/>
                    </w:rPr>
                    <w:drawing>
                      <wp:inline distT="0" distB="0" distL="0" distR="0" wp14:anchorId="5E276AC9" wp14:editId="372F15F8">
                        <wp:extent cx="5401945" cy="2898140"/>
                        <wp:effectExtent l="0" t="0" r="8255" b="0"/>
                        <wp:docPr id="10" name="Picture 10" descr="This figure plots the months since peak employment during Australia’s most recent 3 recessions. The recession in 1982 saw a fall in employment that peaked at about 3.5 per cent and the economy took 28 weeks before fully recovering. The recession in 1990 saw a peak fall in employment of about 4 per cent and the economy took about 48 weeks to return to previous levels of employment. By contrast the economy only took 11 weeks to return to previous employment during the COVID-19 associated recession but saw a peak fall in employment of about 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plots the months since peak employment during Australia’s most recent 3 recessions. The recession in 1982 saw a fall in employment that peaked at about 3.5 per cent and the economy took 28 weeks before fully recovering. The recession in 1990 saw a peak fall in employment of about 4 per cent and the economy took about 48 weeks to return to previous levels of employment. By contrast the economy only took 11 weeks to return to previous employment during the COVID-19 associated recession but saw a peak fall in employment of about 7 per ce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945" cy="2898140"/>
                                </a:xfrm>
                                <a:prstGeom prst="rect">
                                  <a:avLst/>
                                </a:prstGeom>
                                <a:noFill/>
                                <a:ln>
                                  <a:noFill/>
                                </a:ln>
                              </pic:spPr>
                            </pic:pic>
                          </a:graphicData>
                        </a:graphic>
                      </wp:inline>
                    </w:drawing>
                  </w:r>
                </w:p>
              </w:tc>
            </w:tr>
          </w:tbl>
          <w:p w14:paraId="28C3FD14" w14:textId="77777777" w:rsidR="00534098" w:rsidRDefault="00534098" w:rsidP="007A39EB">
            <w:pPr>
              <w:pStyle w:val="Figure"/>
            </w:pPr>
          </w:p>
        </w:tc>
      </w:tr>
      <w:tr w:rsidR="00534098" w:rsidRPr="00176D3F" w14:paraId="3B6E1D4A" w14:textId="77777777" w:rsidTr="007A39EB">
        <w:tc>
          <w:tcPr>
            <w:tcW w:w="5000" w:type="pct"/>
            <w:tcBorders>
              <w:top w:val="nil"/>
              <w:left w:val="nil"/>
              <w:bottom w:val="nil"/>
              <w:right w:val="nil"/>
            </w:tcBorders>
            <w:shd w:val="clear" w:color="auto" w:fill="auto"/>
          </w:tcPr>
          <w:p w14:paraId="3F3DA84B" w14:textId="5C7E4230" w:rsidR="00534098" w:rsidRPr="00176D3F" w:rsidRDefault="00534098" w:rsidP="007A39EB">
            <w:pPr>
              <w:pStyle w:val="Note"/>
            </w:pPr>
            <w:r>
              <w:rPr>
                <w:rStyle w:val="NoteLabel"/>
              </w:rPr>
              <w:t>a</w:t>
            </w:r>
            <w:r>
              <w:t xml:space="preserve"> ‘Peak employment’ is defined as the largest past level of total employment since February 1978. Only falls in employment that included periods where employment was more than one per cent lower </w:t>
            </w:r>
            <w:r w:rsidR="00F44ED7">
              <w:t>than its</w:t>
            </w:r>
            <w:r>
              <w:t xml:space="preserve"> peak</w:t>
            </w:r>
            <w:r w:rsidR="00F44ED7">
              <w:t xml:space="preserve"> </w:t>
            </w:r>
            <w:r>
              <w:t xml:space="preserve">were included in this chart. </w:t>
            </w:r>
          </w:p>
        </w:tc>
      </w:tr>
      <w:tr w:rsidR="00534098" w:rsidRPr="00176D3F" w14:paraId="1880BE12" w14:textId="77777777" w:rsidTr="007A39EB">
        <w:tc>
          <w:tcPr>
            <w:tcW w:w="5000" w:type="pct"/>
            <w:tcBorders>
              <w:top w:val="nil"/>
              <w:left w:val="nil"/>
              <w:bottom w:val="nil"/>
              <w:right w:val="nil"/>
            </w:tcBorders>
            <w:shd w:val="clear" w:color="auto" w:fill="auto"/>
          </w:tcPr>
          <w:p w14:paraId="0A667AC6" w14:textId="77777777" w:rsidR="00534098" w:rsidRPr="00733510" w:rsidRDefault="00534098" w:rsidP="007A39EB">
            <w:pPr>
              <w:pStyle w:val="Source"/>
              <w:rPr>
                <w:spacing w:val="-4"/>
              </w:rPr>
            </w:pPr>
            <w:r w:rsidRPr="00733510">
              <w:rPr>
                <w:i/>
                <w:spacing w:val="-4"/>
              </w:rPr>
              <w:t>Source</w:t>
            </w:r>
            <w:r w:rsidRPr="00733510">
              <w:rPr>
                <w:spacing w:val="-4"/>
              </w:rPr>
              <w:t>: Commission estimates based on ABS (</w:t>
            </w:r>
            <w:r w:rsidRPr="00733510">
              <w:rPr>
                <w:i/>
                <w:iCs/>
                <w:spacing w:val="-4"/>
              </w:rPr>
              <w:t>Labour force Australia, March 2021</w:t>
            </w:r>
            <w:r w:rsidRPr="00733510">
              <w:rPr>
                <w:spacing w:val="-4"/>
              </w:rPr>
              <w:t>, Cat. no. 6202.0, table 1).</w:t>
            </w:r>
          </w:p>
        </w:tc>
      </w:tr>
      <w:tr w:rsidR="00534098" w14:paraId="46ED870D" w14:textId="77777777" w:rsidTr="007A39EB">
        <w:tc>
          <w:tcPr>
            <w:tcW w:w="5000" w:type="pct"/>
            <w:tcBorders>
              <w:top w:val="nil"/>
              <w:left w:val="nil"/>
              <w:bottom w:val="single" w:sz="6" w:space="0" w:color="78A22F"/>
              <w:right w:val="nil"/>
            </w:tcBorders>
            <w:shd w:val="clear" w:color="auto" w:fill="auto"/>
          </w:tcPr>
          <w:p w14:paraId="1E087E99" w14:textId="77777777" w:rsidR="00534098" w:rsidRDefault="00534098" w:rsidP="007A39EB">
            <w:pPr>
              <w:pStyle w:val="Figurespace"/>
            </w:pPr>
          </w:p>
        </w:tc>
      </w:tr>
      <w:tr w:rsidR="00534098" w:rsidRPr="000863A5" w14:paraId="69F429F6" w14:textId="77777777" w:rsidTr="007A39EB">
        <w:tc>
          <w:tcPr>
            <w:tcW w:w="5000" w:type="pct"/>
            <w:tcBorders>
              <w:top w:val="single" w:sz="6" w:space="0" w:color="78A22F"/>
              <w:left w:val="nil"/>
              <w:bottom w:val="nil"/>
              <w:right w:val="nil"/>
            </w:tcBorders>
          </w:tcPr>
          <w:p w14:paraId="2162E4E7" w14:textId="2320DAD3" w:rsidR="00534098" w:rsidRPr="00626D32" w:rsidRDefault="00534098" w:rsidP="007A39EB">
            <w:pPr>
              <w:pStyle w:val="BoxSpaceBelow"/>
            </w:pPr>
          </w:p>
        </w:tc>
      </w:tr>
    </w:tbl>
    <w:p w14:paraId="56FABD79" w14:textId="65AA1C5A" w:rsidR="00534098" w:rsidRPr="00E17D11" w:rsidRDefault="00534098" w:rsidP="00534098">
      <w:pPr>
        <w:pStyle w:val="BodyText"/>
        <w:rPr>
          <w:spacing w:val="-4"/>
        </w:rPr>
      </w:pPr>
      <w:r w:rsidRPr="00E17D11">
        <w:rPr>
          <w:spacing w:val="-4"/>
        </w:rPr>
        <w:t>Relative to other developed countries, Australia’s recovery is also impressive (though not unique). In figure 7, while Australia’s initial fall in employment was more severe than in the United Kingdom or New Zealand</w:t>
      </w:r>
      <w:r w:rsidR="00AE7010" w:rsidRPr="00E17D11">
        <w:rPr>
          <w:rStyle w:val="FootnoteReference"/>
          <w:spacing w:val="-4"/>
        </w:rPr>
        <w:footnoteReference w:id="3"/>
      </w:r>
      <w:r w:rsidRPr="00E17D11">
        <w:rPr>
          <w:spacing w:val="-4"/>
        </w:rPr>
        <w:t>, it also recovered faster than some countries whose economies were hit hard by COVID</w:t>
      </w:r>
      <w:r w:rsidRPr="00E17D11">
        <w:rPr>
          <w:spacing w:val="-4"/>
        </w:rPr>
        <w:noBreakHyphen/>
        <w:t>19, such as the United States. The lack of a significant fall in employment in the United Kingdom in response to COVID</w:t>
      </w:r>
      <w:r w:rsidR="00FF2E50" w:rsidRPr="00E17D11">
        <w:rPr>
          <w:spacing w:val="-4"/>
        </w:rPr>
        <w:t>-19</w:t>
      </w:r>
      <w:r w:rsidRPr="00E17D11">
        <w:rPr>
          <w:spacing w:val="-4"/>
        </w:rPr>
        <w:t xml:space="preserve"> is noteworthy given its GDP fell about 19 per cent in the June quarter of 2020 (figure 8). This likely reflects that government programs that aimed to preserve the employer</w:t>
      </w:r>
      <w:r w:rsidRPr="00E17D11">
        <w:rPr>
          <w:spacing w:val="-4"/>
        </w:rPr>
        <w:noBreakHyphen/>
        <w:t xml:space="preserve">employee relationship caused the reduction in labour input usage to come through reduced hours worked per employee rather than through a reduction in the number of employees. Indeed hours per employee per week fell 5.4 hours between the March and June 2020 quarters in the United Kingdom but only fell by about 1.5 hours in Australia between the March and June quarters </w:t>
      </w:r>
      <w:r w:rsidRPr="00E17D11">
        <w:rPr>
          <w:spacing w:val="-4"/>
          <w:szCs w:val="24"/>
        </w:rPr>
        <w:t>(ABS 2020f; ONS 2021</w:t>
      </w:r>
      <w:r w:rsidR="00900171" w:rsidRPr="00E17D11">
        <w:rPr>
          <w:spacing w:val="-4"/>
          <w:szCs w:val="24"/>
        </w:rPr>
        <w:t>b</w:t>
      </w:r>
      <w:r w:rsidRPr="00E17D11">
        <w:rPr>
          <w:spacing w:val="-4"/>
          <w:szCs w:val="24"/>
        </w:rPr>
        <w:t>)</w:t>
      </w:r>
      <w:r w:rsidRPr="00E17D11">
        <w:rPr>
          <w:spacing w:val="-4"/>
        </w:rPr>
        <w:t xml:space="preserve">. </w:t>
      </w:r>
    </w:p>
    <w:p w14:paraId="6C43B581" w14:textId="0AAFF0AE"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0FDF90C0" w14:textId="77777777" w:rsidTr="007A39EB">
        <w:trPr>
          <w:tblHeader/>
        </w:trPr>
        <w:tc>
          <w:tcPr>
            <w:tcW w:w="5000" w:type="pct"/>
            <w:tcBorders>
              <w:top w:val="single" w:sz="6" w:space="0" w:color="78A22F"/>
              <w:left w:val="nil"/>
              <w:bottom w:val="nil"/>
              <w:right w:val="nil"/>
            </w:tcBorders>
            <w:shd w:val="clear" w:color="auto" w:fill="auto"/>
          </w:tcPr>
          <w:p w14:paraId="7C96FAF0" w14:textId="22497CB0" w:rsidR="00534098" w:rsidRPr="00076BDE" w:rsidRDefault="00534098" w:rsidP="007A39EB">
            <w:pPr>
              <w:pStyle w:val="FigureTitle"/>
            </w:pPr>
            <w:r w:rsidRPr="00784A05">
              <w:rPr>
                <w:b w:val="0"/>
              </w:rPr>
              <w:t xml:space="preserve">Figure </w:t>
            </w:r>
            <w:r>
              <w:rPr>
                <w:b w:val="0"/>
              </w:rPr>
              <w:t>7</w:t>
            </w:r>
            <w:r>
              <w:tab/>
              <w:t>Australia’s recovery in employment is impressive, though not unique …</w:t>
            </w:r>
          </w:p>
          <w:p w14:paraId="4725CABD" w14:textId="06FBB4E9" w:rsidR="00534098" w:rsidRPr="00176D3F" w:rsidRDefault="00534098" w:rsidP="00303AB3">
            <w:pPr>
              <w:pStyle w:val="Subtitle"/>
              <w:spacing w:after="0"/>
            </w:pPr>
            <w:r>
              <w:t>Employment</w:t>
            </w:r>
            <w:r w:rsidRPr="00FF436E">
              <w:rPr>
                <w:rStyle w:val="NoteLabel"/>
              </w:rPr>
              <w:t>a</w:t>
            </w:r>
            <w:r>
              <w:t xml:space="preserve"> (monthly, seasonally adjusted)</w:t>
            </w:r>
            <w:r>
              <w:rPr>
                <w:rStyle w:val="NoteLabel"/>
              </w:rPr>
              <w:t>b</w:t>
            </w:r>
            <w:r>
              <w:t xml:space="preserve"> as a proportion of</w:t>
            </w:r>
            <w:r w:rsidR="002D0554">
              <w:t xml:space="preserve"> December 2019 </w:t>
            </w:r>
            <w:r>
              <w:t xml:space="preserve">levels in select countries and quarterly hours </w:t>
            </w:r>
            <w:r w:rsidDel="003B78B0">
              <w:t>worked</w:t>
            </w:r>
            <w:r>
              <w:t xml:space="preserve"> in all jobs</w:t>
            </w:r>
            <w:r>
              <w:rPr>
                <w:rStyle w:val="NoteLabel"/>
              </w:rPr>
              <w:t>c</w:t>
            </w:r>
            <w:r w:rsidR="00F02A4A">
              <w:rPr>
                <w:rStyle w:val="NoteLabel"/>
              </w:rPr>
              <w:t>,</w:t>
            </w:r>
            <w:r>
              <w:rPr>
                <w:rStyle w:val="NoteLabel"/>
              </w:rPr>
              <w:t>d</w:t>
            </w:r>
            <w:r>
              <w:t xml:space="preserve"> (seasonally adjusted)</w:t>
            </w:r>
            <w:r>
              <w:rPr>
                <w:rStyle w:val="NoteLabel"/>
              </w:rPr>
              <w:t>e</w:t>
            </w:r>
            <w:r>
              <w:t xml:space="preserve"> per worker per week </w:t>
            </w:r>
            <w:r w:rsidR="002D0554">
              <w:t>(</w:t>
            </w:r>
            <w:r>
              <w:t>index</w:t>
            </w:r>
            <w:r w:rsidR="002D0554">
              <w:t xml:space="preserve">) </w:t>
            </w:r>
            <w:r>
              <w:t>in select countries</w:t>
            </w:r>
            <w:r w:rsidR="00BB5150">
              <w:t xml:space="preserve"> between December 2019 and April 2020 (top and bottom)</w:t>
            </w:r>
            <w:r w:rsidR="002D0554">
              <w:t>.</w:t>
            </w:r>
          </w:p>
        </w:tc>
      </w:tr>
      <w:tr w:rsidR="00534098" w14:paraId="12F4B8B3"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23506A2F" w14:textId="77777777" w:rsidTr="007A39EB">
              <w:trPr>
                <w:tblHeader/>
                <w:jc w:val="center"/>
              </w:trPr>
              <w:tc>
                <w:tcPr>
                  <w:tcW w:w="8504" w:type="dxa"/>
                  <w:tcBorders>
                    <w:top w:val="nil"/>
                    <w:bottom w:val="nil"/>
                  </w:tcBorders>
                </w:tcPr>
                <w:p w14:paraId="0EC0D24C" w14:textId="47CFAE32" w:rsidR="00534098" w:rsidRDefault="00D23D15" w:rsidP="00303AB3">
                  <w:pPr>
                    <w:pStyle w:val="Figure"/>
                    <w:spacing w:before="60" w:after="0"/>
                    <w:rPr>
                      <w:rFonts w:ascii="Arial" w:hAnsi="Arial" w:cs="Arial"/>
                      <w:noProof/>
                      <w:sz w:val="18"/>
                      <w:szCs w:val="18"/>
                    </w:rPr>
                  </w:pPr>
                  <w:r w:rsidRPr="00D23D15">
                    <w:rPr>
                      <w:rFonts w:ascii="Arial" w:hAnsi="Arial" w:cs="Arial"/>
                      <w:noProof/>
                      <w:sz w:val="18"/>
                      <w:szCs w:val="18"/>
                    </w:rPr>
                    <w:drawing>
                      <wp:inline distT="0" distB="0" distL="0" distR="0" wp14:anchorId="7C6F1103" wp14:editId="5101A97B">
                        <wp:extent cx="5401945" cy="2996565"/>
                        <wp:effectExtent l="0" t="0" r="8255" b="0"/>
                        <wp:docPr id="13" name="Picture 13" descr="These two figures plots the recovery in hours worked and employment for Australia, Canada, New Zealand, the UK and the US between March 2020 and April 2021 (employment) and between March 2020 and December 2020 (hours worked). In both measures most economies had recovered to previous levels by December 2020. Countries like New Zealand and the UK with low falls in employment had high decreases in hours worked and countries like Australia, Canada and the Unites States which had relatively higher falls in employment had a smaller decrease and sometimes even an increase in hours work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se two figures plots the recovery in hours worked and employment for Australia, Canada, New Zealand, the UK and the US between March 2020 and April 2021 (employment) and between March 2020 and December 2020 (hours worked). In both measures most economies had recovered to previous levels by December 2020. Countries like New Zealand and the UK with low falls in employment had high decreases in hours worked and countries like Australia, Canada and the Unites States which had relatively higher falls in employment had a smaller decrease and sometimes even an increase in hours worked over the perio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945" cy="2996565"/>
                                </a:xfrm>
                                <a:prstGeom prst="rect">
                                  <a:avLst/>
                                </a:prstGeom>
                                <a:noFill/>
                                <a:ln>
                                  <a:noFill/>
                                </a:ln>
                              </pic:spPr>
                            </pic:pic>
                          </a:graphicData>
                        </a:graphic>
                      </wp:inline>
                    </w:drawing>
                  </w:r>
                  <w:r w:rsidR="00B4632E" w:rsidRPr="00B4632E">
                    <w:rPr>
                      <w:rFonts w:ascii="Arial" w:hAnsi="Arial" w:cs="Arial"/>
                      <w:noProof/>
                      <w:sz w:val="18"/>
                      <w:szCs w:val="18"/>
                    </w:rPr>
                    <w:t xml:space="preserve"> </w:t>
                  </w:r>
                </w:p>
                <w:p w14:paraId="16505819" w14:textId="5DAEF3E1" w:rsidR="00534098" w:rsidRPr="00B1465D" w:rsidRDefault="00733F2A" w:rsidP="00303AB3">
                  <w:pPr>
                    <w:pStyle w:val="Figure"/>
                    <w:spacing w:before="0" w:after="60"/>
                    <w:rPr>
                      <w:rFonts w:ascii="Arial" w:hAnsi="Arial" w:cs="Arial"/>
                      <w:sz w:val="18"/>
                      <w:szCs w:val="18"/>
                    </w:rPr>
                  </w:pPr>
                  <w:r w:rsidRPr="00733F2A">
                    <w:rPr>
                      <w:rFonts w:ascii="Arial" w:hAnsi="Arial" w:cs="Arial"/>
                      <w:noProof/>
                      <w:sz w:val="18"/>
                      <w:szCs w:val="18"/>
                    </w:rPr>
                    <w:drawing>
                      <wp:inline distT="0" distB="0" distL="0" distR="0" wp14:anchorId="5FF95819" wp14:editId="791CB73F">
                        <wp:extent cx="5229225" cy="2647950"/>
                        <wp:effectExtent l="0" t="0" r="0" b="0"/>
                        <wp:docPr id="8" name="Picture 8" descr="This figure plots countries average stringency index against the quarterly GDP growth in June 2020. There appears to be a negative relationship between higher stringency measures and GDP growth indicating that countries who adopted more severe COVID-19 restrictions had larger falls in short term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plots countries average stringency index against the quarterly GDP growth in June 2020. There appears to be a negative relationship between higher stringency measures and GDP growth indicating that countries who adopted more severe COVID-19 restrictions had larger falls in short term economic grow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225" cy="2647950"/>
                                </a:xfrm>
                                <a:prstGeom prst="rect">
                                  <a:avLst/>
                                </a:prstGeom>
                                <a:noFill/>
                                <a:ln>
                                  <a:noFill/>
                                </a:ln>
                              </pic:spPr>
                            </pic:pic>
                          </a:graphicData>
                        </a:graphic>
                      </wp:inline>
                    </w:drawing>
                  </w:r>
                  <w:r w:rsidR="00194662" w:rsidRPr="00194662">
                    <w:rPr>
                      <w:rFonts w:ascii="Arial" w:hAnsi="Arial" w:cs="Arial"/>
                      <w:sz w:val="18"/>
                      <w:szCs w:val="18"/>
                    </w:rPr>
                    <w:t xml:space="preserve"> </w:t>
                  </w:r>
                  <w:r w:rsidR="00601825" w:rsidRPr="00601825">
                    <w:rPr>
                      <w:rFonts w:ascii="Arial" w:hAnsi="Arial" w:cs="Arial"/>
                      <w:sz w:val="18"/>
                      <w:szCs w:val="18"/>
                    </w:rPr>
                    <w:t xml:space="preserve"> </w:t>
                  </w:r>
                  <w:r w:rsidR="00534098" w:rsidRPr="000467E0" w:rsidDel="000467E0">
                    <w:rPr>
                      <w:rFonts w:ascii="Arial" w:hAnsi="Arial" w:cs="Arial"/>
                      <w:sz w:val="18"/>
                      <w:szCs w:val="18"/>
                    </w:rPr>
                    <w:t xml:space="preserve"> </w:t>
                  </w:r>
                </w:p>
              </w:tc>
            </w:tr>
          </w:tbl>
          <w:p w14:paraId="5F066244" w14:textId="77777777" w:rsidR="00534098" w:rsidRDefault="00534098" w:rsidP="007A39EB">
            <w:pPr>
              <w:pStyle w:val="Figure"/>
            </w:pPr>
          </w:p>
        </w:tc>
      </w:tr>
      <w:tr w:rsidR="00534098" w:rsidRPr="00176D3F" w14:paraId="3016A19A" w14:textId="77777777" w:rsidTr="007A39EB">
        <w:tc>
          <w:tcPr>
            <w:tcW w:w="5000" w:type="pct"/>
            <w:tcBorders>
              <w:top w:val="nil"/>
              <w:left w:val="nil"/>
              <w:bottom w:val="nil"/>
              <w:right w:val="nil"/>
            </w:tcBorders>
            <w:shd w:val="clear" w:color="auto" w:fill="auto"/>
          </w:tcPr>
          <w:p w14:paraId="515E7761" w14:textId="7BD2EF26" w:rsidR="00534098" w:rsidRPr="00A520FB" w:rsidRDefault="00534098" w:rsidP="007A39EB">
            <w:pPr>
              <w:pStyle w:val="Note"/>
              <w:rPr>
                <w:rFonts w:ascii="Times New Roman" w:hAnsi="Times New Roman"/>
                <w:vertAlign w:val="subscript"/>
              </w:rPr>
            </w:pPr>
            <w:r>
              <w:rPr>
                <w:rStyle w:val="NoteLabel"/>
              </w:rPr>
              <w:t>a</w:t>
            </w:r>
            <w:r>
              <w:t xml:space="preserve"> Employment in Australia, the US and UK counts those aged 16 and over, while in the UK and Canada those aged 15 and over are counted. </w:t>
            </w:r>
            <w:r w:rsidRPr="00FF436E">
              <w:rPr>
                <w:rStyle w:val="NoteLabel"/>
              </w:rPr>
              <w:t>b</w:t>
            </w:r>
            <w:r>
              <w:t xml:space="preserve"> Employment in New Zealand is presented on a quarterly basis because monthly number of employed persons statistics do not exist for this country (number of filled jobs statistics exist, but these not necessary correspond to number of employed persons). </w:t>
            </w:r>
            <w:r>
              <w:rPr>
                <w:rStyle w:val="NoteLabel"/>
              </w:rPr>
              <w:t xml:space="preserve">c </w:t>
            </w:r>
            <w:r>
              <w:t>Only non</w:t>
            </w:r>
            <w:r>
              <w:noBreakHyphen/>
              <w:t xml:space="preserve">farm private employees are shown for the US (the rest of the data is all employees) </w:t>
            </w:r>
            <w:r>
              <w:rPr>
                <w:rStyle w:val="NoteLabel"/>
              </w:rPr>
              <w:t xml:space="preserve"> d </w:t>
            </w:r>
            <w:r>
              <w:t>Hours worked in Australia, Canada and N</w:t>
            </w:r>
            <w:r w:rsidR="00B34EB8">
              <w:t>ew Zealand</w:t>
            </w:r>
            <w:r>
              <w:t xml:space="preserve"> count those aged 15 and over, while the US and the UK count those aged 16 and over. </w:t>
            </w:r>
            <w:r>
              <w:rPr>
                <w:rStyle w:val="NoteLabel"/>
              </w:rPr>
              <w:t xml:space="preserve">e </w:t>
            </w:r>
            <w:r>
              <w:t>Canadian hours worked is not seasonally adjusted</w:t>
            </w:r>
            <w:r w:rsidR="00F1344D">
              <w:t>.</w:t>
            </w:r>
          </w:p>
        </w:tc>
      </w:tr>
      <w:tr w:rsidR="00534098" w:rsidRPr="00176D3F" w14:paraId="5E24DF70" w14:textId="77777777" w:rsidTr="007A39EB">
        <w:tc>
          <w:tcPr>
            <w:tcW w:w="5000" w:type="pct"/>
            <w:tcBorders>
              <w:top w:val="nil"/>
              <w:left w:val="nil"/>
              <w:bottom w:val="nil"/>
              <w:right w:val="nil"/>
            </w:tcBorders>
            <w:shd w:val="clear" w:color="auto" w:fill="auto"/>
          </w:tcPr>
          <w:p w14:paraId="6F4250DB" w14:textId="3B2843D9" w:rsidR="00534098" w:rsidRPr="00176D3F" w:rsidRDefault="00534098" w:rsidP="007A39EB">
            <w:pPr>
              <w:pStyle w:val="Source"/>
            </w:pPr>
            <w:r w:rsidRPr="00733510">
              <w:rPr>
                <w:i/>
                <w:spacing w:val="-8"/>
              </w:rPr>
              <w:t>Sources</w:t>
            </w:r>
            <w:r w:rsidRPr="00733510">
              <w:rPr>
                <w:spacing w:val="-8"/>
              </w:rPr>
              <w:t>: ABS (</w:t>
            </w:r>
            <w:r w:rsidRPr="00733510">
              <w:rPr>
                <w:i/>
                <w:spacing w:val="-8"/>
              </w:rPr>
              <w:t>Labour Force, Australia, March 2021</w:t>
            </w:r>
            <w:r w:rsidRPr="00733510">
              <w:rPr>
                <w:spacing w:val="-8"/>
              </w:rPr>
              <w:t xml:space="preserve">, Cat. no. 6202.0., tables 1 and 19); Bureau of Labor Statistics (US) </w:t>
            </w:r>
            <w:r w:rsidRPr="00733510">
              <w:rPr>
                <w:rFonts w:cs="Arial"/>
                <w:spacing w:val="-8"/>
              </w:rPr>
              <w:t>(2021)</w:t>
            </w:r>
            <w:r w:rsidRPr="00733510">
              <w:rPr>
                <w:spacing w:val="-8"/>
              </w:rPr>
              <w:t xml:space="preserve">; Office of National Statistics (UK) </w:t>
            </w:r>
            <w:r w:rsidRPr="00733510">
              <w:rPr>
                <w:rFonts w:cs="Arial"/>
                <w:spacing w:val="-8"/>
              </w:rPr>
              <w:t>(2021</w:t>
            </w:r>
            <w:r w:rsidR="00E6375D">
              <w:rPr>
                <w:rFonts w:cs="Arial"/>
                <w:spacing w:val="-8"/>
              </w:rPr>
              <w:t>a</w:t>
            </w:r>
            <w:r w:rsidRPr="00733510">
              <w:rPr>
                <w:rFonts w:cs="Arial"/>
                <w:spacing w:val="-8"/>
              </w:rPr>
              <w:t>)</w:t>
            </w:r>
            <w:r w:rsidRPr="00733510">
              <w:rPr>
                <w:spacing w:val="-8"/>
              </w:rPr>
              <w:t xml:space="preserve"> and </w:t>
            </w:r>
            <w:r w:rsidRPr="00733510">
              <w:rPr>
                <w:rFonts w:cs="Arial"/>
                <w:spacing w:val="-8"/>
                <w:szCs w:val="24"/>
              </w:rPr>
              <w:t>(2021</w:t>
            </w:r>
            <w:r w:rsidR="00E6375D">
              <w:rPr>
                <w:rFonts w:cs="Arial"/>
                <w:spacing w:val="-8"/>
                <w:szCs w:val="24"/>
              </w:rPr>
              <w:t>b</w:t>
            </w:r>
            <w:r w:rsidRPr="00733510">
              <w:rPr>
                <w:rFonts w:cs="Arial"/>
                <w:spacing w:val="-8"/>
                <w:szCs w:val="24"/>
              </w:rPr>
              <w:t>)</w:t>
            </w:r>
            <w:r w:rsidRPr="00733510">
              <w:rPr>
                <w:spacing w:val="-8"/>
              </w:rPr>
              <w:t>; Statistics Canada </w:t>
            </w:r>
            <w:r w:rsidRPr="00733510">
              <w:rPr>
                <w:rFonts w:cs="Arial"/>
                <w:spacing w:val="-8"/>
              </w:rPr>
              <w:t>(2021)</w:t>
            </w:r>
            <w:r w:rsidRPr="00733510">
              <w:rPr>
                <w:spacing w:val="-8"/>
              </w:rPr>
              <w:t xml:space="preserve"> and </w:t>
            </w:r>
            <w:r w:rsidRPr="00733510">
              <w:rPr>
                <w:rFonts w:cs="Arial"/>
                <w:spacing w:val="-8"/>
                <w:szCs w:val="24"/>
              </w:rPr>
              <w:t>(2021)</w:t>
            </w:r>
            <w:r w:rsidRPr="00733510">
              <w:rPr>
                <w:spacing w:val="-8"/>
              </w:rPr>
              <w:t xml:space="preserve">; Stats NZ </w:t>
            </w:r>
            <w:r w:rsidRPr="00733510">
              <w:rPr>
                <w:rFonts w:cs="Arial"/>
                <w:spacing w:val="-8"/>
              </w:rPr>
              <w:t>(2021)</w:t>
            </w:r>
            <w:r>
              <w:t>.</w:t>
            </w:r>
          </w:p>
        </w:tc>
      </w:tr>
      <w:tr w:rsidR="00534098" w14:paraId="606CF35E" w14:textId="77777777" w:rsidTr="007A39EB">
        <w:tc>
          <w:tcPr>
            <w:tcW w:w="5000" w:type="pct"/>
            <w:tcBorders>
              <w:top w:val="nil"/>
              <w:left w:val="nil"/>
              <w:bottom w:val="single" w:sz="6" w:space="0" w:color="78A22F"/>
              <w:right w:val="nil"/>
            </w:tcBorders>
            <w:shd w:val="clear" w:color="auto" w:fill="auto"/>
          </w:tcPr>
          <w:p w14:paraId="479CAB85" w14:textId="77777777" w:rsidR="00534098" w:rsidRDefault="00534098" w:rsidP="007A39EB">
            <w:pPr>
              <w:pStyle w:val="Figurespace"/>
            </w:pPr>
          </w:p>
        </w:tc>
      </w:tr>
      <w:tr w:rsidR="00534098" w:rsidRPr="000863A5" w14:paraId="67ABFF75" w14:textId="77777777" w:rsidTr="007A39EB">
        <w:tc>
          <w:tcPr>
            <w:tcW w:w="5000" w:type="pct"/>
            <w:tcBorders>
              <w:top w:val="single" w:sz="6" w:space="0" w:color="78A22F"/>
              <w:left w:val="nil"/>
              <w:bottom w:val="nil"/>
              <w:right w:val="nil"/>
            </w:tcBorders>
          </w:tcPr>
          <w:p w14:paraId="4EC1461F" w14:textId="1AB0FDE2" w:rsidR="00534098" w:rsidRPr="00626D32" w:rsidRDefault="00534098" w:rsidP="007A39EB">
            <w:pPr>
              <w:pStyle w:val="BoxSpaceBelow"/>
            </w:pPr>
          </w:p>
        </w:tc>
      </w:tr>
    </w:tbl>
    <w:p w14:paraId="4C74106F" w14:textId="489DE291"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68447454" w14:textId="77777777" w:rsidTr="007A39EB">
        <w:trPr>
          <w:tblHeader/>
        </w:trPr>
        <w:tc>
          <w:tcPr>
            <w:tcW w:w="5000" w:type="pct"/>
            <w:tcBorders>
              <w:top w:val="single" w:sz="6" w:space="0" w:color="78A22F"/>
              <w:left w:val="nil"/>
              <w:bottom w:val="nil"/>
              <w:right w:val="nil"/>
            </w:tcBorders>
            <w:shd w:val="clear" w:color="auto" w:fill="auto"/>
          </w:tcPr>
          <w:p w14:paraId="1BA73F81" w14:textId="7903A6C9" w:rsidR="00534098" w:rsidRDefault="00534098" w:rsidP="007A39EB">
            <w:pPr>
              <w:pStyle w:val="FigureTitle"/>
            </w:pPr>
            <w:r w:rsidRPr="00784A05">
              <w:rPr>
                <w:b w:val="0"/>
              </w:rPr>
              <w:t xml:space="preserve">Figure </w:t>
            </w:r>
            <w:r>
              <w:rPr>
                <w:b w:val="0"/>
              </w:rPr>
              <w:t>8</w:t>
            </w:r>
            <w:r>
              <w:tab/>
              <w:t>… and GDP fell by a smaller amount in June 2020</w:t>
            </w:r>
          </w:p>
          <w:p w14:paraId="7A3BEEC8" w14:textId="77777777" w:rsidR="00534098" w:rsidRPr="00176D3F" w:rsidRDefault="00534098" w:rsidP="007A39EB">
            <w:pPr>
              <w:pStyle w:val="Subtitle"/>
            </w:pPr>
            <w:r>
              <w:t>Quarterly fall in GDP (June 2020, seasonally adjusted) in select countries</w:t>
            </w:r>
          </w:p>
        </w:tc>
      </w:tr>
      <w:tr w:rsidR="00534098" w14:paraId="162ABE3F"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2DA035A1" w14:textId="77777777" w:rsidTr="007A39EB">
              <w:trPr>
                <w:tblHeader/>
                <w:jc w:val="center"/>
              </w:trPr>
              <w:tc>
                <w:tcPr>
                  <w:tcW w:w="5000" w:type="pct"/>
                  <w:tcBorders>
                    <w:top w:val="nil"/>
                    <w:bottom w:val="nil"/>
                  </w:tcBorders>
                </w:tcPr>
                <w:p w14:paraId="252F9628" w14:textId="77777777" w:rsidR="00534098" w:rsidRPr="00B1465D" w:rsidRDefault="00534098" w:rsidP="007A39EB">
                  <w:pPr>
                    <w:pStyle w:val="Figure"/>
                    <w:spacing w:before="60" w:after="60"/>
                    <w:rPr>
                      <w:rFonts w:ascii="Arial" w:hAnsi="Arial" w:cs="Arial"/>
                      <w:sz w:val="18"/>
                      <w:szCs w:val="18"/>
                    </w:rPr>
                  </w:pPr>
                  <w:r w:rsidRPr="00613E19">
                    <w:rPr>
                      <w:rFonts w:ascii="Arial" w:hAnsi="Arial" w:cs="Arial"/>
                      <w:noProof/>
                      <w:sz w:val="18"/>
                      <w:szCs w:val="18"/>
                    </w:rPr>
                    <w:drawing>
                      <wp:inline distT="0" distB="0" distL="0" distR="0" wp14:anchorId="598A1D57" wp14:editId="229477D6">
                        <wp:extent cx="5404485" cy="2514600"/>
                        <wp:effectExtent l="0" t="0" r="5715" b="0"/>
                        <wp:docPr id="55" name="Picture 55" descr="This figure plots the fall in GDP in June 2020 for Australia, the US, New Zealand, Canada, the UK and G20 countries. Australia had the lowest fall in GDP among these countries (about 7 per cent) and the UK had the highest decrease at about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igure plots the fall in GDP in June 2020 for Australia, the US, New Zealand, Canada, the UK and G20 countries. Australia had the lowest fall in GDP among these countries (about 7 per cent) and the UK had the highest decrease at about 20 per c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4485" cy="2514600"/>
                                </a:xfrm>
                                <a:prstGeom prst="rect">
                                  <a:avLst/>
                                </a:prstGeom>
                                <a:noFill/>
                                <a:ln>
                                  <a:noFill/>
                                </a:ln>
                              </pic:spPr>
                            </pic:pic>
                          </a:graphicData>
                        </a:graphic>
                      </wp:inline>
                    </w:drawing>
                  </w:r>
                </w:p>
              </w:tc>
            </w:tr>
          </w:tbl>
          <w:p w14:paraId="763624B2" w14:textId="77777777" w:rsidR="00534098" w:rsidRDefault="00534098" w:rsidP="007A39EB">
            <w:pPr>
              <w:pStyle w:val="Figure"/>
            </w:pPr>
          </w:p>
        </w:tc>
      </w:tr>
      <w:tr w:rsidR="00534098" w:rsidRPr="00176D3F" w14:paraId="75CB6701" w14:textId="77777777" w:rsidTr="007A39EB">
        <w:tc>
          <w:tcPr>
            <w:tcW w:w="5000" w:type="pct"/>
            <w:tcBorders>
              <w:top w:val="nil"/>
              <w:left w:val="nil"/>
              <w:bottom w:val="nil"/>
              <w:right w:val="nil"/>
            </w:tcBorders>
            <w:shd w:val="clear" w:color="auto" w:fill="auto"/>
          </w:tcPr>
          <w:p w14:paraId="00D13ADA" w14:textId="193A9F72" w:rsidR="00534098" w:rsidRPr="00176D3F" w:rsidRDefault="00534098" w:rsidP="007A39EB">
            <w:pPr>
              <w:pStyle w:val="Source"/>
            </w:pPr>
            <w:r>
              <w:rPr>
                <w:i/>
              </w:rPr>
              <w:t>S</w:t>
            </w:r>
            <w:r w:rsidRPr="00784A05">
              <w:rPr>
                <w:i/>
              </w:rPr>
              <w:t>ource</w:t>
            </w:r>
            <w:r w:rsidRPr="00176D3F">
              <w:t xml:space="preserve">: </w:t>
            </w:r>
            <w:r>
              <w:t xml:space="preserve">OECD </w:t>
            </w:r>
            <w:r w:rsidRPr="009E7528">
              <w:rPr>
                <w:rFonts w:cs="Arial"/>
                <w:szCs w:val="24"/>
              </w:rPr>
              <w:t>(2021)</w:t>
            </w:r>
            <w:r>
              <w:t xml:space="preserve">. </w:t>
            </w:r>
          </w:p>
        </w:tc>
      </w:tr>
      <w:tr w:rsidR="00534098" w14:paraId="5F97AFA3" w14:textId="77777777" w:rsidTr="007A39EB">
        <w:tc>
          <w:tcPr>
            <w:tcW w:w="5000" w:type="pct"/>
            <w:tcBorders>
              <w:top w:val="nil"/>
              <w:left w:val="nil"/>
              <w:bottom w:val="single" w:sz="6" w:space="0" w:color="78A22F"/>
              <w:right w:val="nil"/>
            </w:tcBorders>
            <w:shd w:val="clear" w:color="auto" w:fill="auto"/>
          </w:tcPr>
          <w:p w14:paraId="173B78D8" w14:textId="77777777" w:rsidR="00534098" w:rsidRDefault="00534098" w:rsidP="007A39EB">
            <w:pPr>
              <w:pStyle w:val="Figurespace"/>
            </w:pPr>
          </w:p>
        </w:tc>
      </w:tr>
      <w:tr w:rsidR="00534098" w:rsidRPr="000863A5" w14:paraId="1ED61593" w14:textId="77777777" w:rsidTr="007A39EB">
        <w:tc>
          <w:tcPr>
            <w:tcW w:w="5000" w:type="pct"/>
            <w:tcBorders>
              <w:top w:val="single" w:sz="6" w:space="0" w:color="78A22F"/>
              <w:left w:val="nil"/>
              <w:bottom w:val="nil"/>
              <w:right w:val="nil"/>
            </w:tcBorders>
          </w:tcPr>
          <w:p w14:paraId="5939F0C2" w14:textId="6C09A080" w:rsidR="00534098" w:rsidRPr="00626D32" w:rsidRDefault="00534098" w:rsidP="007A39EB">
            <w:pPr>
              <w:pStyle w:val="BoxSpaceBelow"/>
            </w:pPr>
          </w:p>
        </w:tc>
      </w:tr>
    </w:tbl>
    <w:p w14:paraId="16066CBD" w14:textId="77777777" w:rsidR="00534098" w:rsidRPr="007539D8" w:rsidRDefault="00534098" w:rsidP="00534098">
      <w:pPr>
        <w:pStyle w:val="Heading3"/>
      </w:pPr>
      <w:r w:rsidRPr="00AD4439">
        <w:t xml:space="preserve">Investment </w:t>
      </w:r>
      <w:r>
        <w:t>collapsed in June 2020, with a construction</w:t>
      </w:r>
      <w:r>
        <w:noBreakHyphen/>
        <w:t>driven recovery following</w:t>
      </w:r>
    </w:p>
    <w:p w14:paraId="0F865B51" w14:textId="3C3B6515" w:rsidR="00534098" w:rsidRPr="00F10C72" w:rsidRDefault="00534098" w:rsidP="00534098">
      <w:pPr>
        <w:pStyle w:val="BodyText"/>
      </w:pPr>
      <w:r>
        <w:t>Simultaneous to the collapse in employment in the June 2020 quarter, private investment fell by about 4.5 per cent, before then recovering in subsequent quarters. This recovery was mostly due to the significant rise in dwelling investment (figure 9).</w:t>
      </w:r>
      <w:r w:rsidRPr="009716B1">
        <w:t xml:space="preserve"> </w:t>
      </w:r>
      <w:r>
        <w:t>The HomeBuilder program, rising real estate prices and the associated increase in dwelling construction commencements, likely contributed to this rise (section 2). Despite the significant fall in investment during the June quarter, the capital stock continued to grow throughout the pandemic, mainly reflecting that while investment was lower than in previous quarters, it still outpaced depreciation (figure 10).</w:t>
      </w:r>
      <w:r w:rsidDel="00237436">
        <w:t xml:space="preserve"> </w:t>
      </w:r>
      <w:r>
        <w:t>The persistence of capital stock growth throughout the pandemic along with the fall in hours worked explains why most industries experienced measured capital deepening during 2019</w:t>
      </w:r>
      <w:r>
        <w:noBreakHyphen/>
        <w:t>20 (section 2).</w:t>
      </w:r>
      <w:r>
        <w:rPr>
          <w:rStyle w:val="FootnoteReference"/>
        </w:rPr>
        <w:footnoteReference w:id="4"/>
      </w:r>
      <w:r>
        <w:t xml:space="preserve"> </w:t>
      </w:r>
    </w:p>
    <w:p w14:paraId="3069DEEF" w14:textId="485F47CF"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2870E42" w14:textId="77777777" w:rsidTr="007A39EB">
        <w:trPr>
          <w:tblHeader/>
        </w:trPr>
        <w:tc>
          <w:tcPr>
            <w:tcW w:w="5000" w:type="pct"/>
            <w:tcBorders>
              <w:top w:val="single" w:sz="6" w:space="0" w:color="78A22F"/>
              <w:left w:val="nil"/>
              <w:bottom w:val="nil"/>
              <w:right w:val="nil"/>
            </w:tcBorders>
            <w:shd w:val="clear" w:color="auto" w:fill="auto"/>
          </w:tcPr>
          <w:p w14:paraId="689A4C9D" w14:textId="05F879EF" w:rsidR="00534098" w:rsidRDefault="00534098" w:rsidP="007A39EB">
            <w:pPr>
              <w:pStyle w:val="FigureTitle"/>
            </w:pPr>
            <w:r w:rsidRPr="00784A05">
              <w:rPr>
                <w:b w:val="0"/>
              </w:rPr>
              <w:t xml:space="preserve">Figure </w:t>
            </w:r>
            <w:r>
              <w:rPr>
                <w:b w:val="0"/>
              </w:rPr>
              <w:t>9</w:t>
            </w:r>
            <w:r>
              <w:tab/>
              <w:t xml:space="preserve">Like hours worked, growth in investment fell dramatically in June before rebounding in December … </w:t>
            </w:r>
          </w:p>
          <w:p w14:paraId="027A226B" w14:textId="7B906068" w:rsidR="00534098" w:rsidRPr="001D3D4C" w:rsidRDefault="00534098" w:rsidP="007A39EB">
            <w:pPr>
              <w:pStyle w:val="Subtitle"/>
            </w:pPr>
            <w:r>
              <w:t>Quarterly growth in total investment and contributions from business, dwelling, and government investment</w:t>
            </w:r>
            <w:r>
              <w:rPr>
                <w:rStyle w:val="NoteLabel"/>
              </w:rPr>
              <w:t xml:space="preserve">a </w:t>
            </w:r>
            <w:r>
              <w:t>(chain volume measures, seasonally adjusted)</w:t>
            </w:r>
          </w:p>
        </w:tc>
      </w:tr>
      <w:tr w:rsidR="00534098" w14:paraId="6CD17CF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11173891" w14:textId="77777777" w:rsidTr="007A39EB">
              <w:trPr>
                <w:tblHeader/>
                <w:jc w:val="center"/>
              </w:trPr>
              <w:tc>
                <w:tcPr>
                  <w:tcW w:w="5000" w:type="pct"/>
                  <w:tcBorders>
                    <w:top w:val="nil"/>
                    <w:bottom w:val="nil"/>
                  </w:tcBorders>
                </w:tcPr>
                <w:p w14:paraId="323AB3F9" w14:textId="3EAF5180" w:rsidR="00534098" w:rsidRPr="00B1465D" w:rsidRDefault="00534098" w:rsidP="007A39EB">
                  <w:pPr>
                    <w:pStyle w:val="Figure"/>
                    <w:spacing w:before="60" w:after="60"/>
                    <w:rPr>
                      <w:rFonts w:ascii="Arial" w:hAnsi="Arial" w:cs="Arial"/>
                      <w:sz w:val="18"/>
                      <w:szCs w:val="18"/>
                    </w:rPr>
                  </w:pPr>
                  <w:r>
                    <w:rPr>
                      <w:noProof/>
                    </w:rPr>
                    <w:drawing>
                      <wp:inline distT="0" distB="0" distL="0" distR="0" wp14:anchorId="34C60F6E" wp14:editId="2D4ABBC4">
                        <wp:extent cx="5400675" cy="2524125"/>
                        <wp:effectExtent l="0" t="0" r="9525" b="9525"/>
                        <wp:docPr id="20" name="Graphic 20" descr="This figure plots the quarterly growth in total investment and its contributions from business, dwelling and public investment between March 2018 and December 2020. Notably there was a decrease in total investment of about 5 per cent in the June 2020 quarter, however investment rebounded strongly in the following two quarters increasing about 2 and 3 per cent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is figure plots the quarterly growth in total investment and its contributions from business, dwelling and public investment between March 2018 and December 2020. Notably there was a decrease in total investment of about 5 per cent in the June 2020 quarter, however investment rebounded strongly in the following two quarters increasing about 2 and 3 per cent respectively.    "/>
                                <pic:cNvPicPr/>
                              </pic:nvPicPr>
                              <pic:blipFill>
                                <a:blip r:embed="rId26">
                                  <a:extLst>
                                    <a:ext uri="{96DAC541-7B7A-43D3-8B79-37D633B846F1}">
                                      <asvg:svgBlip xmlns:asvg="http://schemas.microsoft.com/office/drawing/2016/SVG/main" r:embed="rId27"/>
                                    </a:ext>
                                  </a:extLst>
                                </a:blip>
                                <a:stretch>
                                  <a:fillRect/>
                                </a:stretch>
                              </pic:blipFill>
                              <pic:spPr>
                                <a:xfrm>
                                  <a:off x="0" y="0"/>
                                  <a:ext cx="5400675" cy="2524125"/>
                                </a:xfrm>
                                <a:prstGeom prst="rect">
                                  <a:avLst/>
                                </a:prstGeom>
                              </pic:spPr>
                            </pic:pic>
                          </a:graphicData>
                        </a:graphic>
                      </wp:inline>
                    </w:drawing>
                  </w:r>
                </w:p>
              </w:tc>
            </w:tr>
          </w:tbl>
          <w:p w14:paraId="42E1D5BD" w14:textId="77777777" w:rsidR="00534098" w:rsidRDefault="00534098" w:rsidP="007A39EB">
            <w:pPr>
              <w:pStyle w:val="Figure"/>
            </w:pPr>
          </w:p>
        </w:tc>
      </w:tr>
      <w:tr w:rsidR="00534098" w:rsidRPr="00176D3F" w14:paraId="5B8ABC9C" w14:textId="77777777" w:rsidTr="007A39EB">
        <w:tc>
          <w:tcPr>
            <w:tcW w:w="5000" w:type="pct"/>
            <w:tcBorders>
              <w:top w:val="nil"/>
              <w:left w:val="nil"/>
              <w:bottom w:val="nil"/>
              <w:right w:val="nil"/>
            </w:tcBorders>
            <w:shd w:val="clear" w:color="auto" w:fill="auto"/>
          </w:tcPr>
          <w:p w14:paraId="3BB2F5C1" w14:textId="77777777" w:rsidR="00534098" w:rsidRDefault="00534098" w:rsidP="00983039">
            <w:pPr>
              <w:pStyle w:val="Note"/>
              <w:rPr>
                <w:i/>
              </w:rPr>
            </w:pPr>
            <w:r>
              <w:rPr>
                <w:rStyle w:val="NoteLabel"/>
              </w:rPr>
              <w:t>a</w:t>
            </w:r>
            <w:r>
              <w:t xml:space="preserve"> Government investment is the sum of general government and public corporations’ investment.</w:t>
            </w:r>
          </w:p>
        </w:tc>
      </w:tr>
      <w:tr w:rsidR="00534098" w:rsidRPr="00176D3F" w14:paraId="6CC3D18A" w14:textId="77777777" w:rsidTr="007A39EB">
        <w:tc>
          <w:tcPr>
            <w:tcW w:w="5000" w:type="pct"/>
            <w:tcBorders>
              <w:top w:val="nil"/>
              <w:left w:val="nil"/>
              <w:bottom w:val="nil"/>
              <w:right w:val="nil"/>
            </w:tcBorders>
            <w:shd w:val="clear" w:color="auto" w:fill="auto"/>
          </w:tcPr>
          <w:p w14:paraId="7472A228" w14:textId="77777777" w:rsidR="00534098" w:rsidRPr="00176D3F" w:rsidRDefault="00534098" w:rsidP="005B253C">
            <w:pPr>
              <w:pStyle w:val="Souce"/>
            </w:pPr>
            <w:r>
              <w:t>S</w:t>
            </w:r>
            <w:r w:rsidRPr="00784A05">
              <w:t>ource</w:t>
            </w:r>
            <w:r w:rsidRPr="00176D3F">
              <w:t xml:space="preserve">: </w:t>
            </w:r>
            <w:r>
              <w:t>ABS (</w:t>
            </w:r>
            <w:r w:rsidRPr="00D269CF">
              <w:rPr>
                <w:i/>
                <w:iCs/>
              </w:rPr>
              <w:t>Australian National Accounts: National Income, Expenditure and Product December 2020</w:t>
            </w:r>
            <w:r>
              <w:t>, Cat. no. 5206</w:t>
            </w:r>
            <w:r w:rsidRPr="009815C8">
              <w:t>.0</w:t>
            </w:r>
            <w:r>
              <w:t>, tables 3 and 12).</w:t>
            </w:r>
          </w:p>
        </w:tc>
      </w:tr>
      <w:tr w:rsidR="00534098" w14:paraId="587BAEED" w14:textId="77777777" w:rsidTr="007A39EB">
        <w:tc>
          <w:tcPr>
            <w:tcW w:w="5000" w:type="pct"/>
            <w:tcBorders>
              <w:top w:val="nil"/>
              <w:left w:val="nil"/>
              <w:bottom w:val="single" w:sz="6" w:space="0" w:color="78A22F"/>
              <w:right w:val="nil"/>
            </w:tcBorders>
            <w:shd w:val="clear" w:color="auto" w:fill="auto"/>
          </w:tcPr>
          <w:p w14:paraId="2F4A8276" w14:textId="77777777" w:rsidR="00534098" w:rsidRDefault="00534098" w:rsidP="007A39EB">
            <w:pPr>
              <w:pStyle w:val="Figurespace"/>
            </w:pPr>
          </w:p>
        </w:tc>
      </w:tr>
      <w:tr w:rsidR="00534098" w:rsidRPr="000863A5" w14:paraId="432DDADA" w14:textId="77777777" w:rsidTr="007A39EB">
        <w:tc>
          <w:tcPr>
            <w:tcW w:w="5000" w:type="pct"/>
            <w:tcBorders>
              <w:top w:val="single" w:sz="6" w:space="0" w:color="78A22F"/>
              <w:left w:val="nil"/>
              <w:bottom w:val="nil"/>
              <w:right w:val="nil"/>
            </w:tcBorders>
          </w:tcPr>
          <w:p w14:paraId="1BF28D92" w14:textId="0A52AD0A" w:rsidR="00534098" w:rsidRPr="00626D32" w:rsidRDefault="00534098" w:rsidP="007A39EB">
            <w:pPr>
              <w:pStyle w:val="BoxSpaceBelow"/>
            </w:pPr>
          </w:p>
        </w:tc>
      </w:tr>
    </w:tbl>
    <w:p w14:paraId="5131BB9B" w14:textId="20C50E22"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4BEF34B" w14:textId="77777777" w:rsidTr="007A39EB">
        <w:trPr>
          <w:tblHeader/>
        </w:trPr>
        <w:tc>
          <w:tcPr>
            <w:tcW w:w="5000" w:type="pct"/>
            <w:tcBorders>
              <w:top w:val="single" w:sz="6" w:space="0" w:color="78A22F"/>
              <w:left w:val="nil"/>
              <w:bottom w:val="nil"/>
              <w:right w:val="nil"/>
            </w:tcBorders>
            <w:shd w:val="clear" w:color="auto" w:fill="auto"/>
          </w:tcPr>
          <w:p w14:paraId="7BF6FE0D" w14:textId="2390D2EC" w:rsidR="00534098" w:rsidRDefault="00534098" w:rsidP="007A39EB">
            <w:pPr>
              <w:pStyle w:val="FigureTitle"/>
            </w:pPr>
            <w:r w:rsidRPr="00784A05">
              <w:rPr>
                <w:b w:val="0"/>
              </w:rPr>
              <w:t xml:space="preserve">Figure </w:t>
            </w:r>
            <w:r>
              <w:rPr>
                <w:b w:val="0"/>
              </w:rPr>
              <w:t>10</w:t>
            </w:r>
            <w:r>
              <w:tab/>
              <w:t>… however, capital stock was positive throughout the period</w:t>
            </w:r>
          </w:p>
          <w:p w14:paraId="4D7D2345" w14:textId="77777777" w:rsidR="00534098" w:rsidRPr="00BB7280" w:rsidRDefault="00534098" w:rsidP="007A39EB">
            <w:pPr>
              <w:pStyle w:val="Subtitle"/>
              <w:rPr>
                <w:bCs/>
              </w:rPr>
            </w:pPr>
            <w:r>
              <w:t xml:space="preserve">Net capital stock, investment, depreciation and change in capital stock (current prices, seasonally adjusted) </w:t>
            </w:r>
          </w:p>
        </w:tc>
      </w:tr>
      <w:tr w:rsidR="00534098" w14:paraId="3FFDDB31"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58D5C969" w14:textId="77777777" w:rsidTr="007A39EB">
              <w:trPr>
                <w:tblHeader/>
                <w:jc w:val="center"/>
              </w:trPr>
              <w:tc>
                <w:tcPr>
                  <w:tcW w:w="8504" w:type="dxa"/>
                  <w:tcBorders>
                    <w:top w:val="nil"/>
                    <w:bottom w:val="nil"/>
                  </w:tcBorders>
                </w:tcPr>
                <w:p w14:paraId="3C886D4C" w14:textId="728A08EC" w:rsidR="00534098" w:rsidRPr="00B1465D" w:rsidRDefault="006550A8" w:rsidP="007A39EB">
                  <w:pPr>
                    <w:pStyle w:val="Figure"/>
                    <w:spacing w:before="60" w:after="60"/>
                    <w:rPr>
                      <w:rFonts w:ascii="Arial" w:hAnsi="Arial" w:cs="Arial"/>
                      <w:sz w:val="18"/>
                      <w:szCs w:val="18"/>
                    </w:rPr>
                  </w:pPr>
                  <w:r w:rsidRPr="006550A8">
                    <w:rPr>
                      <w:rFonts w:ascii="Arial" w:hAnsi="Arial" w:cs="Arial"/>
                      <w:noProof/>
                      <w:sz w:val="18"/>
                      <w:szCs w:val="18"/>
                    </w:rPr>
                    <w:drawing>
                      <wp:inline distT="0" distB="0" distL="0" distR="0" wp14:anchorId="291D6B91" wp14:editId="57BCA489">
                        <wp:extent cx="5200650" cy="2619375"/>
                        <wp:effectExtent l="0" t="0" r="0" b="9525"/>
                        <wp:docPr id="27" name="Picture 27" descr="This figure plots the levels of capital stock (in billions), investment, depreciation and quarterly change in capital stock (thousands). Capital stock increased throughout the period (march 2018 to Dec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plots the levels of capital stock (in billions), investment, depreciation and quarterly change in capital stock (thousands). Capital stock increased throughout the period (march 2018 to Dec 202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0650" cy="2619375"/>
                                </a:xfrm>
                                <a:prstGeom prst="rect">
                                  <a:avLst/>
                                </a:prstGeom>
                                <a:noFill/>
                                <a:ln>
                                  <a:noFill/>
                                </a:ln>
                              </pic:spPr>
                            </pic:pic>
                          </a:graphicData>
                        </a:graphic>
                      </wp:inline>
                    </w:drawing>
                  </w:r>
                </w:p>
              </w:tc>
            </w:tr>
          </w:tbl>
          <w:p w14:paraId="1C9CA1F4" w14:textId="77777777" w:rsidR="00534098" w:rsidRDefault="00534098" w:rsidP="007A39EB">
            <w:pPr>
              <w:pStyle w:val="Figure"/>
            </w:pPr>
          </w:p>
        </w:tc>
      </w:tr>
      <w:tr w:rsidR="00534098" w:rsidRPr="00176D3F" w14:paraId="7EBE4560" w14:textId="77777777" w:rsidTr="007A39EB">
        <w:tc>
          <w:tcPr>
            <w:tcW w:w="5000" w:type="pct"/>
            <w:tcBorders>
              <w:top w:val="nil"/>
              <w:left w:val="nil"/>
              <w:bottom w:val="nil"/>
              <w:right w:val="nil"/>
            </w:tcBorders>
            <w:shd w:val="clear" w:color="auto" w:fill="auto"/>
          </w:tcPr>
          <w:p w14:paraId="08CEC092" w14:textId="77777777" w:rsidR="00534098" w:rsidRPr="00176D3F" w:rsidRDefault="00534098" w:rsidP="007A39EB">
            <w:pPr>
              <w:pStyle w:val="Source"/>
            </w:pPr>
            <w:r>
              <w:rPr>
                <w:i/>
              </w:rPr>
              <w:t>S</w:t>
            </w:r>
            <w:r w:rsidRPr="00784A05">
              <w:rPr>
                <w:i/>
              </w:rPr>
              <w:t>ource</w:t>
            </w:r>
            <w:r>
              <w:rPr>
                <w:i/>
              </w:rPr>
              <w:t>s</w:t>
            </w:r>
            <w:r w:rsidRPr="00176D3F">
              <w:t xml:space="preserve">: </w:t>
            </w:r>
            <w:r>
              <w:t>ABS (</w:t>
            </w:r>
            <w:r w:rsidRPr="00BB7280">
              <w:rPr>
                <w:i/>
                <w:iCs/>
              </w:rPr>
              <w:t>Australian National Accounts: National Income, Expenditure and Product December 2020</w:t>
            </w:r>
            <w:r>
              <w:t>, Cat. no. 5206</w:t>
            </w:r>
            <w:r w:rsidRPr="009815C8">
              <w:t>.0</w:t>
            </w:r>
            <w:r>
              <w:t xml:space="preserve">, table 12 and </w:t>
            </w:r>
            <w:r w:rsidRPr="00041550">
              <w:rPr>
                <w:i/>
              </w:rPr>
              <w:t>Australian System of National Accounts 2019</w:t>
            </w:r>
            <w:r>
              <w:rPr>
                <w:i/>
                <w:iCs/>
              </w:rPr>
              <w:noBreakHyphen/>
            </w:r>
            <w:r w:rsidRPr="00041550">
              <w:rPr>
                <w:i/>
              </w:rPr>
              <w:t>20</w:t>
            </w:r>
            <w:r>
              <w:rPr>
                <w:i/>
                <w:iCs/>
              </w:rPr>
              <w:t xml:space="preserve">, </w:t>
            </w:r>
            <w:r>
              <w:t>Cat. no. 5204.0, table 57).</w:t>
            </w:r>
          </w:p>
        </w:tc>
      </w:tr>
      <w:tr w:rsidR="00534098" w14:paraId="7C96CE99" w14:textId="77777777" w:rsidTr="007A39EB">
        <w:tc>
          <w:tcPr>
            <w:tcW w:w="5000" w:type="pct"/>
            <w:tcBorders>
              <w:top w:val="nil"/>
              <w:left w:val="nil"/>
              <w:bottom w:val="single" w:sz="6" w:space="0" w:color="78A22F"/>
              <w:right w:val="nil"/>
            </w:tcBorders>
            <w:shd w:val="clear" w:color="auto" w:fill="auto"/>
          </w:tcPr>
          <w:p w14:paraId="647877BF" w14:textId="77777777" w:rsidR="00534098" w:rsidRDefault="00534098" w:rsidP="007A39EB">
            <w:pPr>
              <w:pStyle w:val="Figurespace"/>
            </w:pPr>
          </w:p>
        </w:tc>
      </w:tr>
      <w:tr w:rsidR="00534098" w:rsidRPr="000863A5" w14:paraId="254E7A14" w14:textId="77777777" w:rsidTr="007A39EB">
        <w:tc>
          <w:tcPr>
            <w:tcW w:w="5000" w:type="pct"/>
            <w:tcBorders>
              <w:top w:val="single" w:sz="6" w:space="0" w:color="78A22F"/>
              <w:left w:val="nil"/>
              <w:bottom w:val="nil"/>
              <w:right w:val="nil"/>
            </w:tcBorders>
          </w:tcPr>
          <w:p w14:paraId="4080B938" w14:textId="42BBFC5A" w:rsidR="00534098" w:rsidRPr="00626D32" w:rsidRDefault="00534098" w:rsidP="007A39EB">
            <w:pPr>
              <w:pStyle w:val="BoxSpaceBelow"/>
            </w:pPr>
          </w:p>
        </w:tc>
      </w:tr>
    </w:tbl>
    <w:p w14:paraId="4EAE17D9" w14:textId="77777777" w:rsidR="00534098" w:rsidRDefault="00534098" w:rsidP="00534098">
      <w:pPr>
        <w:pStyle w:val="Heading3"/>
      </w:pPr>
      <w:r>
        <w:t xml:space="preserve">A quick recovery </w:t>
      </w:r>
    </w:p>
    <w:p w14:paraId="07D5BDB9" w14:textId="77777777" w:rsidR="00534098" w:rsidRDefault="00534098" w:rsidP="00534098">
      <w:pPr>
        <w:pStyle w:val="BodyText"/>
      </w:pPr>
      <w:r>
        <w:t xml:space="preserve">The relatively swift recovery of employment, investment and hours worked largely reflects the unusual nature of the shock itself, the success of the restrictions put in place by governments and the significant subsidies to businesses and workers by government. </w:t>
      </w:r>
    </w:p>
    <w:p w14:paraId="2DDC062D" w14:textId="7318E6FF" w:rsidR="00534098" w:rsidRPr="00994798" w:rsidRDefault="00534098" w:rsidP="00873004">
      <w:pPr>
        <w:pStyle w:val="BodyText"/>
        <w:spacing w:before="200"/>
      </w:pPr>
      <w:r>
        <w:t>The economic effects of COVID</w:t>
      </w:r>
      <w:r>
        <w:noBreakHyphen/>
        <w:t>19 were very industry</w:t>
      </w:r>
      <w:r>
        <w:noBreakHyphen/>
        <w:t>specific and likely to reverse once the crisis abated. That is, it primarily affected face</w:t>
      </w:r>
      <w:r>
        <w:noBreakHyphen/>
        <w:t>to</w:t>
      </w:r>
      <w:r>
        <w:noBreakHyphen/>
        <w:t xml:space="preserve">face service industries and these industries were likely to bounce back once restrictions were removed. For example, while the </w:t>
      </w:r>
      <w:r w:rsidRPr="000841CB">
        <w:rPr>
          <w:i/>
          <w:iCs/>
        </w:rPr>
        <w:t>accommodation and food</w:t>
      </w:r>
      <w:r>
        <w:t xml:space="preserve">, and </w:t>
      </w:r>
      <w:r w:rsidRPr="000841CB">
        <w:rPr>
          <w:i/>
          <w:iCs/>
        </w:rPr>
        <w:t>arts and recreation</w:t>
      </w:r>
      <w:r>
        <w:t xml:space="preserve"> industries reduced their workforce between 30 and 40 per cent between the February 2020 and May 2020 quarters, for most other industries the falls in employment were much smaller and a few industries (such as </w:t>
      </w:r>
      <w:r w:rsidRPr="00891C76">
        <w:rPr>
          <w:i/>
          <w:iCs/>
        </w:rPr>
        <w:t>agriculture, forestry and fishing</w:t>
      </w:r>
      <w:r>
        <w:t xml:space="preserve"> and </w:t>
      </w:r>
      <w:r w:rsidRPr="00891C76">
        <w:rPr>
          <w:i/>
          <w:iCs/>
        </w:rPr>
        <w:t>electricity, gas, water and waste services</w:t>
      </w:r>
      <w:r>
        <w:t xml:space="preserve">) increased their workforce. And as at February 2021, both </w:t>
      </w:r>
      <w:r w:rsidRPr="000841CB">
        <w:rPr>
          <w:i/>
          <w:iCs/>
        </w:rPr>
        <w:t>accommodation and food</w:t>
      </w:r>
      <w:r>
        <w:t xml:space="preserve">, and </w:t>
      </w:r>
      <w:r w:rsidRPr="000841CB">
        <w:rPr>
          <w:i/>
          <w:iCs/>
        </w:rPr>
        <w:t>arts and recreation</w:t>
      </w:r>
      <w:r>
        <w:t xml:space="preserve"> had increased their workforce so that both industries were above 90 per cent of their employment levels </w:t>
      </w:r>
      <w:r w:rsidR="00A94769">
        <w:t>at</w:t>
      </w:r>
      <w:r>
        <w:t xml:space="preserve"> the same time the year before </w:t>
      </w:r>
      <w:r w:rsidRPr="005377B5">
        <w:rPr>
          <w:szCs w:val="24"/>
        </w:rPr>
        <w:t>(ABS 2021c)</w:t>
      </w:r>
      <w:r>
        <w:t xml:space="preserve">. </w:t>
      </w:r>
    </w:p>
    <w:p w14:paraId="6CE5A704" w14:textId="6A6C00B8" w:rsidR="00534098" w:rsidRDefault="00534098" w:rsidP="00873004">
      <w:pPr>
        <w:pStyle w:val="BodyText"/>
        <w:spacing w:before="200"/>
      </w:pPr>
      <w:r>
        <w:t>Another reason why employment recovered faster than in previous recessions is that the virus was successfully suppressed. This itself is attributable to a number of factors including Australia’s relative isolation (as an island), the amount of voluntary social distancing, the timing and stringency of government measures to contain COVID</w:t>
      </w:r>
      <w:r>
        <w:noBreakHyphen/>
        <w:t>19, and the degree of compliance with these measures. The economic effects of restrictions to contain COVID</w:t>
      </w:r>
      <w:r>
        <w:noBreakHyphen/>
        <w:t xml:space="preserve">19 likely differed in the short and long terms. The </w:t>
      </w:r>
      <w:r w:rsidRPr="002803DA">
        <w:t>Oxford COVID</w:t>
      </w:r>
      <w:r>
        <w:noBreakHyphen/>
      </w:r>
      <w:r w:rsidRPr="002803DA">
        <w:t>19 Government Response Tracker</w:t>
      </w:r>
      <w:r>
        <w:rPr>
          <w:rStyle w:val="FootnoteReference"/>
        </w:rPr>
        <w:footnoteReference w:id="5"/>
      </w:r>
      <w:r>
        <w:t xml:space="preserve"> estimated the stringency of COVID</w:t>
      </w:r>
      <w:r>
        <w:noBreakHyphen/>
        <w:t xml:space="preserve">19 restrictions for various countries </w:t>
      </w:r>
      <w:r w:rsidRPr="00F863C7">
        <w:rPr>
          <w:szCs w:val="24"/>
        </w:rPr>
        <w:t>(Hale et al. 2021)</w:t>
      </w:r>
      <w:r>
        <w:t>. Generally countries that had more stringent responses to COVID</w:t>
      </w:r>
      <w:r>
        <w:noBreakHyphen/>
        <w:t>19 had larger falls in GDP in the June quarter (figure 11), indicating a short</w:t>
      </w:r>
      <w:r>
        <w:noBreakHyphen/>
        <w:t>term trade</w:t>
      </w:r>
      <w:r>
        <w:noBreakHyphen/>
        <w:t>off between public health and economic growth. Studies that include various controls and that distinguish between different types of restrictions also show that many restrictions have a short</w:t>
      </w:r>
      <w:r>
        <w:noBreakHyphen/>
        <w:t xml:space="preserve">term negative effect on GDP growth </w:t>
      </w:r>
      <w:r w:rsidRPr="002646A5">
        <w:rPr>
          <w:szCs w:val="24"/>
        </w:rPr>
        <w:t>(König and Winkler 2021; Liming et al. 2020)</w:t>
      </w:r>
      <w:r>
        <w:t>.</w:t>
      </w:r>
    </w:p>
    <w:p w14:paraId="414526E9" w14:textId="16829637" w:rsidR="00534098" w:rsidRPr="00AB15F3" w:rsidRDefault="00534098" w:rsidP="00873004">
      <w:pPr>
        <w:pStyle w:val="BodyText"/>
        <w:spacing w:before="200"/>
      </w:pPr>
      <w:r>
        <w:t>However, the longer term economic effects of restrictions aimed to limit the spread of COVID</w:t>
      </w:r>
      <w:r>
        <w:noBreakHyphen/>
        <w:t>19 are less clear. It is possible that restrictions to reduce COVID</w:t>
      </w:r>
      <w:r>
        <w:noBreakHyphen/>
        <w:t>19 trade</w:t>
      </w:r>
      <w:r>
        <w:noBreakHyphen/>
        <w:t>off short</w:t>
      </w:r>
      <w:r>
        <w:noBreakHyphen/>
        <w:t>term pain with long term gain. Some researchers have analysed Google data on mobility which showed countries with more stringent restrictions ultimately had briefer and less severe reductions in mobility of citizens in face</w:t>
      </w:r>
      <w:r>
        <w:noBreakHyphen/>
        <w:t>to</w:t>
      </w:r>
      <w:r>
        <w:noBreakHyphen/>
        <w:t xml:space="preserve">face service sector establishments </w:t>
      </w:r>
      <w:r w:rsidRPr="00665D27">
        <w:rPr>
          <w:szCs w:val="24"/>
        </w:rPr>
        <w:t>(Charumilind et al. 2020; Kochańczyk and Lipniacki 2021)</w:t>
      </w:r>
      <w:r>
        <w:t>. This is thought to occur because in the absence of government restrictions, citizens voluntary reduce their spending and face</w:t>
      </w:r>
      <w:r>
        <w:noBreakHyphen/>
        <w:t>to</w:t>
      </w:r>
      <w:r>
        <w:noBreakHyphen/>
        <w:t xml:space="preserve">face interactions by a degree significant enough to reduce economic activity </w:t>
      </w:r>
      <w:r>
        <w:rPr>
          <w:i/>
          <w:iCs/>
        </w:rPr>
        <w:t>but not</w:t>
      </w:r>
      <w:r>
        <w:t xml:space="preserve"> significant enough to limit the spread of the virus. Further, other studies have found that government restrictions explain only a small fraction of the decline in foot traffic to brick and mortar businesses due to COVID</w:t>
      </w:r>
      <w:r>
        <w:noBreakHyphen/>
        <w:t xml:space="preserve">19, with the majority occurring because of </w:t>
      </w:r>
      <w:r>
        <w:rPr>
          <w:i/>
          <w:iCs/>
        </w:rPr>
        <w:t>voluntary</w:t>
      </w:r>
      <w:r>
        <w:t xml:space="preserve"> reductions in outings of consumers due to fear of infection </w:t>
      </w:r>
      <w:r w:rsidRPr="00EF0F90">
        <w:rPr>
          <w:szCs w:val="24"/>
        </w:rPr>
        <w:t>(Goolsbee and Syverson 2021)</w:t>
      </w:r>
      <w:r>
        <w:t xml:space="preserve">. </w:t>
      </w:r>
    </w:p>
    <w:p w14:paraId="14F28633" w14:textId="40CCE5E8"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0AB96C5" w14:textId="77777777" w:rsidTr="007A39EB">
        <w:trPr>
          <w:tblHeader/>
        </w:trPr>
        <w:tc>
          <w:tcPr>
            <w:tcW w:w="5000" w:type="pct"/>
            <w:tcBorders>
              <w:top w:val="single" w:sz="6" w:space="0" w:color="78A22F"/>
              <w:left w:val="nil"/>
              <w:bottom w:val="nil"/>
              <w:right w:val="nil"/>
            </w:tcBorders>
            <w:shd w:val="clear" w:color="auto" w:fill="auto"/>
          </w:tcPr>
          <w:p w14:paraId="371305EE" w14:textId="10B25A4F" w:rsidR="00534098" w:rsidRDefault="00534098" w:rsidP="007A39EB">
            <w:pPr>
              <w:pStyle w:val="FigureTitle"/>
            </w:pPr>
            <w:r w:rsidRPr="00784A05">
              <w:rPr>
                <w:b w:val="0"/>
              </w:rPr>
              <w:t xml:space="preserve">Figure </w:t>
            </w:r>
            <w:r>
              <w:rPr>
                <w:b w:val="0"/>
              </w:rPr>
              <w:t>11</w:t>
            </w:r>
            <w:r>
              <w:tab/>
            </w:r>
            <w:r w:rsidRPr="00615F23">
              <w:t>In the short term, more stringent restrictions were associated with more severe economic contractions</w:t>
            </w:r>
          </w:p>
          <w:p w14:paraId="6FD74629" w14:textId="77777777" w:rsidR="00534098" w:rsidRPr="00176D3F" w:rsidRDefault="00534098" w:rsidP="000A4693">
            <w:pPr>
              <w:pStyle w:val="Subtitle"/>
              <w:spacing w:after="0"/>
            </w:pPr>
            <w:r w:rsidRPr="00615F23">
              <w:t>Average stringency of COVID</w:t>
            </w:r>
            <w:r>
              <w:noBreakHyphen/>
            </w:r>
            <w:r w:rsidRPr="00615F23">
              <w:t>19</w:t>
            </w:r>
            <w:r w:rsidRPr="00B56EDD">
              <w:rPr>
                <w:rStyle w:val="NoteLabel"/>
              </w:rPr>
              <w:t>a</w:t>
            </w:r>
            <w:r w:rsidRPr="00615F23">
              <w:t xml:space="preserve"> restrictions by country</w:t>
            </w:r>
            <w:r w:rsidRPr="00B56EDD">
              <w:rPr>
                <w:rStyle w:val="NoteLabel"/>
              </w:rPr>
              <w:t>b</w:t>
            </w:r>
            <w:r w:rsidRPr="00615F23">
              <w:t xml:space="preserve"> and their quarterly GDP growth </w:t>
            </w:r>
            <w:r>
              <w:t>(seasonally adjusted)</w:t>
            </w:r>
            <w:r w:rsidRPr="00615F23">
              <w:t xml:space="preserve"> in June 2020</w:t>
            </w:r>
          </w:p>
        </w:tc>
      </w:tr>
      <w:tr w:rsidR="00534098" w14:paraId="70FFAE3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1045C526" w14:textId="77777777" w:rsidTr="007A39EB">
              <w:trPr>
                <w:tblHeader/>
                <w:jc w:val="center"/>
              </w:trPr>
              <w:tc>
                <w:tcPr>
                  <w:tcW w:w="5000" w:type="pct"/>
                  <w:tcBorders>
                    <w:top w:val="nil"/>
                    <w:bottom w:val="nil"/>
                  </w:tcBorders>
                </w:tcPr>
                <w:p w14:paraId="41C3D16B" w14:textId="77777777" w:rsidR="00534098" w:rsidRPr="00B1465D" w:rsidRDefault="00534098" w:rsidP="000A4693">
                  <w:pPr>
                    <w:pStyle w:val="Figure"/>
                    <w:spacing w:before="0" w:after="60"/>
                    <w:rPr>
                      <w:rFonts w:ascii="Arial" w:hAnsi="Arial" w:cs="Arial"/>
                      <w:sz w:val="18"/>
                      <w:szCs w:val="18"/>
                    </w:rPr>
                  </w:pPr>
                  <w:r w:rsidRPr="008F507C">
                    <w:rPr>
                      <w:rFonts w:ascii="Arial" w:hAnsi="Arial" w:cs="Arial"/>
                      <w:noProof/>
                      <w:sz w:val="18"/>
                      <w:szCs w:val="18"/>
                    </w:rPr>
                    <w:drawing>
                      <wp:inline distT="0" distB="0" distL="0" distR="0" wp14:anchorId="049BCC54" wp14:editId="67FA5701">
                        <wp:extent cx="5410200" cy="2895600"/>
                        <wp:effectExtent l="0" t="0" r="0" b="0"/>
                        <wp:docPr id="68" name="Picture 68" descr="This figure plots countries average stringency index against the quarterly GDP growth in June 2020. There appears to be a negative relationship between higher stringency measures and GDP growth indicating that countries who adopted more severe COVID-19 restrictions had larger falls in short term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figure plots countries average stringency index against the quarterly GDP growth in June 2020. There appears to be a negative relationship between higher stringency measures and GDP growth indicating that countries who adopted more severe COVID-19 restrictions had larger falls in short term economic growt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tc>
            </w:tr>
          </w:tbl>
          <w:p w14:paraId="5FA8FD06" w14:textId="77777777" w:rsidR="00534098" w:rsidRDefault="00534098" w:rsidP="007A39EB">
            <w:pPr>
              <w:pStyle w:val="Figure"/>
            </w:pPr>
          </w:p>
        </w:tc>
      </w:tr>
      <w:tr w:rsidR="00534098" w:rsidRPr="00176D3F" w14:paraId="3B0E7D55" w14:textId="77777777" w:rsidTr="007A39EB">
        <w:tc>
          <w:tcPr>
            <w:tcW w:w="5000" w:type="pct"/>
            <w:tcBorders>
              <w:top w:val="nil"/>
              <w:left w:val="nil"/>
              <w:bottom w:val="nil"/>
              <w:right w:val="nil"/>
            </w:tcBorders>
            <w:shd w:val="clear" w:color="auto" w:fill="auto"/>
          </w:tcPr>
          <w:p w14:paraId="1BCA4D91" w14:textId="77777777" w:rsidR="00534098" w:rsidRPr="00176D3F" w:rsidRDefault="00534098" w:rsidP="007A39EB">
            <w:pPr>
              <w:pStyle w:val="Note"/>
            </w:pPr>
            <w:r>
              <w:rPr>
                <w:rStyle w:val="NoteLabel"/>
              </w:rPr>
              <w:t>a</w:t>
            </w:r>
            <w:r>
              <w:t xml:space="preserve"> Average stringency index through the June quarter. </w:t>
            </w:r>
            <w:r>
              <w:rPr>
                <w:rStyle w:val="NoteLabel"/>
              </w:rPr>
              <w:t>b</w:t>
            </w:r>
            <w:r>
              <w:t xml:space="preserve"> The list of countries included in the chart is: South Korea, the United Kingdom, Demark, Spain, Japan, Canada, Finland, Netherlands, United States, Mexico, Germany, Indonesia, Portugal, Italy, China, Sweden, France and Australia.</w:t>
            </w:r>
          </w:p>
        </w:tc>
      </w:tr>
      <w:tr w:rsidR="00534098" w:rsidRPr="00176D3F" w14:paraId="10CEC522" w14:textId="77777777" w:rsidTr="007A39EB">
        <w:tc>
          <w:tcPr>
            <w:tcW w:w="5000" w:type="pct"/>
            <w:tcBorders>
              <w:top w:val="nil"/>
              <w:left w:val="nil"/>
              <w:bottom w:val="nil"/>
              <w:right w:val="nil"/>
            </w:tcBorders>
            <w:shd w:val="clear" w:color="auto" w:fill="auto"/>
          </w:tcPr>
          <w:p w14:paraId="35EAEE8F" w14:textId="5427AA05" w:rsidR="00534098" w:rsidRPr="00176D3F" w:rsidRDefault="00534098" w:rsidP="007A39EB">
            <w:pPr>
              <w:pStyle w:val="Source"/>
            </w:pPr>
            <w:r>
              <w:rPr>
                <w:i/>
              </w:rPr>
              <w:t>S</w:t>
            </w:r>
            <w:r w:rsidRPr="00784A05">
              <w:rPr>
                <w:i/>
              </w:rPr>
              <w:t>ource</w:t>
            </w:r>
            <w:r>
              <w:rPr>
                <w:i/>
              </w:rPr>
              <w:t>s</w:t>
            </w:r>
            <w:r w:rsidRPr="00176D3F">
              <w:t xml:space="preserve">: </w:t>
            </w:r>
            <w:r>
              <w:t>ABS (</w:t>
            </w:r>
            <w:r w:rsidRPr="00041550">
              <w:rPr>
                <w:i/>
              </w:rPr>
              <w:t>International comparisons</w:t>
            </w:r>
            <w:r>
              <w:t xml:space="preserve">), which presented data from Hale et al. </w:t>
            </w:r>
            <w:r w:rsidRPr="00175F34">
              <w:rPr>
                <w:rFonts w:cs="Arial"/>
              </w:rPr>
              <w:t>(2021)</w:t>
            </w:r>
            <w:r>
              <w:t xml:space="preserve">; OECD </w:t>
            </w:r>
            <w:r w:rsidRPr="008F7A2A">
              <w:rPr>
                <w:rFonts w:cs="Arial"/>
              </w:rPr>
              <w:t>(2021)</w:t>
            </w:r>
            <w:r>
              <w:t>.</w:t>
            </w:r>
          </w:p>
        </w:tc>
      </w:tr>
      <w:tr w:rsidR="00534098" w14:paraId="6CF03BC2" w14:textId="77777777" w:rsidTr="007A39EB">
        <w:tc>
          <w:tcPr>
            <w:tcW w:w="5000" w:type="pct"/>
            <w:tcBorders>
              <w:top w:val="nil"/>
              <w:left w:val="nil"/>
              <w:bottom w:val="single" w:sz="6" w:space="0" w:color="78A22F"/>
              <w:right w:val="nil"/>
            </w:tcBorders>
            <w:shd w:val="clear" w:color="auto" w:fill="auto"/>
          </w:tcPr>
          <w:p w14:paraId="676D7361" w14:textId="77777777" w:rsidR="00534098" w:rsidRDefault="00534098" w:rsidP="007A39EB">
            <w:pPr>
              <w:pStyle w:val="Figurespace"/>
            </w:pPr>
          </w:p>
        </w:tc>
      </w:tr>
      <w:tr w:rsidR="00534098" w:rsidRPr="000863A5" w14:paraId="1F4BF8ED" w14:textId="77777777" w:rsidTr="007A39EB">
        <w:tc>
          <w:tcPr>
            <w:tcW w:w="5000" w:type="pct"/>
            <w:tcBorders>
              <w:top w:val="single" w:sz="6" w:space="0" w:color="78A22F"/>
              <w:left w:val="nil"/>
              <w:bottom w:val="nil"/>
              <w:right w:val="nil"/>
            </w:tcBorders>
          </w:tcPr>
          <w:p w14:paraId="5731746A" w14:textId="0F9CCDA0" w:rsidR="00534098" w:rsidRPr="00626D32" w:rsidRDefault="00534098" w:rsidP="007A39EB">
            <w:pPr>
              <w:pStyle w:val="BoxSpaceBelow"/>
            </w:pPr>
          </w:p>
        </w:tc>
      </w:tr>
    </w:tbl>
    <w:p w14:paraId="40995D96" w14:textId="084E297D" w:rsidR="00534098" w:rsidRDefault="00534098" w:rsidP="00534098">
      <w:pPr>
        <w:pStyle w:val="BodyText"/>
      </w:pPr>
      <w:r>
        <w:t>The other factor that aided in a swift recovery was the extensive government stimulus, the bulk of which was provided through the JobKeeper and Cashflow Booster programs (box </w:t>
      </w:r>
      <w:r w:rsidR="00522940">
        <w:t>3</w:t>
      </w:r>
      <w:r>
        <w:t>). The aims of the different government programs varied, but they jointly aimed to:</w:t>
      </w:r>
    </w:p>
    <w:p w14:paraId="56A813E4" w14:textId="77777777" w:rsidR="00534098" w:rsidRDefault="00534098" w:rsidP="00534098">
      <w:pPr>
        <w:pStyle w:val="ListBullet"/>
      </w:pPr>
      <w:r>
        <w:t>maintain the employee</w:t>
      </w:r>
      <w:r>
        <w:noBreakHyphen/>
        <w:t>employer relationship — this would reduce the search costs of matching employees and employers once the crisis ended and prevent an atrophy of skills, ensuring a faster return to work for employees post</w:t>
      </w:r>
      <w:r>
        <w:noBreakHyphen/>
        <w:t>COVID</w:t>
      </w:r>
      <w:r>
        <w:noBreakHyphen/>
        <w:t>19</w:t>
      </w:r>
    </w:p>
    <w:p w14:paraId="090FE7D9" w14:textId="77777777" w:rsidR="00534098" w:rsidRDefault="00534098" w:rsidP="00534098">
      <w:pPr>
        <w:pStyle w:val="ListBullet"/>
      </w:pPr>
      <w:r>
        <w:t>prevent the closure of businesses that would be viable once the pandemic ended — this prevents an atrophy of the skills of business owners, the loss of relationships between businesses, suppliers and customers, as well as preventing the disposal of capital. Essentially this reduced the level of investment (tangible and intangible) that would be necessary to restart the economy once the pandemic ended</w:t>
      </w:r>
    </w:p>
    <w:p w14:paraId="423E3764" w14:textId="77777777" w:rsidR="00534098" w:rsidRDefault="00534098" w:rsidP="00534098">
      <w:pPr>
        <w:pStyle w:val="ListBullet"/>
      </w:pPr>
      <w:r>
        <w:t>provide an income to individuals affected by COVID</w:t>
      </w:r>
      <w:r>
        <w:noBreakHyphen/>
        <w:t>19 — aside from the equity justifications, this would also reduce the barriers to complying with (and resisting) COVID</w:t>
      </w:r>
      <w:r>
        <w:noBreakHyphen/>
        <w:t>19 restrictions, helping to ensure a shorter health and economic crisis</w:t>
      </w:r>
    </w:p>
    <w:p w14:paraId="67DFBCB6" w14:textId="77777777" w:rsidR="00534098" w:rsidRDefault="00534098" w:rsidP="00534098">
      <w:pPr>
        <w:pStyle w:val="ListBullet"/>
      </w:pPr>
      <w:r>
        <w:t>provide stimulus to the economy — this would limit the job losses by expanding the parts of the economy that were least affected by COVID</w:t>
      </w:r>
      <w:r>
        <w:noBreakHyphen/>
        <w:t>19 restrictions, potentially absorbing some of the slack from other sectors.</w:t>
      </w:r>
    </w:p>
    <w:p w14:paraId="0D57739A" w14:textId="0D892C86"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F056216" w14:textId="77777777" w:rsidTr="007A39EB">
        <w:trPr>
          <w:tblHeader/>
        </w:trPr>
        <w:tc>
          <w:tcPr>
            <w:tcW w:w="5000" w:type="pct"/>
            <w:tcBorders>
              <w:top w:val="single" w:sz="6" w:space="0" w:color="78A22F"/>
              <w:left w:val="nil"/>
              <w:bottom w:val="nil"/>
              <w:right w:val="nil"/>
            </w:tcBorders>
            <w:shd w:val="clear" w:color="auto" w:fill="F2F2F2"/>
          </w:tcPr>
          <w:p w14:paraId="6EFA9A7B" w14:textId="465CE6C1" w:rsidR="00534098" w:rsidRDefault="00534098" w:rsidP="007A39EB">
            <w:pPr>
              <w:pStyle w:val="BoxTitle"/>
            </w:pPr>
            <w:r>
              <w:rPr>
                <w:b w:val="0"/>
              </w:rPr>
              <w:t xml:space="preserve">Box </w:t>
            </w:r>
            <w:r w:rsidR="0015674B">
              <w:rPr>
                <w:b w:val="0"/>
                <w:noProof/>
              </w:rPr>
              <w:t>3</w:t>
            </w:r>
            <w:r>
              <w:tab/>
              <w:t>Keeping jobs and boosting cashflows</w:t>
            </w:r>
          </w:p>
        </w:tc>
      </w:tr>
      <w:tr w:rsidR="00534098" w14:paraId="69BCFA9F" w14:textId="77777777" w:rsidTr="007A39EB">
        <w:tc>
          <w:tcPr>
            <w:tcW w:w="5000" w:type="pct"/>
            <w:tcBorders>
              <w:top w:val="nil"/>
              <w:left w:val="nil"/>
              <w:bottom w:val="nil"/>
              <w:right w:val="nil"/>
            </w:tcBorders>
            <w:shd w:val="clear" w:color="auto" w:fill="F2F2F2"/>
          </w:tcPr>
          <w:p w14:paraId="2C90B425" w14:textId="77777777" w:rsidR="00534098" w:rsidRDefault="00534098" w:rsidP="007A39EB">
            <w:pPr>
              <w:pStyle w:val="BoxHeading1"/>
            </w:pPr>
            <w:r>
              <w:t>Jobkeeper</w:t>
            </w:r>
          </w:p>
          <w:p w14:paraId="465BB43A" w14:textId="63CC96C5" w:rsidR="00534098" w:rsidRDefault="00534098" w:rsidP="007A39EB">
            <w:pPr>
              <w:pStyle w:val="Box"/>
            </w:pPr>
            <w:r>
              <w:t xml:space="preserve">On 30 March 2020, in response to deteriorating economic conditions and expectations of worse to come, the Australian Government announced the </w:t>
            </w:r>
            <w:r w:rsidRPr="00B344E2">
              <w:t>JobKeeper</w:t>
            </w:r>
            <w:r>
              <w:t xml:space="preserve"> Payment. This scheme</w:t>
            </w:r>
            <w:r w:rsidRPr="00B344E2">
              <w:t xml:space="preserve"> had three objectives: supporting business and job survival, preserving the employment relationship, and providing needed income support.</w:t>
            </w:r>
            <w:r>
              <w:t xml:space="preserve"> The payment was originally designed to run to 27 September</w:t>
            </w:r>
            <w:r w:rsidR="000E06B8">
              <w:t> </w:t>
            </w:r>
            <w:r>
              <w:t xml:space="preserve">2020, but on 21 July 2020 it was extended until 28 March 2021 </w:t>
            </w:r>
            <w:r w:rsidRPr="00003C27">
              <w:rPr>
                <w:rFonts w:cs="Arial"/>
                <w:szCs w:val="24"/>
              </w:rPr>
              <w:t>(Treasury 2020c)</w:t>
            </w:r>
            <w:r>
              <w:t>.</w:t>
            </w:r>
          </w:p>
          <w:p w14:paraId="471DE52B" w14:textId="77777777" w:rsidR="00534098" w:rsidRDefault="00534098" w:rsidP="007A39EB">
            <w:pPr>
              <w:pStyle w:val="BoxHeading2"/>
            </w:pPr>
            <w:r>
              <w:t>Rate of payment</w:t>
            </w:r>
          </w:p>
          <w:p w14:paraId="60ED8321" w14:textId="77777777" w:rsidR="00534098" w:rsidRPr="000A4693" w:rsidRDefault="00534098" w:rsidP="007A39EB">
            <w:pPr>
              <w:pStyle w:val="Box"/>
              <w:rPr>
                <w:spacing w:val="-4"/>
              </w:rPr>
            </w:pPr>
            <w:r w:rsidRPr="000A4693">
              <w:rPr>
                <w:spacing w:val="-4"/>
              </w:rPr>
              <w:t xml:space="preserve">At its commencement, the Jobkeeper payment consisted of a flat fortnightly $1500 per employee wage subsidy (that businesses could top up if they wished) that was required to be fully passed onto workers. </w:t>
            </w:r>
          </w:p>
          <w:p w14:paraId="12CC6108" w14:textId="77777777" w:rsidR="00534098" w:rsidRDefault="00534098" w:rsidP="007A39EB">
            <w:pPr>
              <w:pStyle w:val="Box"/>
            </w:pPr>
            <w:r w:rsidRPr="00CB44FE">
              <w:t>From 28</w:t>
            </w:r>
            <w:r>
              <w:t> </w:t>
            </w:r>
            <w:r w:rsidRPr="00CB44FE">
              <w:t>September 2020 to 3</w:t>
            </w:r>
            <w:r>
              <w:t> </w:t>
            </w:r>
            <w:r w:rsidRPr="00CB44FE">
              <w:t xml:space="preserve">January 2021, the JobKeeper Payment rates </w:t>
            </w:r>
            <w:r>
              <w:t>were reduced to</w:t>
            </w:r>
            <w:r w:rsidRPr="00CB44FE">
              <w:t xml:space="preserve">: </w:t>
            </w:r>
          </w:p>
          <w:p w14:paraId="45B333CB" w14:textId="77777777" w:rsidR="00534098" w:rsidRPr="00CB44FE" w:rsidRDefault="00534098" w:rsidP="007A39EB">
            <w:pPr>
              <w:pStyle w:val="BoxListBullet"/>
              <w:rPr>
                <w:b/>
              </w:rPr>
            </w:pPr>
            <w:r w:rsidRPr="00CB44FE">
              <w:t>$1200 per fortnight for all eligible employees who were working in the business or not</w:t>
            </w:r>
            <w:r>
              <w:t xml:space="preserve"> </w:t>
            </w:r>
            <w:r w:rsidRPr="00CB44FE">
              <w:t>for</w:t>
            </w:r>
            <w:r>
              <w:noBreakHyphen/>
            </w:r>
            <w:r w:rsidRPr="00CB44FE">
              <w:t>profit for 20 hours or more a week on average in the four weeks of pay periods before either 1</w:t>
            </w:r>
            <w:r>
              <w:t> </w:t>
            </w:r>
            <w:r w:rsidRPr="00CB44FE">
              <w:t>March 2020 or 1</w:t>
            </w:r>
            <w:r>
              <w:t> </w:t>
            </w:r>
            <w:r w:rsidRPr="00CB44FE">
              <w:t>July 2020, and for eligible business participants who were actively engaged in the business for 20 hours or more per week on average</w:t>
            </w:r>
          </w:p>
          <w:p w14:paraId="06D6BBF4" w14:textId="77777777" w:rsidR="00534098" w:rsidRPr="00A413E0" w:rsidRDefault="00534098" w:rsidP="007A39EB">
            <w:pPr>
              <w:pStyle w:val="BoxListBullet"/>
              <w:rPr>
                <w:b/>
              </w:rPr>
            </w:pPr>
            <w:r w:rsidRPr="00CB44FE">
              <w:t>$750 per fortnight for other eligible employees and business participants.</w:t>
            </w:r>
          </w:p>
          <w:p w14:paraId="76F544DF" w14:textId="77777777" w:rsidR="00534098" w:rsidRDefault="00534098" w:rsidP="007A39EB">
            <w:pPr>
              <w:pStyle w:val="Box"/>
            </w:pPr>
            <w:r>
              <w:t>From 4 January 2021 to 28 March 2021, the JobKeeper Payment rates were again reduced to:</w:t>
            </w:r>
          </w:p>
          <w:p w14:paraId="3A6018EC" w14:textId="77777777" w:rsidR="00534098" w:rsidRDefault="00534098" w:rsidP="007A39EB">
            <w:pPr>
              <w:pStyle w:val="BoxListBullet"/>
            </w:pPr>
            <w:r>
              <w:t xml:space="preserve"> $1000 per fortnight for all eligible employees who were working in the business or not for</w:t>
            </w:r>
            <w:r>
              <w:noBreakHyphen/>
              <w:t>profit for 20 hours or more a week on average in the four weeks of pay periods before either 1 March 2020 or 1 July 2020, and for business participants who were actively engaged in the business for 20 hours or more per week on average</w:t>
            </w:r>
          </w:p>
          <w:p w14:paraId="13A8DD98" w14:textId="39CD4085" w:rsidR="00534098" w:rsidRDefault="00534098" w:rsidP="007A39EB">
            <w:pPr>
              <w:pStyle w:val="BoxListBullet"/>
            </w:pPr>
            <w:r>
              <w:t xml:space="preserve">$650 per fortnight for other eligible employees and business participants </w:t>
            </w:r>
            <w:r w:rsidRPr="00003C27">
              <w:rPr>
                <w:rFonts w:cs="Arial"/>
                <w:szCs w:val="24"/>
              </w:rPr>
              <w:t>(Treasury 2020c)</w:t>
            </w:r>
            <w:r>
              <w:t>.</w:t>
            </w:r>
          </w:p>
          <w:p w14:paraId="5049CB1D" w14:textId="77777777" w:rsidR="00534098" w:rsidRDefault="00534098" w:rsidP="007A39EB">
            <w:pPr>
              <w:pStyle w:val="BoxHeading2"/>
            </w:pPr>
            <w:r>
              <w:t xml:space="preserve">Eligibility </w:t>
            </w:r>
          </w:p>
          <w:p w14:paraId="3A01E889" w14:textId="69F90AEE" w:rsidR="00534098" w:rsidRDefault="00534098" w:rsidP="007A39EB">
            <w:pPr>
              <w:pStyle w:val="Box"/>
            </w:pPr>
            <w:r>
              <w:t>Only workers that were full</w:t>
            </w:r>
            <w:r>
              <w:noBreakHyphen/>
              <w:t>time, part</w:t>
            </w:r>
            <w:r>
              <w:noBreakHyphen/>
              <w:t xml:space="preserve">time (for any amount of time) or those that were casually employed for 12 months or more were eligible. Businesses were eligible for this payment if they anticipated a decline in turnover for a month or quarter during the program compared with a similar period in 2019 (or met an alternative test). Different threshold rates of decline applied depending on entity size and type — over 15, 30 or 50 per cent depending on whether the entity was: a charity, a business with $1 billion or less in annual turnover, or a business with more than $1 billion in turnover, respectively. Certain categories of organisations, such as government or universities, were not eligible for the scheme regardless of turnover </w:t>
            </w:r>
            <w:r w:rsidRPr="00003C27">
              <w:rPr>
                <w:rFonts w:cs="Arial"/>
                <w:szCs w:val="24"/>
              </w:rPr>
              <w:t>(Treasury 2020c)</w:t>
            </w:r>
            <w:r>
              <w:t xml:space="preserve">. </w:t>
            </w:r>
          </w:p>
          <w:p w14:paraId="764290CE" w14:textId="68D0DC13" w:rsidR="00534098" w:rsidRDefault="00534098" w:rsidP="007A39EB">
            <w:pPr>
              <w:pStyle w:val="Box"/>
            </w:pPr>
            <w:r w:rsidRPr="00F57A58">
              <w:t>From 28</w:t>
            </w:r>
            <w:r>
              <w:t> </w:t>
            </w:r>
            <w:r w:rsidRPr="00F57A58">
              <w:t>September 2020, businesses and not</w:t>
            </w:r>
            <w:r>
              <w:noBreakHyphen/>
            </w:r>
            <w:r w:rsidRPr="00F57A58">
              <w:t>for</w:t>
            </w:r>
            <w:r>
              <w:noBreakHyphen/>
            </w:r>
            <w:r w:rsidRPr="00F57A58">
              <w:t xml:space="preserve">profits </w:t>
            </w:r>
            <w:r>
              <w:t>needed</w:t>
            </w:r>
            <w:r w:rsidRPr="00F57A58">
              <w:t xml:space="preserve"> to reassess their eligibility </w:t>
            </w:r>
            <w:r>
              <w:t>against</w:t>
            </w:r>
            <w:r w:rsidRPr="00F57A58">
              <w:t xml:space="preserve"> actual </w:t>
            </w:r>
            <w:r>
              <w:t>Goods and Services Tax (</w:t>
            </w:r>
            <w:r w:rsidRPr="00F57A58">
              <w:t>GST</w:t>
            </w:r>
            <w:r>
              <w:t>)</w:t>
            </w:r>
            <w:r w:rsidRPr="00F57A58">
              <w:t xml:space="preserve"> turnover in the September quarter 2020 to be eligible for JobKeeper Payment</w:t>
            </w:r>
            <w:r>
              <w:t>s</w:t>
            </w:r>
            <w:r w:rsidRPr="00F57A58">
              <w:t xml:space="preserve"> from 28</w:t>
            </w:r>
            <w:r>
              <w:t> </w:t>
            </w:r>
            <w:r w:rsidRPr="00F57A58">
              <w:t>September 2020 to 3</w:t>
            </w:r>
            <w:r>
              <w:t> </w:t>
            </w:r>
            <w:r w:rsidRPr="00F57A58">
              <w:t>January 2021</w:t>
            </w:r>
            <w:r>
              <w:t xml:space="preserve"> </w:t>
            </w:r>
            <w:r w:rsidRPr="00003C27">
              <w:rPr>
                <w:rFonts w:cs="Arial"/>
                <w:szCs w:val="24"/>
              </w:rPr>
              <w:t>(Treasury 2020c)</w:t>
            </w:r>
            <w:r w:rsidRPr="00F57A58">
              <w:t xml:space="preserve">. </w:t>
            </w:r>
          </w:p>
          <w:p w14:paraId="72BA2226" w14:textId="3FE2E718" w:rsidR="00534098" w:rsidRDefault="00534098" w:rsidP="007A39EB">
            <w:pPr>
              <w:pStyle w:val="Box"/>
            </w:pPr>
            <w:r w:rsidRPr="00F57A58">
              <w:t>From 4</w:t>
            </w:r>
            <w:r>
              <w:t> </w:t>
            </w:r>
            <w:r w:rsidRPr="00F57A58">
              <w:t>January 2021, businesses and not</w:t>
            </w:r>
            <w:r>
              <w:noBreakHyphen/>
            </w:r>
            <w:r w:rsidRPr="00F57A58">
              <w:t>for</w:t>
            </w:r>
            <w:r>
              <w:noBreakHyphen/>
            </w:r>
            <w:r w:rsidRPr="00F57A58">
              <w:t xml:space="preserve">profits </w:t>
            </w:r>
            <w:r>
              <w:t>were required to again</w:t>
            </w:r>
            <w:r w:rsidRPr="00F57A58">
              <w:t xml:space="preserve"> further reassess their turnover to be eligible for the JobKeeper Payment. </w:t>
            </w:r>
            <w:r>
              <w:t>This required them to meet the</w:t>
            </w:r>
            <w:r w:rsidRPr="00F57A58">
              <w:t xml:space="preserve"> relevant decline in turnover test with reference to their actual GST turnover in the December quarter 2020 to be eligible for the JobKeeper Payment from 4</w:t>
            </w:r>
            <w:r>
              <w:t> </w:t>
            </w:r>
            <w:r w:rsidRPr="00F57A58">
              <w:t>January 2021 to 28</w:t>
            </w:r>
            <w:r>
              <w:t> </w:t>
            </w:r>
            <w:r w:rsidRPr="00F57A58">
              <w:t>March 2021</w:t>
            </w:r>
            <w:r>
              <w:t xml:space="preserve"> </w:t>
            </w:r>
            <w:r w:rsidRPr="00003C27">
              <w:rPr>
                <w:rFonts w:cs="Arial"/>
                <w:szCs w:val="24"/>
              </w:rPr>
              <w:t>(Treasury 2020c)</w:t>
            </w:r>
            <w:r w:rsidRPr="00F57A58">
              <w:t>.</w:t>
            </w:r>
          </w:p>
        </w:tc>
      </w:tr>
      <w:tr w:rsidR="00534098" w14:paraId="7CD15DAD" w14:textId="77777777" w:rsidTr="007A39EB">
        <w:tc>
          <w:tcPr>
            <w:tcW w:w="5000" w:type="pct"/>
            <w:tcBorders>
              <w:top w:val="nil"/>
              <w:left w:val="nil"/>
              <w:bottom w:val="nil"/>
              <w:right w:val="nil"/>
            </w:tcBorders>
            <w:shd w:val="clear" w:color="auto" w:fill="F2F2F2"/>
          </w:tcPr>
          <w:p w14:paraId="11E7987B" w14:textId="77777777" w:rsidR="00534098" w:rsidRDefault="00534098" w:rsidP="007A39EB">
            <w:pPr>
              <w:pStyle w:val="Continued"/>
            </w:pPr>
            <w:r>
              <w:t>(continued)</w:t>
            </w:r>
          </w:p>
        </w:tc>
      </w:tr>
      <w:tr w:rsidR="00534098" w14:paraId="36490D01" w14:textId="77777777" w:rsidTr="007A39EB">
        <w:tc>
          <w:tcPr>
            <w:tcW w:w="5000" w:type="pct"/>
            <w:tcBorders>
              <w:top w:val="nil"/>
              <w:left w:val="nil"/>
              <w:bottom w:val="single" w:sz="6" w:space="0" w:color="78A22F"/>
              <w:right w:val="nil"/>
            </w:tcBorders>
            <w:shd w:val="clear" w:color="auto" w:fill="F2F2F2"/>
          </w:tcPr>
          <w:p w14:paraId="0703C27E" w14:textId="77777777" w:rsidR="00534098" w:rsidRDefault="00534098" w:rsidP="007A39EB">
            <w:pPr>
              <w:pStyle w:val="Box"/>
              <w:spacing w:before="0" w:line="120" w:lineRule="exact"/>
            </w:pPr>
          </w:p>
        </w:tc>
      </w:tr>
      <w:tr w:rsidR="00534098" w:rsidRPr="000863A5" w14:paraId="19F35D68" w14:textId="77777777" w:rsidTr="007A39EB">
        <w:tc>
          <w:tcPr>
            <w:tcW w:w="5000" w:type="pct"/>
            <w:tcBorders>
              <w:top w:val="single" w:sz="6" w:space="0" w:color="78A22F"/>
              <w:left w:val="nil"/>
              <w:bottom w:val="nil"/>
              <w:right w:val="nil"/>
            </w:tcBorders>
          </w:tcPr>
          <w:p w14:paraId="2B849FCE" w14:textId="627DC966" w:rsidR="00534098" w:rsidRPr="00626D32" w:rsidRDefault="00534098" w:rsidP="007A39EB">
            <w:pPr>
              <w:pStyle w:val="BoxSpaceBelow"/>
            </w:pPr>
          </w:p>
        </w:tc>
      </w:tr>
    </w:tbl>
    <w:p w14:paraId="285321C5" w14:textId="0EA43B27"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67B63C0F" w14:textId="77777777" w:rsidTr="007A39EB">
        <w:trPr>
          <w:tblHeader/>
        </w:trPr>
        <w:tc>
          <w:tcPr>
            <w:tcW w:w="5000" w:type="pct"/>
            <w:tcBorders>
              <w:top w:val="single" w:sz="6" w:space="0" w:color="78A22F"/>
              <w:left w:val="nil"/>
              <w:bottom w:val="nil"/>
              <w:right w:val="nil"/>
            </w:tcBorders>
            <w:shd w:val="clear" w:color="auto" w:fill="F2F2F2"/>
          </w:tcPr>
          <w:p w14:paraId="184344E1" w14:textId="0FA384DC" w:rsidR="00534098" w:rsidRDefault="00534098" w:rsidP="007A39EB">
            <w:pPr>
              <w:pStyle w:val="BoxTitle"/>
            </w:pPr>
            <w:r>
              <w:rPr>
                <w:b w:val="0"/>
              </w:rPr>
              <w:t>Box 3</w:t>
            </w:r>
            <w:r>
              <w:tab/>
            </w:r>
            <w:r w:rsidRPr="00301A12">
              <w:rPr>
                <w:b w:val="0"/>
                <w:bCs/>
                <w:sz w:val="18"/>
                <w:szCs w:val="18"/>
              </w:rPr>
              <w:t>(continued)</w:t>
            </w:r>
          </w:p>
        </w:tc>
      </w:tr>
      <w:tr w:rsidR="00534098" w14:paraId="63A90470" w14:textId="77777777" w:rsidTr="007A39EB">
        <w:tc>
          <w:tcPr>
            <w:tcW w:w="5000" w:type="pct"/>
            <w:tcBorders>
              <w:top w:val="nil"/>
              <w:left w:val="nil"/>
              <w:bottom w:val="nil"/>
              <w:right w:val="nil"/>
            </w:tcBorders>
            <w:shd w:val="clear" w:color="auto" w:fill="F2F2F2"/>
          </w:tcPr>
          <w:p w14:paraId="552B00DC" w14:textId="77777777" w:rsidR="00534098" w:rsidRDefault="00534098" w:rsidP="007A39EB">
            <w:pPr>
              <w:pStyle w:val="BoxHeading2"/>
            </w:pPr>
            <w:r>
              <w:t>Cost and impact of the program</w:t>
            </w:r>
          </w:p>
          <w:p w14:paraId="6DCCE9F6" w14:textId="42DF67F2" w:rsidR="00534098" w:rsidRDefault="00534098" w:rsidP="007A39EB">
            <w:pPr>
              <w:pStyle w:val="Box"/>
            </w:pPr>
            <w:r>
              <w:t xml:space="preserve">Jobkeeper was, after some revisions, budgeted at $70 billion and expected to cover 3.5 </w:t>
            </w:r>
            <w:r w:rsidR="00424E17">
              <w:t>million</w:t>
            </w:r>
            <w:r>
              <w:t xml:space="preserve"> employees </w:t>
            </w:r>
            <w:r w:rsidRPr="00003C27">
              <w:rPr>
                <w:rFonts w:cs="Arial"/>
                <w:szCs w:val="24"/>
              </w:rPr>
              <w:t>(Treasury 2020d)</w:t>
            </w:r>
            <w:r>
              <w:t>. ABS data shows that the cost of the program for the 2020 calendar year was about $78.7 billion.</w:t>
            </w:r>
          </w:p>
          <w:p w14:paraId="69386DBD" w14:textId="7FFAE397" w:rsidR="00534098" w:rsidRDefault="00534098" w:rsidP="007A39EB">
            <w:pPr>
              <w:pStyle w:val="Box"/>
            </w:pPr>
            <w:r>
              <w:t xml:space="preserve">Two reviews have considered the employment effects of the Jobkeeper subsidy. The three month review by Treasury </w:t>
            </w:r>
            <w:r w:rsidRPr="00003C27">
              <w:rPr>
                <w:rFonts w:cs="Arial"/>
              </w:rPr>
              <w:t>(2020d)</w:t>
            </w:r>
            <w:r>
              <w:t xml:space="preserve"> argued that the plateauing of employment falls in April (a month after the introduction of Jobkeeper) was evidence that Jobkeeper had put a break on employment losses. </w:t>
            </w:r>
            <w:r w:rsidRPr="004B093E">
              <w:t>Bishop</w:t>
            </w:r>
            <w:r>
              <w:t xml:space="preserve"> and Day </w:t>
            </w:r>
            <w:r w:rsidRPr="00EE64E0">
              <w:rPr>
                <w:rFonts w:cs="Arial"/>
              </w:rPr>
              <w:t>(2020)</w:t>
            </w:r>
            <w:r>
              <w:t xml:space="preserve"> analysed the employment outcomes of individuals who were just below the eligibility requirement of 12 months casual employment to those who were just over the threshold, and estimated that about a fifth of the casual workers just above the threshold continued to be employed as a result of the program. Extrapolating from this figure, Bishop and Day estimated that about 700 000 fewer jobs were lost during the first four months of the COVID</w:t>
            </w:r>
            <w:r w:rsidR="00DC23EC">
              <w:noBreakHyphen/>
              <w:t>19</w:t>
            </w:r>
            <w:r>
              <w:t xml:space="preserve"> employment fall as a result of Jobkeeper. </w:t>
            </w:r>
          </w:p>
          <w:p w14:paraId="34D6D0BD" w14:textId="77777777" w:rsidR="00534098" w:rsidRPr="00555E96" w:rsidRDefault="00534098" w:rsidP="007A39EB">
            <w:pPr>
              <w:pStyle w:val="Box"/>
            </w:pPr>
            <w:r>
              <w:t>This extrapolation has two assumptions behind it: that the effect Jobkeeper had on the employment of casuals can be extrapolated to full and part</w:t>
            </w:r>
            <w:r>
              <w:noBreakHyphen/>
              <w:t xml:space="preserve">time employees, and that there are no indirect effects of Jobkeeper on employment (say, through boosting consumer demand and so raising the demand for labour). This omission (though necessary) likely means that Bishop and Day’s analysis is indicative of the </w:t>
            </w:r>
            <w:r>
              <w:rPr>
                <w:i/>
                <w:iCs/>
              </w:rPr>
              <w:t>lower bound</w:t>
            </w:r>
            <w:r>
              <w:t xml:space="preserve"> of the employment effect of JobKeeper.</w:t>
            </w:r>
          </w:p>
          <w:p w14:paraId="3012BDC6" w14:textId="77777777" w:rsidR="00534098" w:rsidRDefault="00534098" w:rsidP="007A39EB">
            <w:pPr>
              <w:pStyle w:val="BoxHeading1"/>
            </w:pPr>
            <w:r>
              <w:t>Cashflow Booster</w:t>
            </w:r>
          </w:p>
          <w:p w14:paraId="5A0729F9" w14:textId="190772DF" w:rsidR="00534098" w:rsidRDefault="00534098" w:rsidP="007A39EB">
            <w:pPr>
              <w:pStyle w:val="Box"/>
            </w:pPr>
            <w:r>
              <w:t>On 24 March 2020, the Australian Government introduced a new payment to provide temporary cash flow support to small and medium businesses and not</w:t>
            </w:r>
            <w:r>
              <w:noBreakHyphen/>
              <w:t>for</w:t>
            </w:r>
            <w:r>
              <w:noBreakHyphen/>
              <w:t>profit organisations that employed staff during the economic downturn associated with COVID</w:t>
            </w:r>
            <w:r>
              <w:noBreakHyphen/>
              <w:t>19. The payment consisted of tax</w:t>
            </w:r>
            <w:r>
              <w:noBreakHyphen/>
              <w:t xml:space="preserve">free cash flow boosts of between $20 000 and $100 000 to eligible businesses, delivered through credits in the activity statement system when eligible businesses lodged their activity statements. This payment was split between the activity statements for two quarters March 2020 and June 2020, with no further payments being made after this date </w:t>
            </w:r>
            <w:r w:rsidRPr="00F016A2">
              <w:rPr>
                <w:rFonts w:cs="Arial"/>
                <w:szCs w:val="24"/>
              </w:rPr>
              <w:t>(Treasury 2020a)</w:t>
            </w:r>
            <w:r>
              <w:t xml:space="preserve">. </w:t>
            </w:r>
          </w:p>
          <w:p w14:paraId="5FE21583" w14:textId="77777777" w:rsidR="00534098" w:rsidRDefault="00534098" w:rsidP="007A39EB">
            <w:pPr>
              <w:pStyle w:val="Box"/>
            </w:pPr>
            <w:r>
              <w:t>Businesses were eligible to receive the cash flow boost provided they were a small or medium business entity, including not</w:t>
            </w:r>
            <w:r>
              <w:noBreakHyphen/>
              <w:t>for</w:t>
            </w:r>
            <w:r>
              <w:noBreakHyphen/>
              <w:t xml:space="preserve">profit organisations, sole traders, partnerships, companies or trusts, that met all of the following requirements: </w:t>
            </w:r>
          </w:p>
          <w:p w14:paraId="7F603D8B" w14:textId="77777777" w:rsidR="00534098" w:rsidRDefault="00534098" w:rsidP="007A39EB">
            <w:pPr>
              <w:pStyle w:val="BoxListBullet"/>
            </w:pPr>
            <w:r>
              <w:t>held an Australian Business Number (ABN) on 12 March 2020 and continues to be active</w:t>
            </w:r>
          </w:p>
          <w:p w14:paraId="2A260079" w14:textId="77777777" w:rsidR="00534098" w:rsidRDefault="00534098" w:rsidP="007A39EB">
            <w:pPr>
              <w:pStyle w:val="BoxListBullet"/>
            </w:pPr>
            <w:r>
              <w:t>had an aggregated annual turnover under $50 million (generally based on prior year turnover)</w:t>
            </w:r>
          </w:p>
          <w:p w14:paraId="0EECE8EB" w14:textId="4E98D29E" w:rsidR="00534098" w:rsidRDefault="00534098" w:rsidP="007A39EB">
            <w:pPr>
              <w:pStyle w:val="BoxListBullet"/>
            </w:pPr>
            <w:r>
              <w:t xml:space="preserve">made eligible payments that the business is required to withhold from (even if the amount required to be withheld is zero) </w:t>
            </w:r>
            <w:r w:rsidRPr="00F016A2">
              <w:rPr>
                <w:rFonts w:cs="Arial"/>
                <w:szCs w:val="24"/>
              </w:rPr>
              <w:t>(Treasury 2020a)</w:t>
            </w:r>
            <w:r>
              <w:t>.</w:t>
            </w:r>
          </w:p>
          <w:p w14:paraId="31B0335F" w14:textId="77777777" w:rsidR="00534098" w:rsidRDefault="00534098" w:rsidP="007A39EB">
            <w:pPr>
              <w:pStyle w:val="Box"/>
            </w:pPr>
            <w:r w:rsidRPr="002F2332">
              <w:t xml:space="preserve">In addition, the business </w:t>
            </w:r>
            <w:r>
              <w:t>also needed to</w:t>
            </w:r>
            <w:r w:rsidRPr="002F2332">
              <w:t xml:space="preserve"> have either: </w:t>
            </w:r>
          </w:p>
          <w:p w14:paraId="4FAF9F99" w14:textId="77777777" w:rsidR="00534098" w:rsidRDefault="00534098" w:rsidP="007A39EB">
            <w:pPr>
              <w:pStyle w:val="BoxListBullet"/>
            </w:pPr>
            <w:r w:rsidRPr="002F2332">
              <w:t>derived business income in the 2018</w:t>
            </w:r>
            <w:r>
              <w:noBreakHyphen/>
            </w:r>
            <w:r w:rsidRPr="002F2332">
              <w:t>19 income year and lodged its 2019 tax return on or before 12</w:t>
            </w:r>
            <w:r>
              <w:t> </w:t>
            </w:r>
            <w:r w:rsidRPr="002F2332">
              <w:t>March 2020</w:t>
            </w:r>
          </w:p>
          <w:p w14:paraId="1F8A937D" w14:textId="406A401F" w:rsidR="00534098" w:rsidRDefault="00534098" w:rsidP="007A39EB">
            <w:pPr>
              <w:pStyle w:val="BoxListBullet"/>
            </w:pPr>
            <w:r w:rsidRPr="002F2332">
              <w:t>made GST taxable, GST</w:t>
            </w:r>
            <w:r>
              <w:noBreakHyphen/>
            </w:r>
            <w:r w:rsidRPr="002F2332">
              <w:t>free or input</w:t>
            </w:r>
            <w:r>
              <w:noBreakHyphen/>
            </w:r>
            <w:r w:rsidRPr="002F2332">
              <w:t>taxed sales in a previous tax period (since 1</w:t>
            </w:r>
            <w:r>
              <w:t> </w:t>
            </w:r>
            <w:r w:rsidRPr="002F2332">
              <w:t>July 2018) and lodged the relevant activity statement on or before 12</w:t>
            </w:r>
            <w:r>
              <w:t> </w:t>
            </w:r>
            <w:r w:rsidRPr="002F2332">
              <w:t>March 2020</w:t>
            </w:r>
            <w:r>
              <w:t xml:space="preserve"> </w:t>
            </w:r>
            <w:r w:rsidRPr="00F016A2">
              <w:rPr>
                <w:rFonts w:cs="Arial"/>
                <w:szCs w:val="24"/>
              </w:rPr>
              <w:t>(Treasury 2020a)</w:t>
            </w:r>
            <w:r w:rsidRPr="002F2332">
              <w:t>.</w:t>
            </w:r>
          </w:p>
          <w:p w14:paraId="2248F343" w14:textId="5A3A8027" w:rsidR="00534098" w:rsidRDefault="00534098" w:rsidP="007A39EB">
            <w:pPr>
              <w:pStyle w:val="Box"/>
            </w:pPr>
            <w:r>
              <w:t>As at 30 November 2020, Cashflow Booster was estimated to have cost $</w:t>
            </w:r>
            <w:r w:rsidRPr="00BA01C4">
              <w:t>34.31</w:t>
            </w:r>
            <w:r>
              <w:t xml:space="preserve"> billion (excluding administrative costs) given to about </w:t>
            </w:r>
            <w:r w:rsidRPr="002B1F2B">
              <w:t>806</w:t>
            </w:r>
            <w:r>
              <w:t> </w:t>
            </w:r>
            <w:r w:rsidRPr="002B1F2B">
              <w:t>635</w:t>
            </w:r>
            <w:r>
              <w:t xml:space="preserve"> businesses (an average cost of $</w:t>
            </w:r>
            <w:r w:rsidRPr="007555F4">
              <w:t>42</w:t>
            </w:r>
            <w:r>
              <w:t> </w:t>
            </w:r>
            <w:r w:rsidRPr="007555F4">
              <w:t>534</w:t>
            </w:r>
            <w:r>
              <w:t xml:space="preserve"> per business) who employed about </w:t>
            </w:r>
            <w:r w:rsidRPr="0012479A">
              <w:t>6.53</w:t>
            </w:r>
            <w:r>
              <w:t xml:space="preserve"> million people </w:t>
            </w:r>
            <w:r w:rsidRPr="00E6030C">
              <w:rPr>
                <w:rFonts w:cs="Arial"/>
                <w:szCs w:val="24"/>
              </w:rPr>
              <w:t>(ATO 2020)</w:t>
            </w:r>
            <w:r>
              <w:t>. No reviews have yet been conducted to determine the effect of the program on employment or other economic outcomes.</w:t>
            </w:r>
          </w:p>
        </w:tc>
      </w:tr>
      <w:tr w:rsidR="00534098" w14:paraId="63A69084" w14:textId="77777777" w:rsidTr="007A39EB">
        <w:tc>
          <w:tcPr>
            <w:tcW w:w="5000" w:type="pct"/>
            <w:tcBorders>
              <w:top w:val="nil"/>
              <w:left w:val="nil"/>
              <w:bottom w:val="single" w:sz="6" w:space="0" w:color="78A22F"/>
              <w:right w:val="nil"/>
            </w:tcBorders>
            <w:shd w:val="clear" w:color="auto" w:fill="F2F2F2"/>
          </w:tcPr>
          <w:p w14:paraId="661C383E" w14:textId="77777777" w:rsidR="00534098" w:rsidRDefault="00534098" w:rsidP="007A39EB">
            <w:pPr>
              <w:pStyle w:val="Box"/>
              <w:spacing w:before="0" w:line="120" w:lineRule="exact"/>
            </w:pPr>
          </w:p>
        </w:tc>
      </w:tr>
      <w:tr w:rsidR="00534098" w:rsidRPr="000863A5" w14:paraId="77BD1F7B" w14:textId="77777777" w:rsidTr="007A39EB">
        <w:tc>
          <w:tcPr>
            <w:tcW w:w="5000" w:type="pct"/>
            <w:tcBorders>
              <w:top w:val="single" w:sz="6" w:space="0" w:color="78A22F"/>
              <w:left w:val="nil"/>
              <w:bottom w:val="nil"/>
              <w:right w:val="nil"/>
            </w:tcBorders>
          </w:tcPr>
          <w:p w14:paraId="08030AAC" w14:textId="4D7E0CA0" w:rsidR="00534098" w:rsidRPr="00626D32" w:rsidRDefault="00534098" w:rsidP="007A39EB">
            <w:pPr>
              <w:pStyle w:val="BoxSpaceBelow"/>
            </w:pPr>
          </w:p>
        </w:tc>
      </w:tr>
    </w:tbl>
    <w:p w14:paraId="2D6D97F6" w14:textId="230E59C9" w:rsidR="00534098" w:rsidRDefault="00534098" w:rsidP="00534098">
      <w:pPr>
        <w:pStyle w:val="BodyText"/>
      </w:pPr>
      <w:r>
        <w:t xml:space="preserve">The Australian, State and Territory Governments appear to have achieved these aims. Bishop and Day </w:t>
      </w:r>
      <w:r w:rsidRPr="00D861C5">
        <w:t>(2020)</w:t>
      </w:r>
      <w:r>
        <w:t xml:space="preserve"> studied the causal effect of JobKeeper and found that the job losses in the first four months of the program would have been about 700 000 greater without the program. Note that the design of this analysis could only detect the effect of the subsidy on those who were eligible for the program relative to those who were not. This meant it could not detect the indirect effects that the subsidy might have had on employment through raising aggregate demand, and so these estimates are likely a lower bound of the true estimate</w:t>
      </w:r>
      <w:r w:rsidDel="00E60DB8">
        <w:t>.</w:t>
      </w:r>
      <w:r>
        <w:t xml:space="preserve"> </w:t>
      </w:r>
      <w:r w:rsidRPr="005B6326">
        <w:t>The</w:t>
      </w:r>
      <w:r w:rsidRPr="00144C7A">
        <w:t xml:space="preserve"> Commission is not aware of any evaluations of the </w:t>
      </w:r>
      <w:r>
        <w:t>C</w:t>
      </w:r>
      <w:r w:rsidRPr="00144C7A">
        <w:t xml:space="preserve">ashflow </w:t>
      </w:r>
      <w:r>
        <w:t>B</w:t>
      </w:r>
      <w:r w:rsidRPr="00144C7A">
        <w:t>ooster program.</w:t>
      </w:r>
      <w:r>
        <w:t xml:space="preserve"> </w:t>
      </w:r>
    </w:p>
    <w:p w14:paraId="606B8FF5" w14:textId="230E44DF" w:rsidR="00534098" w:rsidRDefault="00534098" w:rsidP="00534098">
      <w:pPr>
        <w:pStyle w:val="BodyText"/>
      </w:pPr>
      <w:r>
        <w:t xml:space="preserve">Most research seems to agree that temporary increases to unemployment benefits (‘JobSeeker’) and the introduction of JobKeeper led to an almost unprecedented rise in income support for many. For example, while criticising subsequent cuts to JobKeeper and JobSeeker, Phillips, Gray and Biddle </w:t>
      </w:r>
      <w:r w:rsidRPr="00BB7871">
        <w:rPr>
          <w:szCs w:val="24"/>
        </w:rPr>
        <w:t>(2020, p. iv)</w:t>
      </w:r>
      <w:r>
        <w:t xml:space="preserve"> estimated a microsimulation model of the effects of these programs and found:</w:t>
      </w:r>
    </w:p>
    <w:p w14:paraId="197E90CF" w14:textId="77777777" w:rsidR="00534098" w:rsidRDefault="00534098" w:rsidP="00534098">
      <w:pPr>
        <w:pStyle w:val="Quote"/>
      </w:pPr>
      <w:r>
        <w:t>As a result of the introduction of the original JobKeeper and the JobSeeker Supplement, the poverty gap and the number of persons in poverty is not only lower than in the absence of a policy response [to COVID</w:t>
      </w:r>
      <w:r>
        <w:noBreakHyphen/>
        <w:t>19] but also much lower than pre</w:t>
      </w:r>
      <w:r>
        <w:noBreakHyphen/>
        <w:t>COVID times. The poverty gap has been lowered by 39 per cent and the number of people in poverty has been lowered by around 32 per cent [relative to pre</w:t>
      </w:r>
      <w:r>
        <w:noBreakHyphen/>
        <w:t>COVID</w:t>
      </w:r>
      <w:r>
        <w:noBreakHyphen/>
        <w:t>19 levels].</w:t>
      </w:r>
    </w:p>
    <w:p w14:paraId="278610C5" w14:textId="444CB290" w:rsidR="00534098" w:rsidRPr="00B2198D" w:rsidRDefault="00534098" w:rsidP="00534098">
      <w:pPr>
        <w:pStyle w:val="BodyText"/>
      </w:pPr>
      <w:r>
        <w:t>That is, for a great number of low</w:t>
      </w:r>
      <w:r>
        <w:noBreakHyphen/>
        <w:t>income households, measures to reduce the economic effects of COVID</w:t>
      </w:r>
      <w:r>
        <w:noBreakHyphen/>
        <w:t>19 appear to have increased their incomes (relative to pre</w:t>
      </w:r>
      <w:r>
        <w:noBreakHyphen/>
        <w:t xml:space="preserve">COVID) and reduced the degree and rates of poverty. Likewise, Treasury’s </w:t>
      </w:r>
      <w:r w:rsidRPr="00003C27">
        <w:t>(2020d)</w:t>
      </w:r>
      <w:r>
        <w:t xml:space="preserve"> three</w:t>
      </w:r>
      <w:r>
        <w:noBreakHyphen/>
        <w:t xml:space="preserve">month review of JobKeeper found that ‘around a quarter of JobKeeper recipients had an income increase in their JobKeeper job relative to their February earnings in that same job’. </w:t>
      </w:r>
    </w:p>
    <w:p w14:paraId="5D3E188D" w14:textId="77777777" w:rsidR="00534098" w:rsidRDefault="00534098" w:rsidP="00534098">
      <w:pPr>
        <w:pStyle w:val="BodyText"/>
      </w:pPr>
      <w:r>
        <w:t>Estimating the effectiveness of economic stimulus provided by governments is difficult. Ideally an analysis would take into account the size of the multiplier (that is, for every $1 in the deficit, how much does overall production increase), and</w:t>
      </w:r>
      <w:r w:rsidDel="00E96D30">
        <w:t xml:space="preserve"> </w:t>
      </w:r>
      <w:r>
        <w:t>adjust for the fact that the budget deficit is affected by both discretionary (infrastructure spending or policy changes) and automatic (falls in tax revenue and increases in welfare spending) factors. And this analysis of spending should also combine the joint effect of federal, state and local government spending. Nonetheless, even without these adjustments, the level of stimulus provided by the Australian Government appears significant (figure 12). In particular, the underlying cash balance is forecast to fall lower than levels incurred by the recession of the early 1990s or that incurred by the Australian Government during the Global Financial Crisis. It seems likely that this significant level of stimulus (unparalleled since the world wars) increased economic growth during the COVID</w:t>
      </w:r>
      <w:r>
        <w:noBreakHyphen/>
        <w:t>19 health crisis.</w:t>
      </w:r>
    </w:p>
    <w:p w14:paraId="3240C1E6" w14:textId="77777777" w:rsidR="00534098" w:rsidRDefault="00534098" w:rsidP="00534098">
      <w:pPr>
        <w:pStyle w:val="BodyText"/>
      </w:pPr>
      <w:r>
        <w:t xml:space="preserve">Government policy also appears to have reduced the rate of business failures, and especially the rate of insolvency (below). </w:t>
      </w:r>
    </w:p>
    <w:p w14:paraId="795B64E0" w14:textId="4BE86F2F"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99B61B1" w14:textId="77777777" w:rsidTr="007A39EB">
        <w:trPr>
          <w:tblHeader/>
        </w:trPr>
        <w:tc>
          <w:tcPr>
            <w:tcW w:w="5000" w:type="pct"/>
            <w:tcBorders>
              <w:top w:val="single" w:sz="6" w:space="0" w:color="78A22F"/>
              <w:left w:val="nil"/>
              <w:bottom w:val="nil"/>
              <w:right w:val="nil"/>
            </w:tcBorders>
            <w:shd w:val="clear" w:color="auto" w:fill="auto"/>
          </w:tcPr>
          <w:p w14:paraId="4239DACA" w14:textId="38CA7E3C" w:rsidR="00534098" w:rsidRDefault="00534098" w:rsidP="007A39EB">
            <w:pPr>
              <w:pStyle w:val="FigureTitle"/>
            </w:pPr>
            <w:r w:rsidRPr="00784A05">
              <w:rPr>
                <w:b w:val="0"/>
              </w:rPr>
              <w:t xml:space="preserve">Figure </w:t>
            </w:r>
            <w:r>
              <w:rPr>
                <w:b w:val="0"/>
              </w:rPr>
              <w:t>12</w:t>
            </w:r>
            <w:r>
              <w:tab/>
              <w:t>The faster recovery was partly driven by the Australian Government’s large deficit</w:t>
            </w:r>
            <w:r w:rsidRPr="00733510">
              <w:rPr>
                <w:rStyle w:val="NoteLabel"/>
                <w:b/>
                <w:position w:val="10"/>
              </w:rPr>
              <w:t>a,b</w:t>
            </w:r>
          </w:p>
          <w:p w14:paraId="408B4323" w14:textId="77777777" w:rsidR="00534098" w:rsidRPr="00176D3F" w:rsidRDefault="00534098" w:rsidP="007A39EB">
            <w:pPr>
              <w:pStyle w:val="Subtitle"/>
            </w:pPr>
            <w:r>
              <w:t xml:space="preserve">Australian Government underlying cash balance as a proportion of GDP </w:t>
            </w:r>
          </w:p>
        </w:tc>
      </w:tr>
      <w:tr w:rsidR="00534098" w14:paraId="70A0E05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224A7398" w14:textId="77777777" w:rsidTr="007A39EB">
              <w:trPr>
                <w:tblHeader/>
                <w:jc w:val="center"/>
              </w:trPr>
              <w:tc>
                <w:tcPr>
                  <w:tcW w:w="5000" w:type="pct"/>
                  <w:tcBorders>
                    <w:top w:val="nil"/>
                    <w:bottom w:val="nil"/>
                  </w:tcBorders>
                </w:tcPr>
                <w:p w14:paraId="18FFA430" w14:textId="0BDD1757" w:rsidR="00534098" w:rsidRPr="00B1465D" w:rsidRDefault="0066476E" w:rsidP="007A39EB">
                  <w:pPr>
                    <w:pStyle w:val="Figure"/>
                    <w:spacing w:before="60" w:after="60"/>
                    <w:rPr>
                      <w:rFonts w:ascii="Arial" w:hAnsi="Arial" w:cs="Arial"/>
                      <w:sz w:val="18"/>
                      <w:szCs w:val="18"/>
                    </w:rPr>
                  </w:pPr>
                  <w:r w:rsidRPr="008F3021">
                    <w:rPr>
                      <w:rFonts w:ascii="Arial" w:hAnsi="Arial" w:cs="Arial"/>
                      <w:noProof/>
                      <w:sz w:val="18"/>
                      <w:szCs w:val="18"/>
                    </w:rPr>
                    <w:drawing>
                      <wp:inline distT="0" distB="0" distL="0" distR="0" wp14:anchorId="3BD51589" wp14:editId="78A7F3B2">
                        <wp:extent cx="5404485" cy="2854325"/>
                        <wp:effectExtent l="0" t="0" r="5715" b="3175"/>
                        <wp:docPr id="69" name="Picture 69" descr="This figure plots the Australian Government’s underlying cash balance  as a proportion of GDP between 1970 and 2025, with the last four years being forecasts. It can be seen that the deficit forecasted for 2020-21 is going to be larger than the deficits the Australian Government ran in the past two recessions as well as the GFC. It can also be seen that the size of the deficit for 2020-21 has been revised down in the most recent bud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figure plots the Australian Government’s underlying cash balance  as a proportion of GDP between 1970 and 2025, with the last four years being forecasts. It can be seen that the deficit forecasted for 2020-21 is going to be larger than the deficits the Australian Government ran in the past two recessions as well as the GFC. It can also be seen that the size of the deficit for 2020-21 has been revised down in the most recent budget.&#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4485" cy="2854325"/>
                                </a:xfrm>
                                <a:prstGeom prst="rect">
                                  <a:avLst/>
                                </a:prstGeom>
                                <a:noFill/>
                                <a:ln>
                                  <a:noFill/>
                                </a:ln>
                              </pic:spPr>
                            </pic:pic>
                          </a:graphicData>
                        </a:graphic>
                      </wp:inline>
                    </w:drawing>
                  </w:r>
                </w:p>
              </w:tc>
            </w:tr>
          </w:tbl>
          <w:p w14:paraId="1D4163DD" w14:textId="77777777" w:rsidR="00534098" w:rsidRDefault="00534098" w:rsidP="007A39EB">
            <w:pPr>
              <w:pStyle w:val="Figure"/>
            </w:pPr>
          </w:p>
        </w:tc>
      </w:tr>
      <w:tr w:rsidR="00534098" w:rsidRPr="00176D3F" w14:paraId="416B709D" w14:textId="77777777" w:rsidTr="007A39EB">
        <w:tc>
          <w:tcPr>
            <w:tcW w:w="5000" w:type="pct"/>
            <w:tcBorders>
              <w:top w:val="nil"/>
              <w:left w:val="nil"/>
              <w:bottom w:val="nil"/>
              <w:right w:val="nil"/>
            </w:tcBorders>
            <w:shd w:val="clear" w:color="auto" w:fill="auto"/>
          </w:tcPr>
          <w:p w14:paraId="66CC29C6" w14:textId="77777777" w:rsidR="00534098" w:rsidRPr="00176D3F" w:rsidRDefault="00534098" w:rsidP="007A39EB">
            <w:pPr>
              <w:pStyle w:val="Note"/>
            </w:pPr>
            <w:r w:rsidRPr="00FF19AE">
              <w:rPr>
                <w:rStyle w:val="NoteLabel"/>
              </w:rPr>
              <w:t>a</w:t>
            </w:r>
            <w:r w:rsidRPr="00420BF5">
              <w:t xml:space="preserve"> Between 2005</w:t>
            </w:r>
            <w:r>
              <w:noBreakHyphen/>
            </w:r>
            <w:r w:rsidRPr="00420BF5">
              <w:t>06 and 2019</w:t>
            </w:r>
            <w:r>
              <w:noBreakHyphen/>
            </w:r>
            <w:r w:rsidRPr="00420BF5">
              <w:t xml:space="preserve">20, the underlying cash balance is equal to </w:t>
            </w:r>
            <w:r w:rsidRPr="00FE5522">
              <w:t>cash receipts from operating activities and sales of non</w:t>
            </w:r>
            <w:r>
              <w:noBreakHyphen/>
            </w:r>
            <w:r w:rsidRPr="00FE5522">
              <w:t xml:space="preserve">financial </w:t>
            </w:r>
            <w:r>
              <w:t>assets plus net earnings from the Future Fund minus cash payments for operating activities, purchases of non</w:t>
            </w:r>
            <w:r>
              <w:noBreakHyphen/>
              <w:t xml:space="preserve">financial assets and net cash flows from financing activities for leases. </w:t>
            </w:r>
            <w:r w:rsidRPr="00041550">
              <w:rPr>
                <w:rStyle w:val="NoteLabel"/>
              </w:rPr>
              <w:t>b</w:t>
            </w:r>
            <w:r>
              <w:t> MYEFO refers to the mid</w:t>
            </w:r>
            <w:r>
              <w:noBreakHyphen/>
              <w:t>year economic and financial outlook which updates fiscal and economic estimates from the previous budget.</w:t>
            </w:r>
          </w:p>
        </w:tc>
      </w:tr>
      <w:tr w:rsidR="00534098" w:rsidRPr="00176D3F" w14:paraId="1C6E1606" w14:textId="77777777" w:rsidTr="007A39EB">
        <w:tc>
          <w:tcPr>
            <w:tcW w:w="5000" w:type="pct"/>
            <w:tcBorders>
              <w:top w:val="nil"/>
              <w:left w:val="nil"/>
              <w:bottom w:val="nil"/>
              <w:right w:val="nil"/>
            </w:tcBorders>
            <w:shd w:val="clear" w:color="auto" w:fill="auto"/>
          </w:tcPr>
          <w:p w14:paraId="51CC0F26" w14:textId="0DF9875C" w:rsidR="00534098" w:rsidRPr="00176D3F" w:rsidRDefault="00534098" w:rsidP="007A39EB">
            <w:pPr>
              <w:pStyle w:val="Source"/>
            </w:pPr>
            <w:r>
              <w:rPr>
                <w:i/>
              </w:rPr>
              <w:t>S</w:t>
            </w:r>
            <w:r w:rsidRPr="00784A05">
              <w:rPr>
                <w:i/>
              </w:rPr>
              <w:t>ource</w:t>
            </w:r>
            <w:r>
              <w:rPr>
                <w:i/>
              </w:rPr>
              <w:t>s</w:t>
            </w:r>
            <w:r w:rsidRPr="00176D3F">
              <w:t xml:space="preserve">: </w:t>
            </w:r>
            <w:r>
              <w:t xml:space="preserve">Australian Government </w:t>
            </w:r>
            <w:r w:rsidRPr="00EB5855">
              <w:rPr>
                <w:rFonts w:cs="Arial"/>
              </w:rPr>
              <w:t>(2020, 2021)</w:t>
            </w:r>
            <w:r>
              <w:t>.</w:t>
            </w:r>
          </w:p>
        </w:tc>
      </w:tr>
      <w:tr w:rsidR="00534098" w14:paraId="791D5B4F" w14:textId="77777777" w:rsidTr="007A39EB">
        <w:tc>
          <w:tcPr>
            <w:tcW w:w="5000" w:type="pct"/>
            <w:tcBorders>
              <w:top w:val="nil"/>
              <w:left w:val="nil"/>
              <w:bottom w:val="single" w:sz="6" w:space="0" w:color="78A22F"/>
              <w:right w:val="nil"/>
            </w:tcBorders>
            <w:shd w:val="clear" w:color="auto" w:fill="auto"/>
          </w:tcPr>
          <w:p w14:paraId="464FA943" w14:textId="77777777" w:rsidR="00534098" w:rsidRDefault="00534098" w:rsidP="007A39EB">
            <w:pPr>
              <w:pStyle w:val="Figurespace"/>
            </w:pPr>
          </w:p>
        </w:tc>
      </w:tr>
      <w:tr w:rsidR="00534098" w:rsidRPr="000863A5" w14:paraId="4ABC1188" w14:textId="77777777" w:rsidTr="007A39EB">
        <w:tc>
          <w:tcPr>
            <w:tcW w:w="5000" w:type="pct"/>
            <w:tcBorders>
              <w:top w:val="single" w:sz="6" w:space="0" w:color="78A22F"/>
              <w:left w:val="nil"/>
              <w:bottom w:val="nil"/>
              <w:right w:val="nil"/>
            </w:tcBorders>
          </w:tcPr>
          <w:p w14:paraId="7644DC15" w14:textId="2EFE3990" w:rsidR="00534098" w:rsidRPr="00626D32" w:rsidRDefault="00534098" w:rsidP="007A39EB">
            <w:pPr>
              <w:pStyle w:val="BoxSpaceBelow"/>
            </w:pPr>
          </w:p>
        </w:tc>
      </w:tr>
    </w:tbl>
    <w:p w14:paraId="2BF96AA5" w14:textId="77777777" w:rsidR="00534098" w:rsidRDefault="00534098" w:rsidP="00F934B3">
      <w:pPr>
        <w:pStyle w:val="Heading3"/>
        <w:spacing w:before="360"/>
      </w:pPr>
      <w:r>
        <w:t>Business entries and exits</w:t>
      </w:r>
    </w:p>
    <w:p w14:paraId="1A7D066C" w14:textId="77777777" w:rsidR="00534098" w:rsidRDefault="00534098" w:rsidP="00534098">
      <w:pPr>
        <w:pStyle w:val="BodyText"/>
      </w:pPr>
      <w:r>
        <w:t>The COVID</w:t>
      </w:r>
      <w:r>
        <w:noBreakHyphen/>
        <w:t>19 recession has so far been marked by a relatively small change in the rates of business entry and exit (figure 13). Indeed, more businesses decided to open than to close during 2019</w:t>
      </w:r>
      <w:r>
        <w:noBreakHyphen/>
        <w:t>20. Even in some of the industries worst affected by COVID</w:t>
      </w:r>
      <w:r>
        <w:noBreakHyphen/>
        <w:t xml:space="preserve">19 </w:t>
      </w:r>
      <w:r w:rsidRPr="00045670">
        <w:t>— such</w:t>
      </w:r>
      <w:r>
        <w:t xml:space="preserve"> as </w:t>
      </w:r>
      <w:r w:rsidRPr="00DB0077">
        <w:rPr>
          <w:i/>
          <w:iCs/>
        </w:rPr>
        <w:t>retail trade</w:t>
      </w:r>
      <w:r>
        <w:t xml:space="preserve"> and </w:t>
      </w:r>
      <w:r w:rsidRPr="00DB0077">
        <w:rPr>
          <w:i/>
          <w:iCs/>
        </w:rPr>
        <w:t>accommodation and food services</w:t>
      </w:r>
      <w:r>
        <w:t xml:space="preserve"> </w:t>
      </w:r>
      <w:r w:rsidRPr="00045670">
        <w:t>—</w:t>
      </w:r>
      <w:r>
        <w:t xml:space="preserve"> more businesses decided to open than to close (table 3). Indeed, </w:t>
      </w:r>
      <w:r>
        <w:rPr>
          <w:i/>
          <w:iCs/>
        </w:rPr>
        <w:t>none</w:t>
      </w:r>
      <w:r>
        <w:t xml:space="preserve"> of the service industries affected by shutdowns had a net rate of business exit except for </w:t>
      </w:r>
      <w:r w:rsidRPr="00DB0077">
        <w:rPr>
          <w:i/>
          <w:iCs/>
        </w:rPr>
        <w:t>information media and telecommunications</w:t>
      </w:r>
      <w:r>
        <w:t xml:space="preserve">. </w:t>
      </w:r>
    </w:p>
    <w:p w14:paraId="496C25D7" w14:textId="77777777" w:rsidR="00534098" w:rsidRPr="00640146" w:rsidRDefault="00534098" w:rsidP="00534098">
      <w:pPr>
        <w:pStyle w:val="BodyText"/>
      </w:pPr>
      <w:r w:rsidRPr="00640146">
        <w:t>Previous recessions, and even non</w:t>
      </w:r>
      <w:r w:rsidRPr="00640146">
        <w:noBreakHyphen/>
        <w:t xml:space="preserve">recessionary slowdowns in growth (such as the Global Financial Crisis and the end of the mining investment boom), tended to be accompanied by higher rates of business exit and slower rates of business entry. Part of the difference could be the nature of the shock itself: some businesses may have believed a fall in profits would only be a temporary consequence of the pandemic, and so, where it was feasible, preferred to hibernate through the downturn than to permanently cease operations. And government policy actively tried to achieve this outcome by providing extensive subsidies for wages and business cashflows (box 2), various stimulus measures, increases to unemployment benefits and changes to insolvency laws (box 3). The combined effect of these policies was to reduce the cost of employment, increase the profitability of businesses and ultimately reduce the pressure on businesses to close. </w:t>
      </w:r>
    </w:p>
    <w:p w14:paraId="54F48351" w14:textId="6508B364" w:rsidR="00534098" w:rsidRDefault="00534098" w:rsidP="00534098">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B346B57" w14:textId="77777777" w:rsidTr="007A39EB">
        <w:trPr>
          <w:tblHeader/>
        </w:trPr>
        <w:tc>
          <w:tcPr>
            <w:tcW w:w="5000" w:type="pct"/>
            <w:tcBorders>
              <w:top w:val="single" w:sz="6" w:space="0" w:color="78A22F"/>
              <w:left w:val="nil"/>
              <w:bottom w:val="nil"/>
              <w:right w:val="nil"/>
            </w:tcBorders>
            <w:shd w:val="clear" w:color="auto" w:fill="auto"/>
          </w:tcPr>
          <w:p w14:paraId="435EAEF0" w14:textId="27FE2625" w:rsidR="00534098" w:rsidRDefault="00534098" w:rsidP="007A39EB">
            <w:pPr>
              <w:pStyle w:val="FigureTitle"/>
            </w:pPr>
            <w:r w:rsidRPr="00784A05">
              <w:rPr>
                <w:b w:val="0"/>
              </w:rPr>
              <w:t xml:space="preserve">Figure </w:t>
            </w:r>
            <w:r>
              <w:rPr>
                <w:b w:val="0"/>
              </w:rPr>
              <w:t>13</w:t>
            </w:r>
            <w:r>
              <w:tab/>
              <w:t>Annual rates of business entry and exit barely changed in response to COVID</w:t>
            </w:r>
            <w:r>
              <w:noBreakHyphen/>
              <w:t>19 …</w:t>
            </w:r>
          </w:p>
          <w:p w14:paraId="226A1856" w14:textId="77777777" w:rsidR="00534098" w:rsidRPr="00176D3F" w:rsidRDefault="00534098" w:rsidP="007A39EB">
            <w:pPr>
              <w:pStyle w:val="Subtitle"/>
            </w:pPr>
            <w:r>
              <w:t>Counts of business entry and exit from 2007</w:t>
            </w:r>
            <w:r>
              <w:noBreakHyphen/>
              <w:t>08 to 2019</w:t>
            </w:r>
            <w:r>
              <w:noBreakHyphen/>
              <w:t>20</w:t>
            </w:r>
          </w:p>
        </w:tc>
      </w:tr>
      <w:tr w:rsidR="00534098" w14:paraId="78B5FA05"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705E3593" w14:textId="77777777" w:rsidTr="007A39EB">
              <w:trPr>
                <w:tblHeader/>
                <w:jc w:val="center"/>
              </w:trPr>
              <w:tc>
                <w:tcPr>
                  <w:tcW w:w="8504" w:type="dxa"/>
                  <w:tcBorders>
                    <w:top w:val="nil"/>
                    <w:bottom w:val="nil"/>
                  </w:tcBorders>
                </w:tcPr>
                <w:p w14:paraId="0506C91E" w14:textId="5C848697" w:rsidR="00534098" w:rsidRPr="00B1465D" w:rsidRDefault="00DE1B34" w:rsidP="007A39EB">
                  <w:pPr>
                    <w:pStyle w:val="Figure"/>
                    <w:spacing w:before="60" w:after="60"/>
                    <w:rPr>
                      <w:rFonts w:ascii="Arial" w:hAnsi="Arial" w:cs="Arial"/>
                      <w:sz w:val="18"/>
                      <w:szCs w:val="18"/>
                    </w:rPr>
                  </w:pPr>
                  <w:r w:rsidRPr="00DE1B34">
                    <w:rPr>
                      <w:rFonts w:ascii="Arial" w:hAnsi="Arial" w:cs="Arial"/>
                      <w:noProof/>
                      <w:sz w:val="18"/>
                      <w:szCs w:val="18"/>
                    </w:rPr>
                    <w:drawing>
                      <wp:inline distT="0" distB="0" distL="0" distR="0" wp14:anchorId="2E38BCAE" wp14:editId="5E4747D6">
                        <wp:extent cx="5410448" cy="3343275"/>
                        <wp:effectExtent l="0" t="0" r="0" b="0"/>
                        <wp:docPr id="28" name="Picture 28" descr="This figure plots the number of business entries and exits as well as net entry (entries minus exits) between 2007-08 and 2019-20. It can be seen that unlike during the GFC or after the end of the mining investment boom (around 2012), business entries and exits barely budge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plots the number of business entries and exits as well as net entry (entries minus exits) between 2007-08 and 2019-20. It can be seen that unlike during the GFC or after the end of the mining investment boom (around 2012), business entries and exits barely budged .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26"/>
                                <a:stretch/>
                              </pic:blipFill>
                              <pic:spPr bwMode="auto">
                                <a:xfrm>
                                  <a:off x="0" y="0"/>
                                  <a:ext cx="5410448" cy="3343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3A32A6" w14:textId="77777777" w:rsidR="00534098" w:rsidRDefault="00534098" w:rsidP="007A39EB">
            <w:pPr>
              <w:pStyle w:val="Figure"/>
            </w:pPr>
          </w:p>
        </w:tc>
      </w:tr>
      <w:tr w:rsidR="00534098" w:rsidRPr="00176D3F" w14:paraId="1EFFC727" w14:textId="77777777" w:rsidTr="007A39EB">
        <w:tc>
          <w:tcPr>
            <w:tcW w:w="5000" w:type="pct"/>
            <w:tcBorders>
              <w:top w:val="nil"/>
              <w:left w:val="nil"/>
              <w:bottom w:val="nil"/>
              <w:right w:val="nil"/>
            </w:tcBorders>
            <w:shd w:val="clear" w:color="auto" w:fill="auto"/>
          </w:tcPr>
          <w:p w14:paraId="78458B59" w14:textId="434A3385" w:rsidR="00534098" w:rsidRPr="00176D3F" w:rsidRDefault="00534098" w:rsidP="007A39EB">
            <w:pPr>
              <w:pStyle w:val="Source"/>
            </w:pPr>
            <w:r>
              <w:rPr>
                <w:i/>
              </w:rPr>
              <w:t>Source</w:t>
            </w:r>
            <w:r w:rsidRPr="00176D3F">
              <w:t xml:space="preserve">: </w:t>
            </w:r>
            <w:r>
              <w:t>ABS (</w:t>
            </w:r>
            <w:r>
              <w:rPr>
                <w:i/>
                <w:iCs/>
              </w:rPr>
              <w:t>Counts of Australian Businesses including Entries and Exits</w:t>
            </w:r>
            <w:r w:rsidRPr="008E06DC">
              <w:rPr>
                <w:i/>
                <w:iCs/>
              </w:rPr>
              <w:t>,</w:t>
            </w:r>
            <w:r>
              <w:rPr>
                <w:i/>
                <w:iCs/>
              </w:rPr>
              <w:t xml:space="preserve"> </w:t>
            </w:r>
            <w:r>
              <w:t>Cat. no. 8165.0</w:t>
            </w:r>
            <w:r w:rsidRPr="00260C3D">
              <w:t>.</w:t>
            </w:r>
            <w:r>
              <w:t>, table </w:t>
            </w:r>
            <w:r w:rsidR="0066476E">
              <w:t>1</w:t>
            </w:r>
            <w:r>
              <w:t>).</w:t>
            </w:r>
          </w:p>
        </w:tc>
      </w:tr>
      <w:tr w:rsidR="00534098" w14:paraId="56C3CF4D" w14:textId="77777777" w:rsidTr="007A39EB">
        <w:tc>
          <w:tcPr>
            <w:tcW w:w="5000" w:type="pct"/>
            <w:tcBorders>
              <w:top w:val="nil"/>
              <w:left w:val="nil"/>
              <w:bottom w:val="single" w:sz="6" w:space="0" w:color="78A22F"/>
              <w:right w:val="nil"/>
            </w:tcBorders>
            <w:shd w:val="clear" w:color="auto" w:fill="auto"/>
          </w:tcPr>
          <w:p w14:paraId="5587D359" w14:textId="77777777" w:rsidR="00534098" w:rsidRDefault="00534098" w:rsidP="007A39EB">
            <w:pPr>
              <w:pStyle w:val="Figurespace"/>
            </w:pPr>
          </w:p>
        </w:tc>
      </w:tr>
      <w:tr w:rsidR="00534098" w:rsidRPr="000863A5" w14:paraId="36668BE7" w14:textId="77777777" w:rsidTr="007A39EB">
        <w:tc>
          <w:tcPr>
            <w:tcW w:w="5000" w:type="pct"/>
            <w:tcBorders>
              <w:top w:val="single" w:sz="6" w:space="0" w:color="78A22F"/>
              <w:left w:val="nil"/>
              <w:bottom w:val="nil"/>
              <w:right w:val="nil"/>
            </w:tcBorders>
          </w:tcPr>
          <w:p w14:paraId="30F4B23D" w14:textId="19D6ECAE" w:rsidR="00534098" w:rsidRPr="00626D32" w:rsidRDefault="00534098" w:rsidP="007A39EB">
            <w:pPr>
              <w:pStyle w:val="BoxSpaceBelow"/>
            </w:pPr>
          </w:p>
        </w:tc>
      </w:tr>
    </w:tbl>
    <w:p w14:paraId="1711EA2C" w14:textId="367B01BB" w:rsidR="00534098" w:rsidRDefault="00534098" w:rsidP="00534098">
      <w:pPr>
        <w:pStyle w:val="BodyText"/>
      </w:pPr>
      <w:r>
        <w:t>Figure 14 suggests that government policy had a more significant effect on insolvencies than on overall business exits, as insolvencies in 2019</w:t>
      </w:r>
      <w:r>
        <w:noBreakHyphen/>
        <w:t>20 were 44 per cent lower than the 15</w:t>
      </w:r>
      <w:r>
        <w:noBreakHyphen/>
        <w:t>year average. The effect of delaying insolvency on exits, independent of other policies, is difficult to determine. Not all insolvent businesses will exit the market and not all businesses that exit the market do so because they are insolvent. Many businesses that are unable to meet their debt obligations re</w:t>
      </w:r>
      <w:r>
        <w:noBreakHyphen/>
        <w:t xml:space="preserve">negotiate existing payments and agreements with employees, landlords, banks and other creditors to continue trading while they find avenues to boost cashflows. This was the case in 2012 when Nine Entertainment (Channel 9 — unable to meet their debt obligations — sold the firm to creditors Oaktree Capital, Apollo Global Management and Goldman Sachs in an equity for debt swap </w:t>
      </w:r>
      <w:r w:rsidRPr="00046272">
        <w:rPr>
          <w:szCs w:val="24"/>
        </w:rPr>
        <w:t>(Bowden, Poole and James 2012)</w:t>
      </w:r>
      <w:r>
        <w:t>. Additionally, most firms leave the market for reasons other than insolvency</w:t>
      </w:r>
      <w:r>
        <w:rPr>
          <w:rStyle w:val="FootnoteReference"/>
        </w:rPr>
        <w:footnoteReference w:id="6"/>
      </w:r>
      <w:r>
        <w:t>, for example a family business closing as the founder retires or private companies (without debt obligations) becoming unprofitable. These caveats aside, insolvency is a cause of business exit and the significant relaxation of insolvency laws likely resulted in numerous firms remaining in the market that would have otherwise ceased operations.</w:t>
      </w:r>
    </w:p>
    <w:p w14:paraId="255157E1" w14:textId="45D59201"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3FF97B17" w14:textId="77777777" w:rsidTr="007A39EB">
        <w:trPr>
          <w:tblHeader/>
        </w:trPr>
        <w:tc>
          <w:tcPr>
            <w:tcW w:w="5000" w:type="pct"/>
            <w:tcBorders>
              <w:top w:val="single" w:sz="6" w:space="0" w:color="78A22F"/>
              <w:left w:val="nil"/>
              <w:bottom w:val="nil"/>
              <w:right w:val="nil"/>
            </w:tcBorders>
            <w:shd w:val="clear" w:color="auto" w:fill="auto"/>
          </w:tcPr>
          <w:p w14:paraId="3CA50790" w14:textId="3C7AE49E" w:rsidR="00534098" w:rsidRDefault="00534098" w:rsidP="007A39EB">
            <w:pPr>
              <w:pStyle w:val="TableTitle"/>
            </w:pPr>
            <w:r>
              <w:rPr>
                <w:b w:val="0"/>
              </w:rPr>
              <w:t>Table 3</w:t>
            </w:r>
            <w:r>
              <w:tab/>
              <w:t>… and most industries experienced an increase in net entrants during 2019</w:t>
            </w:r>
            <w:r>
              <w:noBreakHyphen/>
              <w:t>20</w:t>
            </w:r>
          </w:p>
          <w:p w14:paraId="221FFB54" w14:textId="77777777" w:rsidR="00534098" w:rsidRPr="00784A05" w:rsidRDefault="00534098" w:rsidP="007A39EB">
            <w:pPr>
              <w:pStyle w:val="Subtitle"/>
            </w:pPr>
            <w:r>
              <w:t>Per cent of firms exiting and entering in 2019</w:t>
            </w:r>
            <w:r>
              <w:noBreakHyphen/>
              <w:t xml:space="preserve">20 </w:t>
            </w:r>
          </w:p>
        </w:tc>
      </w:tr>
      <w:tr w:rsidR="00534098" w14:paraId="61F58954" w14:textId="77777777" w:rsidTr="002A6B4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4"/>
            </w:tblGrid>
            <w:tr w:rsidR="00534098" w14:paraId="71FED19B" w14:textId="77777777" w:rsidTr="002A6B42">
              <w:trPr>
                <w:tblHeader/>
              </w:trPr>
              <w:tc>
                <w:tcPr>
                  <w:tcW w:w="1251" w:type="pct"/>
                  <w:tcBorders>
                    <w:top w:val="single" w:sz="6" w:space="0" w:color="BFBFBF"/>
                    <w:bottom w:val="single" w:sz="6" w:space="0" w:color="BFBFBF"/>
                  </w:tcBorders>
                  <w:shd w:val="clear" w:color="auto" w:fill="auto"/>
                  <w:tcMar>
                    <w:top w:w="28" w:type="dxa"/>
                  </w:tcMar>
                </w:tcPr>
                <w:p w14:paraId="60F3F653" w14:textId="77777777" w:rsidR="00534098" w:rsidRDefault="00534098" w:rsidP="002A6B42">
                  <w:pPr>
                    <w:pStyle w:val="TableColumnHeading"/>
                    <w:jc w:val="left"/>
                  </w:pPr>
                  <w:r>
                    <w:t>Industry</w:t>
                  </w:r>
                </w:p>
              </w:tc>
              <w:tc>
                <w:tcPr>
                  <w:tcW w:w="1250" w:type="pct"/>
                  <w:tcBorders>
                    <w:top w:val="single" w:sz="6" w:space="0" w:color="BFBFBF"/>
                    <w:bottom w:val="single" w:sz="6" w:space="0" w:color="BFBFBF"/>
                  </w:tcBorders>
                </w:tcPr>
                <w:p w14:paraId="0A3DA73F" w14:textId="77777777" w:rsidR="00534098" w:rsidRDefault="00534098" w:rsidP="002A6B42">
                  <w:pPr>
                    <w:pStyle w:val="TableColumnHeading"/>
                  </w:pPr>
                  <w:r>
                    <w:t>Entry rate (per cent)</w:t>
                  </w:r>
                </w:p>
              </w:tc>
              <w:tc>
                <w:tcPr>
                  <w:tcW w:w="1250" w:type="pct"/>
                  <w:tcBorders>
                    <w:top w:val="single" w:sz="6" w:space="0" w:color="BFBFBF"/>
                    <w:bottom w:val="single" w:sz="6" w:space="0" w:color="BFBFBF"/>
                  </w:tcBorders>
                  <w:shd w:val="clear" w:color="auto" w:fill="auto"/>
                  <w:tcMar>
                    <w:top w:w="28" w:type="dxa"/>
                  </w:tcMar>
                </w:tcPr>
                <w:p w14:paraId="7A45CE3C" w14:textId="77777777" w:rsidR="00534098" w:rsidRDefault="00534098" w:rsidP="002A6B42">
                  <w:pPr>
                    <w:pStyle w:val="TableColumnHeading"/>
                  </w:pPr>
                  <w:r>
                    <w:t>Exit rate (per cent)</w:t>
                  </w:r>
                </w:p>
              </w:tc>
              <w:tc>
                <w:tcPr>
                  <w:tcW w:w="1249" w:type="pct"/>
                  <w:tcBorders>
                    <w:top w:val="single" w:sz="6" w:space="0" w:color="BFBFBF"/>
                    <w:bottom w:val="single" w:sz="6" w:space="0" w:color="BFBFBF"/>
                  </w:tcBorders>
                  <w:shd w:val="clear" w:color="auto" w:fill="auto"/>
                  <w:tcMar>
                    <w:top w:w="28" w:type="dxa"/>
                  </w:tcMar>
                </w:tcPr>
                <w:p w14:paraId="6305D665" w14:textId="77777777" w:rsidR="00534098" w:rsidRDefault="00534098" w:rsidP="002A6B42">
                  <w:pPr>
                    <w:pStyle w:val="TableColumnHeading"/>
                    <w:ind w:right="28"/>
                  </w:pPr>
                  <w:r>
                    <w:t>Net entrants (per cent)</w:t>
                  </w:r>
                </w:p>
              </w:tc>
            </w:tr>
            <w:tr w:rsidR="00534098" w14:paraId="693BA47F" w14:textId="77777777" w:rsidTr="002A6B42">
              <w:tc>
                <w:tcPr>
                  <w:tcW w:w="1251" w:type="pct"/>
                  <w:tcBorders>
                    <w:top w:val="single" w:sz="6" w:space="0" w:color="BFBFBF"/>
                  </w:tcBorders>
                  <w:shd w:val="clear" w:color="auto" w:fill="F2F2F2" w:themeFill="background1" w:themeFillShade="F2"/>
                </w:tcPr>
                <w:p w14:paraId="57BC1D3F" w14:textId="77777777" w:rsidR="00534098" w:rsidRPr="006C7CA3" w:rsidRDefault="00534098" w:rsidP="002E3B2E">
                  <w:pPr>
                    <w:spacing w:before="80" w:after="40"/>
                    <w:rPr>
                      <w:rFonts w:cs="Arial"/>
                      <w:color w:val="000000"/>
                      <w:szCs w:val="18"/>
                    </w:rPr>
                  </w:pPr>
                  <w:r w:rsidRPr="006C7CA3">
                    <w:rPr>
                      <w:rFonts w:ascii="Arial" w:hAnsi="Arial" w:cs="Arial"/>
                      <w:color w:val="000000"/>
                      <w:sz w:val="18"/>
                      <w:szCs w:val="18"/>
                    </w:rPr>
                    <w:t>Agriculture, Forestry and Fishing</w:t>
                  </w:r>
                </w:p>
              </w:tc>
              <w:tc>
                <w:tcPr>
                  <w:tcW w:w="1250" w:type="pct"/>
                  <w:tcBorders>
                    <w:top w:val="nil"/>
                    <w:left w:val="nil"/>
                    <w:bottom w:val="nil"/>
                    <w:right w:val="nil"/>
                  </w:tcBorders>
                  <w:shd w:val="clear" w:color="auto" w:fill="F2F2F2" w:themeFill="background1" w:themeFillShade="F2"/>
                </w:tcPr>
                <w:p w14:paraId="66BAD021" w14:textId="77777777" w:rsidR="00534098" w:rsidRDefault="00534098" w:rsidP="002E3B2E">
                  <w:pPr>
                    <w:pStyle w:val="TableBodyText"/>
                    <w:spacing w:before="80"/>
                  </w:pPr>
                  <w:r w:rsidRPr="006C7CA3">
                    <w:t>6.7</w:t>
                  </w:r>
                </w:p>
              </w:tc>
              <w:tc>
                <w:tcPr>
                  <w:tcW w:w="1250" w:type="pct"/>
                  <w:tcBorders>
                    <w:top w:val="nil"/>
                    <w:left w:val="nil"/>
                    <w:bottom w:val="nil"/>
                    <w:right w:val="nil"/>
                  </w:tcBorders>
                  <w:shd w:val="clear" w:color="auto" w:fill="F2F2F2" w:themeFill="background1" w:themeFillShade="F2"/>
                </w:tcPr>
                <w:p w14:paraId="27CF5E74" w14:textId="77777777" w:rsidR="00534098" w:rsidRDefault="00534098" w:rsidP="002E3B2E">
                  <w:pPr>
                    <w:pStyle w:val="TableBodyText"/>
                    <w:spacing w:before="80"/>
                  </w:pPr>
                  <w:r w:rsidRPr="006C7CA3">
                    <w:t>7.7</w:t>
                  </w:r>
                </w:p>
              </w:tc>
              <w:tc>
                <w:tcPr>
                  <w:tcW w:w="1249" w:type="pct"/>
                  <w:tcBorders>
                    <w:top w:val="nil"/>
                    <w:left w:val="nil"/>
                    <w:bottom w:val="nil"/>
                    <w:right w:val="nil"/>
                  </w:tcBorders>
                  <w:shd w:val="clear" w:color="auto" w:fill="F2F2F2" w:themeFill="background1" w:themeFillShade="F2"/>
                </w:tcPr>
                <w:p w14:paraId="59674129" w14:textId="77777777" w:rsidR="00534098" w:rsidRDefault="00534098" w:rsidP="002E3B2E">
                  <w:pPr>
                    <w:pStyle w:val="TableBodyText"/>
                    <w:spacing w:before="80"/>
                  </w:pPr>
                  <w:r>
                    <w:noBreakHyphen/>
                  </w:r>
                  <w:r w:rsidRPr="006C7CA3">
                    <w:t>1.0</w:t>
                  </w:r>
                </w:p>
              </w:tc>
            </w:tr>
            <w:tr w:rsidR="00534098" w14:paraId="3C6DC61B" w14:textId="77777777" w:rsidTr="002A6B42">
              <w:tc>
                <w:tcPr>
                  <w:tcW w:w="1251" w:type="pct"/>
                </w:tcPr>
                <w:p w14:paraId="30229DD7"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Mining</w:t>
                  </w:r>
                </w:p>
              </w:tc>
              <w:tc>
                <w:tcPr>
                  <w:tcW w:w="1250" w:type="pct"/>
                  <w:tcBorders>
                    <w:top w:val="nil"/>
                    <w:left w:val="nil"/>
                    <w:bottom w:val="nil"/>
                    <w:right w:val="nil"/>
                  </w:tcBorders>
                  <w:shd w:val="clear" w:color="auto" w:fill="auto"/>
                </w:tcPr>
                <w:p w14:paraId="3B0E04B1" w14:textId="77777777" w:rsidR="00534098" w:rsidRDefault="00534098" w:rsidP="00E16E5A">
                  <w:pPr>
                    <w:pStyle w:val="TableBodyText"/>
                  </w:pPr>
                  <w:r w:rsidRPr="006C7CA3">
                    <w:t>10.4</w:t>
                  </w:r>
                </w:p>
              </w:tc>
              <w:tc>
                <w:tcPr>
                  <w:tcW w:w="1250" w:type="pct"/>
                  <w:tcBorders>
                    <w:top w:val="nil"/>
                    <w:left w:val="nil"/>
                    <w:bottom w:val="nil"/>
                    <w:right w:val="nil"/>
                  </w:tcBorders>
                  <w:shd w:val="clear" w:color="auto" w:fill="auto"/>
                </w:tcPr>
                <w:p w14:paraId="23D6CDFF" w14:textId="77777777" w:rsidR="00534098" w:rsidRDefault="00534098" w:rsidP="00E16E5A">
                  <w:pPr>
                    <w:pStyle w:val="TableBodyText"/>
                  </w:pPr>
                  <w:r w:rsidRPr="006C7CA3">
                    <w:t>11.3</w:t>
                  </w:r>
                </w:p>
              </w:tc>
              <w:tc>
                <w:tcPr>
                  <w:tcW w:w="1249" w:type="pct"/>
                  <w:tcBorders>
                    <w:top w:val="nil"/>
                    <w:left w:val="nil"/>
                    <w:bottom w:val="nil"/>
                    <w:right w:val="nil"/>
                  </w:tcBorders>
                  <w:shd w:val="clear" w:color="auto" w:fill="auto"/>
                </w:tcPr>
                <w:p w14:paraId="02A9855C" w14:textId="77777777" w:rsidR="00534098" w:rsidRDefault="00534098" w:rsidP="00E16E5A">
                  <w:pPr>
                    <w:pStyle w:val="TableBodyText"/>
                  </w:pPr>
                  <w:r>
                    <w:noBreakHyphen/>
                  </w:r>
                  <w:r w:rsidRPr="006C7CA3">
                    <w:t>0.9</w:t>
                  </w:r>
                </w:p>
              </w:tc>
            </w:tr>
            <w:tr w:rsidR="00534098" w14:paraId="55857B10" w14:textId="77777777" w:rsidTr="00A91AF9">
              <w:tc>
                <w:tcPr>
                  <w:tcW w:w="1251" w:type="pct"/>
                  <w:shd w:val="clear" w:color="auto" w:fill="F2F2F2" w:themeFill="background1" w:themeFillShade="F2"/>
                </w:tcPr>
                <w:p w14:paraId="5A55CFAD"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Manufacturing</w:t>
                  </w:r>
                </w:p>
              </w:tc>
              <w:tc>
                <w:tcPr>
                  <w:tcW w:w="1250" w:type="pct"/>
                  <w:tcBorders>
                    <w:top w:val="nil"/>
                    <w:left w:val="nil"/>
                    <w:bottom w:val="nil"/>
                    <w:right w:val="nil"/>
                  </w:tcBorders>
                  <w:shd w:val="clear" w:color="auto" w:fill="F2F2F2" w:themeFill="background1" w:themeFillShade="F2"/>
                </w:tcPr>
                <w:p w14:paraId="290D16D6" w14:textId="77777777" w:rsidR="00534098" w:rsidRDefault="00534098" w:rsidP="00E16E5A">
                  <w:pPr>
                    <w:pStyle w:val="TableBodyText"/>
                  </w:pPr>
                  <w:r w:rsidRPr="006C7CA3">
                    <w:t>10.9</w:t>
                  </w:r>
                </w:p>
              </w:tc>
              <w:tc>
                <w:tcPr>
                  <w:tcW w:w="1250" w:type="pct"/>
                  <w:tcBorders>
                    <w:top w:val="nil"/>
                    <w:left w:val="nil"/>
                    <w:bottom w:val="nil"/>
                    <w:right w:val="nil"/>
                  </w:tcBorders>
                  <w:shd w:val="clear" w:color="auto" w:fill="F2F2F2" w:themeFill="background1" w:themeFillShade="F2"/>
                </w:tcPr>
                <w:p w14:paraId="7631D44C" w14:textId="77777777" w:rsidR="00534098" w:rsidRDefault="00534098" w:rsidP="00E16E5A">
                  <w:pPr>
                    <w:pStyle w:val="TableBodyText"/>
                  </w:pPr>
                  <w:r w:rsidRPr="006C7CA3">
                    <w:t>11.0</w:t>
                  </w:r>
                </w:p>
              </w:tc>
              <w:tc>
                <w:tcPr>
                  <w:tcW w:w="1249" w:type="pct"/>
                  <w:tcBorders>
                    <w:top w:val="nil"/>
                    <w:left w:val="nil"/>
                    <w:bottom w:val="nil"/>
                    <w:right w:val="nil"/>
                  </w:tcBorders>
                  <w:shd w:val="clear" w:color="auto" w:fill="F2F2F2" w:themeFill="background1" w:themeFillShade="F2"/>
                </w:tcPr>
                <w:p w14:paraId="70AA6F87" w14:textId="77777777" w:rsidR="00534098" w:rsidRDefault="00534098" w:rsidP="00E16E5A">
                  <w:pPr>
                    <w:pStyle w:val="TableBodyText"/>
                  </w:pPr>
                  <w:r>
                    <w:noBreakHyphen/>
                  </w:r>
                  <w:r w:rsidRPr="006C7CA3">
                    <w:t>0.1</w:t>
                  </w:r>
                </w:p>
              </w:tc>
            </w:tr>
            <w:tr w:rsidR="00534098" w14:paraId="4933AC6E" w14:textId="77777777" w:rsidTr="002A6B42">
              <w:tc>
                <w:tcPr>
                  <w:tcW w:w="1251" w:type="pct"/>
                  <w:shd w:val="clear" w:color="auto" w:fill="auto"/>
                </w:tcPr>
                <w:p w14:paraId="7CCEF9BD"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Electricity, Gas, Water and Waste Services</w:t>
                  </w:r>
                </w:p>
              </w:tc>
              <w:tc>
                <w:tcPr>
                  <w:tcW w:w="1250" w:type="pct"/>
                  <w:tcBorders>
                    <w:top w:val="nil"/>
                    <w:left w:val="nil"/>
                    <w:bottom w:val="nil"/>
                    <w:right w:val="nil"/>
                  </w:tcBorders>
                  <w:shd w:val="clear" w:color="auto" w:fill="auto"/>
                </w:tcPr>
                <w:p w14:paraId="2B4FBB34" w14:textId="77777777" w:rsidR="00534098" w:rsidRDefault="00534098" w:rsidP="00E16E5A">
                  <w:pPr>
                    <w:pStyle w:val="TableBodyText"/>
                  </w:pPr>
                  <w:r w:rsidRPr="006C7CA3">
                    <w:t>15.1</w:t>
                  </w:r>
                </w:p>
              </w:tc>
              <w:tc>
                <w:tcPr>
                  <w:tcW w:w="1250" w:type="pct"/>
                  <w:tcBorders>
                    <w:top w:val="nil"/>
                    <w:left w:val="nil"/>
                    <w:bottom w:val="nil"/>
                    <w:right w:val="nil"/>
                  </w:tcBorders>
                  <w:shd w:val="clear" w:color="auto" w:fill="auto"/>
                </w:tcPr>
                <w:p w14:paraId="2CCD70F7" w14:textId="77777777" w:rsidR="00534098" w:rsidRDefault="00534098" w:rsidP="00E16E5A">
                  <w:pPr>
                    <w:pStyle w:val="TableBodyText"/>
                  </w:pPr>
                  <w:r w:rsidRPr="006C7CA3">
                    <w:t>12.6</w:t>
                  </w:r>
                </w:p>
              </w:tc>
              <w:tc>
                <w:tcPr>
                  <w:tcW w:w="1249" w:type="pct"/>
                  <w:tcBorders>
                    <w:top w:val="nil"/>
                    <w:left w:val="nil"/>
                    <w:bottom w:val="nil"/>
                    <w:right w:val="nil"/>
                  </w:tcBorders>
                  <w:shd w:val="clear" w:color="auto" w:fill="auto"/>
                </w:tcPr>
                <w:p w14:paraId="60737A9C" w14:textId="77777777" w:rsidR="00534098" w:rsidRDefault="00534098" w:rsidP="00E16E5A">
                  <w:pPr>
                    <w:pStyle w:val="TableBodyText"/>
                  </w:pPr>
                  <w:r w:rsidRPr="006C7CA3">
                    <w:t>2.5</w:t>
                  </w:r>
                </w:p>
              </w:tc>
            </w:tr>
            <w:tr w:rsidR="00534098" w14:paraId="3B7A9480" w14:textId="77777777" w:rsidTr="00A91AF9">
              <w:tc>
                <w:tcPr>
                  <w:tcW w:w="1251" w:type="pct"/>
                  <w:shd w:val="clear" w:color="auto" w:fill="F2F2F2" w:themeFill="background1" w:themeFillShade="F2"/>
                </w:tcPr>
                <w:p w14:paraId="5E6AD82B"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Construction</w:t>
                  </w:r>
                </w:p>
              </w:tc>
              <w:tc>
                <w:tcPr>
                  <w:tcW w:w="1250" w:type="pct"/>
                  <w:tcBorders>
                    <w:top w:val="nil"/>
                    <w:left w:val="nil"/>
                    <w:bottom w:val="nil"/>
                    <w:right w:val="nil"/>
                  </w:tcBorders>
                  <w:shd w:val="clear" w:color="auto" w:fill="F2F2F2" w:themeFill="background1" w:themeFillShade="F2"/>
                </w:tcPr>
                <w:p w14:paraId="43F3CC27" w14:textId="77777777" w:rsidR="00534098" w:rsidRDefault="00534098" w:rsidP="00E16E5A">
                  <w:pPr>
                    <w:pStyle w:val="TableBodyText"/>
                  </w:pPr>
                  <w:r w:rsidRPr="006C7CA3">
                    <w:t>14.9</w:t>
                  </w:r>
                </w:p>
              </w:tc>
              <w:tc>
                <w:tcPr>
                  <w:tcW w:w="1250" w:type="pct"/>
                  <w:tcBorders>
                    <w:top w:val="nil"/>
                    <w:left w:val="nil"/>
                    <w:bottom w:val="nil"/>
                    <w:right w:val="nil"/>
                  </w:tcBorders>
                  <w:shd w:val="clear" w:color="auto" w:fill="F2F2F2" w:themeFill="background1" w:themeFillShade="F2"/>
                </w:tcPr>
                <w:p w14:paraId="7AEBC889" w14:textId="77777777" w:rsidR="00534098" w:rsidRDefault="00534098" w:rsidP="00E16E5A">
                  <w:pPr>
                    <w:pStyle w:val="TableBodyText"/>
                  </w:pPr>
                  <w:r w:rsidRPr="006C7CA3">
                    <w:t>14.3</w:t>
                  </w:r>
                </w:p>
              </w:tc>
              <w:tc>
                <w:tcPr>
                  <w:tcW w:w="1249" w:type="pct"/>
                  <w:tcBorders>
                    <w:top w:val="nil"/>
                    <w:left w:val="nil"/>
                    <w:bottom w:val="nil"/>
                    <w:right w:val="nil"/>
                  </w:tcBorders>
                  <w:shd w:val="clear" w:color="auto" w:fill="F2F2F2" w:themeFill="background1" w:themeFillShade="F2"/>
                </w:tcPr>
                <w:p w14:paraId="42791DD7" w14:textId="77777777" w:rsidR="00534098" w:rsidRDefault="00534098" w:rsidP="00E16E5A">
                  <w:pPr>
                    <w:pStyle w:val="TableBodyText"/>
                  </w:pPr>
                  <w:r w:rsidRPr="006C7CA3">
                    <w:t>0.6</w:t>
                  </w:r>
                </w:p>
              </w:tc>
            </w:tr>
            <w:tr w:rsidR="00534098" w14:paraId="67C8A516" w14:textId="77777777" w:rsidTr="002A6B42">
              <w:tc>
                <w:tcPr>
                  <w:tcW w:w="1251" w:type="pct"/>
                  <w:shd w:val="clear" w:color="auto" w:fill="auto"/>
                </w:tcPr>
                <w:p w14:paraId="689FD2B5"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Wholesale Trade</w:t>
                  </w:r>
                </w:p>
              </w:tc>
              <w:tc>
                <w:tcPr>
                  <w:tcW w:w="1250" w:type="pct"/>
                  <w:tcBorders>
                    <w:top w:val="nil"/>
                    <w:left w:val="nil"/>
                    <w:bottom w:val="nil"/>
                    <w:right w:val="nil"/>
                  </w:tcBorders>
                  <w:shd w:val="clear" w:color="auto" w:fill="auto"/>
                </w:tcPr>
                <w:p w14:paraId="56634C49" w14:textId="77777777" w:rsidR="00534098" w:rsidRDefault="00534098" w:rsidP="00E16E5A">
                  <w:pPr>
                    <w:pStyle w:val="TableBodyText"/>
                  </w:pPr>
                  <w:r w:rsidRPr="006C7CA3">
                    <w:t>13.5</w:t>
                  </w:r>
                </w:p>
              </w:tc>
              <w:tc>
                <w:tcPr>
                  <w:tcW w:w="1250" w:type="pct"/>
                  <w:tcBorders>
                    <w:top w:val="nil"/>
                    <w:left w:val="nil"/>
                    <w:bottom w:val="nil"/>
                    <w:right w:val="nil"/>
                  </w:tcBorders>
                  <w:shd w:val="clear" w:color="auto" w:fill="auto"/>
                </w:tcPr>
                <w:p w14:paraId="3A7260E4" w14:textId="77777777" w:rsidR="00534098" w:rsidRDefault="00534098" w:rsidP="00E16E5A">
                  <w:pPr>
                    <w:pStyle w:val="TableBodyText"/>
                  </w:pPr>
                  <w:r w:rsidRPr="006C7CA3">
                    <w:t>12.8</w:t>
                  </w:r>
                </w:p>
              </w:tc>
              <w:tc>
                <w:tcPr>
                  <w:tcW w:w="1249" w:type="pct"/>
                  <w:tcBorders>
                    <w:top w:val="nil"/>
                    <w:left w:val="nil"/>
                    <w:bottom w:val="nil"/>
                    <w:right w:val="nil"/>
                  </w:tcBorders>
                  <w:shd w:val="clear" w:color="auto" w:fill="auto"/>
                </w:tcPr>
                <w:p w14:paraId="50FBD289" w14:textId="77777777" w:rsidR="00534098" w:rsidRDefault="00534098" w:rsidP="00E16E5A">
                  <w:pPr>
                    <w:pStyle w:val="TableBodyText"/>
                  </w:pPr>
                  <w:r w:rsidRPr="006C7CA3">
                    <w:t>0.7</w:t>
                  </w:r>
                </w:p>
              </w:tc>
            </w:tr>
            <w:tr w:rsidR="00534098" w14:paraId="7570A790" w14:textId="77777777" w:rsidTr="00A91AF9">
              <w:tc>
                <w:tcPr>
                  <w:tcW w:w="1251" w:type="pct"/>
                  <w:shd w:val="clear" w:color="auto" w:fill="F2F2F2" w:themeFill="background1" w:themeFillShade="F2"/>
                </w:tcPr>
                <w:p w14:paraId="17723C99"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Retail Trade</w:t>
                  </w:r>
                </w:p>
              </w:tc>
              <w:tc>
                <w:tcPr>
                  <w:tcW w:w="1250" w:type="pct"/>
                  <w:tcBorders>
                    <w:top w:val="nil"/>
                    <w:left w:val="nil"/>
                    <w:bottom w:val="nil"/>
                    <w:right w:val="nil"/>
                  </w:tcBorders>
                  <w:shd w:val="clear" w:color="auto" w:fill="F2F2F2" w:themeFill="background1" w:themeFillShade="F2"/>
                </w:tcPr>
                <w:p w14:paraId="148B79E0" w14:textId="77777777" w:rsidR="00534098" w:rsidRDefault="00534098" w:rsidP="00E16E5A">
                  <w:pPr>
                    <w:pStyle w:val="TableBodyText"/>
                  </w:pPr>
                  <w:r w:rsidRPr="006C7CA3">
                    <w:t>14.4</w:t>
                  </w:r>
                </w:p>
              </w:tc>
              <w:tc>
                <w:tcPr>
                  <w:tcW w:w="1250" w:type="pct"/>
                  <w:tcBorders>
                    <w:top w:val="nil"/>
                    <w:left w:val="nil"/>
                    <w:bottom w:val="nil"/>
                    <w:right w:val="nil"/>
                  </w:tcBorders>
                  <w:shd w:val="clear" w:color="auto" w:fill="F2F2F2" w:themeFill="background1" w:themeFillShade="F2"/>
                </w:tcPr>
                <w:p w14:paraId="45CF3402" w14:textId="77777777" w:rsidR="00534098" w:rsidRDefault="00534098" w:rsidP="00E16E5A">
                  <w:pPr>
                    <w:pStyle w:val="TableBodyText"/>
                  </w:pPr>
                  <w:r w:rsidRPr="006C7CA3">
                    <w:t>13.6</w:t>
                  </w:r>
                </w:p>
              </w:tc>
              <w:tc>
                <w:tcPr>
                  <w:tcW w:w="1249" w:type="pct"/>
                  <w:tcBorders>
                    <w:top w:val="nil"/>
                    <w:left w:val="nil"/>
                    <w:bottom w:val="nil"/>
                    <w:right w:val="nil"/>
                  </w:tcBorders>
                  <w:shd w:val="clear" w:color="auto" w:fill="F2F2F2" w:themeFill="background1" w:themeFillShade="F2"/>
                </w:tcPr>
                <w:p w14:paraId="390AFBF5" w14:textId="77777777" w:rsidR="00534098" w:rsidRDefault="00534098" w:rsidP="00E16E5A">
                  <w:pPr>
                    <w:pStyle w:val="TableBodyText"/>
                  </w:pPr>
                  <w:r w:rsidRPr="006C7CA3">
                    <w:t>0.8</w:t>
                  </w:r>
                </w:p>
              </w:tc>
            </w:tr>
            <w:tr w:rsidR="00534098" w14:paraId="73E28C94" w14:textId="77777777" w:rsidTr="002A6B42">
              <w:tc>
                <w:tcPr>
                  <w:tcW w:w="1251" w:type="pct"/>
                  <w:shd w:val="clear" w:color="auto" w:fill="auto"/>
                </w:tcPr>
                <w:p w14:paraId="7DD93D0A"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Accommodation and Food Services</w:t>
                  </w:r>
                </w:p>
              </w:tc>
              <w:tc>
                <w:tcPr>
                  <w:tcW w:w="1250" w:type="pct"/>
                  <w:tcBorders>
                    <w:top w:val="nil"/>
                    <w:left w:val="nil"/>
                    <w:bottom w:val="nil"/>
                    <w:right w:val="nil"/>
                  </w:tcBorders>
                  <w:shd w:val="clear" w:color="auto" w:fill="auto"/>
                </w:tcPr>
                <w:p w14:paraId="1207A10C" w14:textId="77777777" w:rsidR="00534098" w:rsidRDefault="00534098" w:rsidP="00E16E5A">
                  <w:pPr>
                    <w:pStyle w:val="TableBodyText"/>
                  </w:pPr>
                  <w:r w:rsidRPr="006C7CA3">
                    <w:t>16.7</w:t>
                  </w:r>
                </w:p>
              </w:tc>
              <w:tc>
                <w:tcPr>
                  <w:tcW w:w="1250" w:type="pct"/>
                  <w:tcBorders>
                    <w:top w:val="nil"/>
                    <w:left w:val="nil"/>
                    <w:bottom w:val="nil"/>
                    <w:right w:val="nil"/>
                  </w:tcBorders>
                  <w:shd w:val="clear" w:color="auto" w:fill="auto"/>
                </w:tcPr>
                <w:p w14:paraId="49B9F8F0" w14:textId="77777777" w:rsidR="00534098" w:rsidRDefault="00534098" w:rsidP="00E16E5A">
                  <w:pPr>
                    <w:pStyle w:val="TableBodyText"/>
                  </w:pPr>
                  <w:r w:rsidRPr="006C7CA3">
                    <w:t>16.0</w:t>
                  </w:r>
                </w:p>
              </w:tc>
              <w:tc>
                <w:tcPr>
                  <w:tcW w:w="1249" w:type="pct"/>
                  <w:tcBorders>
                    <w:top w:val="nil"/>
                    <w:left w:val="nil"/>
                    <w:bottom w:val="nil"/>
                    <w:right w:val="nil"/>
                  </w:tcBorders>
                  <w:shd w:val="clear" w:color="auto" w:fill="auto"/>
                </w:tcPr>
                <w:p w14:paraId="7E8FF623" w14:textId="77777777" w:rsidR="00534098" w:rsidRDefault="00534098" w:rsidP="00E16E5A">
                  <w:pPr>
                    <w:pStyle w:val="TableBodyText"/>
                  </w:pPr>
                  <w:r w:rsidRPr="006C7CA3">
                    <w:t>0.7</w:t>
                  </w:r>
                </w:p>
              </w:tc>
            </w:tr>
            <w:tr w:rsidR="00534098" w14:paraId="46F5FC88" w14:textId="77777777" w:rsidTr="00A91AF9">
              <w:tc>
                <w:tcPr>
                  <w:tcW w:w="1251" w:type="pct"/>
                  <w:shd w:val="clear" w:color="auto" w:fill="F2F2F2" w:themeFill="background1" w:themeFillShade="F2"/>
                </w:tcPr>
                <w:p w14:paraId="5538114F"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Transport, Postal and Warehousing</w:t>
                  </w:r>
                </w:p>
              </w:tc>
              <w:tc>
                <w:tcPr>
                  <w:tcW w:w="1250" w:type="pct"/>
                  <w:tcBorders>
                    <w:top w:val="nil"/>
                    <w:left w:val="nil"/>
                    <w:bottom w:val="nil"/>
                    <w:right w:val="nil"/>
                  </w:tcBorders>
                  <w:shd w:val="clear" w:color="auto" w:fill="F2F2F2" w:themeFill="background1" w:themeFillShade="F2"/>
                </w:tcPr>
                <w:p w14:paraId="62FCF42A" w14:textId="77777777" w:rsidR="00534098" w:rsidRDefault="00534098" w:rsidP="00E16E5A">
                  <w:pPr>
                    <w:pStyle w:val="TableBodyText"/>
                  </w:pPr>
                  <w:r w:rsidRPr="006C7CA3">
                    <w:t>24.6</w:t>
                  </w:r>
                </w:p>
              </w:tc>
              <w:tc>
                <w:tcPr>
                  <w:tcW w:w="1250" w:type="pct"/>
                  <w:tcBorders>
                    <w:top w:val="nil"/>
                    <w:left w:val="nil"/>
                    <w:bottom w:val="nil"/>
                    <w:right w:val="nil"/>
                  </w:tcBorders>
                  <w:shd w:val="clear" w:color="auto" w:fill="F2F2F2" w:themeFill="background1" w:themeFillShade="F2"/>
                </w:tcPr>
                <w:p w14:paraId="1D2FE1C0" w14:textId="77777777" w:rsidR="00534098" w:rsidRDefault="00534098" w:rsidP="00E16E5A">
                  <w:pPr>
                    <w:pStyle w:val="TableBodyText"/>
                  </w:pPr>
                  <w:r w:rsidRPr="006C7CA3">
                    <w:t>19.1</w:t>
                  </w:r>
                </w:p>
              </w:tc>
              <w:tc>
                <w:tcPr>
                  <w:tcW w:w="1249" w:type="pct"/>
                  <w:tcBorders>
                    <w:top w:val="nil"/>
                    <w:left w:val="nil"/>
                    <w:bottom w:val="nil"/>
                    <w:right w:val="nil"/>
                  </w:tcBorders>
                  <w:shd w:val="clear" w:color="auto" w:fill="F2F2F2" w:themeFill="background1" w:themeFillShade="F2"/>
                </w:tcPr>
                <w:p w14:paraId="50F44B34" w14:textId="77777777" w:rsidR="00534098" w:rsidRDefault="00534098" w:rsidP="00E16E5A">
                  <w:pPr>
                    <w:pStyle w:val="TableBodyText"/>
                  </w:pPr>
                  <w:r w:rsidRPr="006C7CA3">
                    <w:t>5.5</w:t>
                  </w:r>
                </w:p>
              </w:tc>
            </w:tr>
            <w:tr w:rsidR="00534098" w14:paraId="028F9F29" w14:textId="77777777" w:rsidTr="002A6B42">
              <w:tc>
                <w:tcPr>
                  <w:tcW w:w="1251" w:type="pct"/>
                  <w:shd w:val="clear" w:color="auto" w:fill="auto"/>
                </w:tcPr>
                <w:p w14:paraId="65E5C3CC"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Information Media and Telecommunications</w:t>
                  </w:r>
                </w:p>
              </w:tc>
              <w:tc>
                <w:tcPr>
                  <w:tcW w:w="1250" w:type="pct"/>
                  <w:tcBorders>
                    <w:top w:val="nil"/>
                    <w:left w:val="nil"/>
                    <w:bottom w:val="nil"/>
                    <w:right w:val="nil"/>
                  </w:tcBorders>
                  <w:shd w:val="clear" w:color="auto" w:fill="auto"/>
                </w:tcPr>
                <w:p w14:paraId="3A955382" w14:textId="77777777" w:rsidR="00534098" w:rsidRDefault="00534098" w:rsidP="00E16E5A">
                  <w:pPr>
                    <w:pStyle w:val="TableBodyText"/>
                  </w:pPr>
                  <w:r w:rsidRPr="006C7CA3">
                    <w:t>15.3</w:t>
                  </w:r>
                </w:p>
              </w:tc>
              <w:tc>
                <w:tcPr>
                  <w:tcW w:w="1250" w:type="pct"/>
                  <w:tcBorders>
                    <w:top w:val="nil"/>
                    <w:left w:val="nil"/>
                    <w:bottom w:val="nil"/>
                    <w:right w:val="nil"/>
                  </w:tcBorders>
                  <w:shd w:val="clear" w:color="auto" w:fill="auto"/>
                </w:tcPr>
                <w:p w14:paraId="0DB1795F" w14:textId="77777777" w:rsidR="00534098" w:rsidRDefault="00534098" w:rsidP="00E16E5A">
                  <w:pPr>
                    <w:pStyle w:val="TableBodyText"/>
                  </w:pPr>
                  <w:r w:rsidRPr="006C7CA3">
                    <w:t>15.7</w:t>
                  </w:r>
                </w:p>
              </w:tc>
              <w:tc>
                <w:tcPr>
                  <w:tcW w:w="1249" w:type="pct"/>
                  <w:tcBorders>
                    <w:top w:val="nil"/>
                    <w:left w:val="nil"/>
                    <w:bottom w:val="nil"/>
                    <w:right w:val="nil"/>
                  </w:tcBorders>
                  <w:shd w:val="clear" w:color="auto" w:fill="auto"/>
                </w:tcPr>
                <w:p w14:paraId="6C89EE80" w14:textId="77777777" w:rsidR="00534098" w:rsidRDefault="00534098" w:rsidP="00E16E5A">
                  <w:pPr>
                    <w:pStyle w:val="TableBodyText"/>
                  </w:pPr>
                  <w:r>
                    <w:noBreakHyphen/>
                  </w:r>
                  <w:r w:rsidRPr="006C7CA3">
                    <w:t>0.5</w:t>
                  </w:r>
                </w:p>
              </w:tc>
            </w:tr>
            <w:tr w:rsidR="00534098" w14:paraId="372BDC1D" w14:textId="77777777" w:rsidTr="00A91AF9">
              <w:tc>
                <w:tcPr>
                  <w:tcW w:w="1251" w:type="pct"/>
                  <w:shd w:val="clear" w:color="auto" w:fill="F2F2F2" w:themeFill="background1" w:themeFillShade="F2"/>
                </w:tcPr>
                <w:p w14:paraId="5AD9A8B5"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Financial and Insurance Services</w:t>
                  </w:r>
                </w:p>
              </w:tc>
              <w:tc>
                <w:tcPr>
                  <w:tcW w:w="1250" w:type="pct"/>
                  <w:tcBorders>
                    <w:top w:val="nil"/>
                    <w:left w:val="nil"/>
                    <w:bottom w:val="nil"/>
                    <w:right w:val="nil"/>
                  </w:tcBorders>
                  <w:shd w:val="clear" w:color="auto" w:fill="F2F2F2" w:themeFill="background1" w:themeFillShade="F2"/>
                </w:tcPr>
                <w:p w14:paraId="6B2A062A" w14:textId="77777777" w:rsidR="00534098" w:rsidRDefault="00534098" w:rsidP="00E16E5A">
                  <w:pPr>
                    <w:pStyle w:val="TableBodyText"/>
                  </w:pPr>
                  <w:r w:rsidRPr="006C7CA3">
                    <w:t>11.4</w:t>
                  </w:r>
                </w:p>
              </w:tc>
              <w:tc>
                <w:tcPr>
                  <w:tcW w:w="1250" w:type="pct"/>
                  <w:tcBorders>
                    <w:top w:val="nil"/>
                    <w:left w:val="nil"/>
                    <w:bottom w:val="nil"/>
                    <w:right w:val="nil"/>
                  </w:tcBorders>
                  <w:shd w:val="clear" w:color="auto" w:fill="F2F2F2" w:themeFill="background1" w:themeFillShade="F2"/>
                </w:tcPr>
                <w:p w14:paraId="463B6501" w14:textId="77777777" w:rsidR="00534098" w:rsidRDefault="00534098" w:rsidP="00E16E5A">
                  <w:pPr>
                    <w:pStyle w:val="TableBodyText"/>
                  </w:pPr>
                  <w:r w:rsidRPr="006C7CA3">
                    <w:t>9.1</w:t>
                  </w:r>
                </w:p>
              </w:tc>
              <w:tc>
                <w:tcPr>
                  <w:tcW w:w="1249" w:type="pct"/>
                  <w:tcBorders>
                    <w:top w:val="nil"/>
                    <w:left w:val="nil"/>
                    <w:bottom w:val="nil"/>
                    <w:right w:val="nil"/>
                  </w:tcBorders>
                  <w:shd w:val="clear" w:color="auto" w:fill="F2F2F2" w:themeFill="background1" w:themeFillShade="F2"/>
                </w:tcPr>
                <w:p w14:paraId="6F9EB8FE" w14:textId="77777777" w:rsidR="00534098" w:rsidRDefault="00534098" w:rsidP="00E16E5A">
                  <w:pPr>
                    <w:pStyle w:val="TableBodyText"/>
                  </w:pPr>
                  <w:r w:rsidRPr="006C7CA3">
                    <w:t>2.2</w:t>
                  </w:r>
                </w:p>
              </w:tc>
            </w:tr>
            <w:tr w:rsidR="00534098" w14:paraId="10005521" w14:textId="77777777" w:rsidTr="002A6B42">
              <w:tc>
                <w:tcPr>
                  <w:tcW w:w="1251" w:type="pct"/>
                  <w:shd w:val="clear" w:color="auto" w:fill="auto"/>
                </w:tcPr>
                <w:p w14:paraId="28A8177C"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Rental, Hiring and Real Estate Services</w:t>
                  </w:r>
                </w:p>
              </w:tc>
              <w:tc>
                <w:tcPr>
                  <w:tcW w:w="1250" w:type="pct"/>
                  <w:tcBorders>
                    <w:top w:val="nil"/>
                    <w:left w:val="nil"/>
                    <w:bottom w:val="nil"/>
                    <w:right w:val="nil"/>
                  </w:tcBorders>
                  <w:shd w:val="clear" w:color="auto" w:fill="auto"/>
                </w:tcPr>
                <w:p w14:paraId="5399A672" w14:textId="77777777" w:rsidR="00534098" w:rsidRDefault="00534098" w:rsidP="00E16E5A">
                  <w:pPr>
                    <w:pStyle w:val="TableBodyText"/>
                  </w:pPr>
                  <w:r w:rsidRPr="006C7CA3">
                    <w:t>10.7</w:t>
                  </w:r>
                </w:p>
              </w:tc>
              <w:tc>
                <w:tcPr>
                  <w:tcW w:w="1250" w:type="pct"/>
                  <w:tcBorders>
                    <w:top w:val="nil"/>
                    <w:left w:val="nil"/>
                    <w:bottom w:val="nil"/>
                    <w:right w:val="nil"/>
                  </w:tcBorders>
                  <w:shd w:val="clear" w:color="auto" w:fill="auto"/>
                </w:tcPr>
                <w:p w14:paraId="4893384F" w14:textId="77777777" w:rsidR="00534098" w:rsidRDefault="00534098" w:rsidP="00E16E5A">
                  <w:pPr>
                    <w:pStyle w:val="TableBodyText"/>
                  </w:pPr>
                  <w:r w:rsidRPr="006C7CA3">
                    <w:t>8.8</w:t>
                  </w:r>
                </w:p>
              </w:tc>
              <w:tc>
                <w:tcPr>
                  <w:tcW w:w="1249" w:type="pct"/>
                  <w:tcBorders>
                    <w:top w:val="nil"/>
                    <w:left w:val="nil"/>
                    <w:bottom w:val="nil"/>
                    <w:right w:val="nil"/>
                  </w:tcBorders>
                  <w:shd w:val="clear" w:color="auto" w:fill="auto"/>
                </w:tcPr>
                <w:p w14:paraId="52E400D2" w14:textId="77777777" w:rsidR="00534098" w:rsidRDefault="00534098" w:rsidP="00E16E5A">
                  <w:pPr>
                    <w:pStyle w:val="TableBodyText"/>
                  </w:pPr>
                  <w:r w:rsidRPr="006C7CA3">
                    <w:t>1.8</w:t>
                  </w:r>
                </w:p>
              </w:tc>
            </w:tr>
            <w:tr w:rsidR="00534098" w14:paraId="5BA717B4" w14:textId="77777777" w:rsidTr="00A91AF9">
              <w:tc>
                <w:tcPr>
                  <w:tcW w:w="1251" w:type="pct"/>
                  <w:shd w:val="clear" w:color="auto" w:fill="F2F2F2" w:themeFill="background1" w:themeFillShade="F2"/>
                </w:tcPr>
                <w:p w14:paraId="77CE887C"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Professional, Scientific and Technical Services</w:t>
                  </w:r>
                </w:p>
              </w:tc>
              <w:tc>
                <w:tcPr>
                  <w:tcW w:w="1250" w:type="pct"/>
                  <w:tcBorders>
                    <w:top w:val="nil"/>
                    <w:left w:val="nil"/>
                    <w:bottom w:val="nil"/>
                    <w:right w:val="nil"/>
                  </w:tcBorders>
                  <w:shd w:val="clear" w:color="auto" w:fill="F2F2F2" w:themeFill="background1" w:themeFillShade="F2"/>
                </w:tcPr>
                <w:p w14:paraId="4956F169" w14:textId="77777777" w:rsidR="00534098" w:rsidRDefault="00534098" w:rsidP="00E16E5A">
                  <w:pPr>
                    <w:pStyle w:val="TableBodyText"/>
                  </w:pPr>
                  <w:r w:rsidRPr="006C7CA3">
                    <w:t>15.7</w:t>
                  </w:r>
                </w:p>
              </w:tc>
              <w:tc>
                <w:tcPr>
                  <w:tcW w:w="1250" w:type="pct"/>
                  <w:tcBorders>
                    <w:top w:val="nil"/>
                    <w:left w:val="nil"/>
                    <w:bottom w:val="nil"/>
                    <w:right w:val="nil"/>
                  </w:tcBorders>
                  <w:shd w:val="clear" w:color="auto" w:fill="F2F2F2" w:themeFill="background1" w:themeFillShade="F2"/>
                </w:tcPr>
                <w:p w14:paraId="2778266F" w14:textId="77777777" w:rsidR="00534098" w:rsidRDefault="00534098" w:rsidP="00E16E5A">
                  <w:pPr>
                    <w:pStyle w:val="TableBodyText"/>
                  </w:pPr>
                  <w:r w:rsidRPr="006C7CA3">
                    <w:t>13.2</w:t>
                  </w:r>
                </w:p>
              </w:tc>
              <w:tc>
                <w:tcPr>
                  <w:tcW w:w="1249" w:type="pct"/>
                  <w:tcBorders>
                    <w:top w:val="nil"/>
                    <w:left w:val="nil"/>
                    <w:bottom w:val="nil"/>
                    <w:right w:val="nil"/>
                  </w:tcBorders>
                  <w:shd w:val="clear" w:color="auto" w:fill="F2F2F2" w:themeFill="background1" w:themeFillShade="F2"/>
                </w:tcPr>
                <w:p w14:paraId="47672945" w14:textId="77777777" w:rsidR="00534098" w:rsidRDefault="00534098" w:rsidP="00E16E5A">
                  <w:pPr>
                    <w:pStyle w:val="TableBodyText"/>
                  </w:pPr>
                  <w:r w:rsidRPr="006C7CA3">
                    <w:t>2.5</w:t>
                  </w:r>
                </w:p>
              </w:tc>
            </w:tr>
            <w:tr w:rsidR="00534098" w14:paraId="0067E28B" w14:textId="77777777" w:rsidTr="002A6B42">
              <w:tc>
                <w:tcPr>
                  <w:tcW w:w="1251" w:type="pct"/>
                  <w:shd w:val="clear" w:color="auto" w:fill="auto"/>
                </w:tcPr>
                <w:p w14:paraId="344533DA"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Administrative and Support Services</w:t>
                  </w:r>
                </w:p>
              </w:tc>
              <w:tc>
                <w:tcPr>
                  <w:tcW w:w="1250" w:type="pct"/>
                  <w:tcBorders>
                    <w:top w:val="nil"/>
                    <w:left w:val="nil"/>
                    <w:bottom w:val="nil"/>
                    <w:right w:val="nil"/>
                  </w:tcBorders>
                  <w:shd w:val="clear" w:color="auto" w:fill="auto"/>
                </w:tcPr>
                <w:p w14:paraId="5DE2F568" w14:textId="77777777" w:rsidR="00534098" w:rsidRDefault="00534098" w:rsidP="00E16E5A">
                  <w:pPr>
                    <w:pStyle w:val="TableBodyText"/>
                  </w:pPr>
                  <w:r w:rsidRPr="006C7CA3">
                    <w:t>20.6</w:t>
                  </w:r>
                </w:p>
              </w:tc>
              <w:tc>
                <w:tcPr>
                  <w:tcW w:w="1250" w:type="pct"/>
                  <w:tcBorders>
                    <w:top w:val="nil"/>
                    <w:left w:val="nil"/>
                    <w:bottom w:val="nil"/>
                    <w:right w:val="nil"/>
                  </w:tcBorders>
                  <w:shd w:val="clear" w:color="auto" w:fill="auto"/>
                </w:tcPr>
                <w:p w14:paraId="66ED6DFF" w14:textId="77777777" w:rsidR="00534098" w:rsidRDefault="00534098" w:rsidP="00E16E5A">
                  <w:pPr>
                    <w:pStyle w:val="TableBodyText"/>
                  </w:pPr>
                  <w:r w:rsidRPr="006C7CA3">
                    <w:t>16.0</w:t>
                  </w:r>
                </w:p>
              </w:tc>
              <w:tc>
                <w:tcPr>
                  <w:tcW w:w="1249" w:type="pct"/>
                  <w:tcBorders>
                    <w:top w:val="nil"/>
                    <w:left w:val="nil"/>
                    <w:bottom w:val="nil"/>
                    <w:right w:val="nil"/>
                  </w:tcBorders>
                  <w:shd w:val="clear" w:color="auto" w:fill="auto"/>
                </w:tcPr>
                <w:p w14:paraId="3DA1B9F6" w14:textId="77777777" w:rsidR="00534098" w:rsidRDefault="00534098" w:rsidP="00E16E5A">
                  <w:pPr>
                    <w:pStyle w:val="TableBodyText"/>
                  </w:pPr>
                  <w:r w:rsidRPr="006C7CA3">
                    <w:t>4.5</w:t>
                  </w:r>
                </w:p>
              </w:tc>
            </w:tr>
            <w:tr w:rsidR="00534098" w14:paraId="49564226" w14:textId="77777777" w:rsidTr="00A91AF9">
              <w:tc>
                <w:tcPr>
                  <w:tcW w:w="1251" w:type="pct"/>
                  <w:shd w:val="clear" w:color="auto" w:fill="F2F2F2" w:themeFill="background1" w:themeFillShade="F2"/>
                </w:tcPr>
                <w:p w14:paraId="2C6AAF9C"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Public Administration and Safety</w:t>
                  </w:r>
                </w:p>
              </w:tc>
              <w:tc>
                <w:tcPr>
                  <w:tcW w:w="1250" w:type="pct"/>
                  <w:tcBorders>
                    <w:top w:val="nil"/>
                    <w:left w:val="nil"/>
                    <w:bottom w:val="nil"/>
                    <w:right w:val="nil"/>
                  </w:tcBorders>
                  <w:shd w:val="clear" w:color="auto" w:fill="F2F2F2" w:themeFill="background1" w:themeFillShade="F2"/>
                </w:tcPr>
                <w:p w14:paraId="13DFC799" w14:textId="77777777" w:rsidR="00534098" w:rsidRDefault="00534098" w:rsidP="00E16E5A">
                  <w:pPr>
                    <w:pStyle w:val="TableBodyText"/>
                  </w:pPr>
                  <w:r w:rsidRPr="006C7CA3">
                    <w:t>17.2</w:t>
                  </w:r>
                </w:p>
              </w:tc>
              <w:tc>
                <w:tcPr>
                  <w:tcW w:w="1250" w:type="pct"/>
                  <w:tcBorders>
                    <w:top w:val="nil"/>
                    <w:left w:val="nil"/>
                    <w:bottom w:val="nil"/>
                    <w:right w:val="nil"/>
                  </w:tcBorders>
                  <w:shd w:val="clear" w:color="auto" w:fill="F2F2F2" w:themeFill="background1" w:themeFillShade="F2"/>
                </w:tcPr>
                <w:p w14:paraId="0AF8E4DE" w14:textId="77777777" w:rsidR="00534098" w:rsidRDefault="00534098" w:rsidP="00E16E5A">
                  <w:pPr>
                    <w:pStyle w:val="TableBodyText"/>
                  </w:pPr>
                  <w:r w:rsidRPr="006C7CA3">
                    <w:t>16.6</w:t>
                  </w:r>
                </w:p>
              </w:tc>
              <w:tc>
                <w:tcPr>
                  <w:tcW w:w="1249" w:type="pct"/>
                  <w:tcBorders>
                    <w:top w:val="nil"/>
                    <w:left w:val="nil"/>
                    <w:bottom w:val="nil"/>
                    <w:right w:val="nil"/>
                  </w:tcBorders>
                  <w:shd w:val="clear" w:color="auto" w:fill="F2F2F2" w:themeFill="background1" w:themeFillShade="F2"/>
                </w:tcPr>
                <w:p w14:paraId="0970D98A" w14:textId="77777777" w:rsidR="00534098" w:rsidRDefault="00534098" w:rsidP="00E16E5A">
                  <w:pPr>
                    <w:pStyle w:val="TableBodyText"/>
                  </w:pPr>
                  <w:r w:rsidRPr="006C7CA3">
                    <w:t>0.6</w:t>
                  </w:r>
                </w:p>
              </w:tc>
            </w:tr>
            <w:tr w:rsidR="00534098" w14:paraId="59D35318" w14:textId="77777777" w:rsidTr="002A6B42">
              <w:tc>
                <w:tcPr>
                  <w:tcW w:w="1251" w:type="pct"/>
                  <w:shd w:val="clear" w:color="auto" w:fill="auto"/>
                </w:tcPr>
                <w:p w14:paraId="0D347C6E"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Education and Training</w:t>
                  </w:r>
                </w:p>
              </w:tc>
              <w:tc>
                <w:tcPr>
                  <w:tcW w:w="1250" w:type="pct"/>
                  <w:tcBorders>
                    <w:top w:val="nil"/>
                    <w:left w:val="nil"/>
                    <w:bottom w:val="nil"/>
                    <w:right w:val="nil"/>
                  </w:tcBorders>
                  <w:shd w:val="clear" w:color="auto" w:fill="auto"/>
                </w:tcPr>
                <w:p w14:paraId="31964C86" w14:textId="77777777" w:rsidR="00534098" w:rsidRDefault="00534098" w:rsidP="00E16E5A">
                  <w:pPr>
                    <w:pStyle w:val="TableBodyText"/>
                  </w:pPr>
                  <w:r w:rsidRPr="006C7CA3">
                    <w:t>17.3</w:t>
                  </w:r>
                </w:p>
              </w:tc>
              <w:tc>
                <w:tcPr>
                  <w:tcW w:w="1250" w:type="pct"/>
                  <w:tcBorders>
                    <w:top w:val="nil"/>
                    <w:left w:val="nil"/>
                    <w:bottom w:val="nil"/>
                    <w:right w:val="nil"/>
                  </w:tcBorders>
                  <w:shd w:val="clear" w:color="auto" w:fill="auto"/>
                </w:tcPr>
                <w:p w14:paraId="6E026BDF" w14:textId="77777777" w:rsidR="00534098" w:rsidRDefault="00534098" w:rsidP="00E16E5A">
                  <w:pPr>
                    <w:pStyle w:val="TableBodyText"/>
                  </w:pPr>
                  <w:r w:rsidRPr="006C7CA3">
                    <w:t>13.5</w:t>
                  </w:r>
                </w:p>
              </w:tc>
              <w:tc>
                <w:tcPr>
                  <w:tcW w:w="1249" w:type="pct"/>
                  <w:tcBorders>
                    <w:top w:val="nil"/>
                    <w:left w:val="nil"/>
                    <w:bottom w:val="nil"/>
                    <w:right w:val="nil"/>
                  </w:tcBorders>
                  <w:shd w:val="clear" w:color="auto" w:fill="auto"/>
                </w:tcPr>
                <w:p w14:paraId="6DF136E1" w14:textId="77777777" w:rsidR="00534098" w:rsidRDefault="00534098" w:rsidP="00E16E5A">
                  <w:pPr>
                    <w:pStyle w:val="TableBodyText"/>
                  </w:pPr>
                  <w:r w:rsidRPr="006C7CA3">
                    <w:t>3.8</w:t>
                  </w:r>
                </w:p>
              </w:tc>
            </w:tr>
            <w:tr w:rsidR="00534098" w14:paraId="1B606A0B" w14:textId="77777777" w:rsidTr="00A91AF9">
              <w:tc>
                <w:tcPr>
                  <w:tcW w:w="1251" w:type="pct"/>
                  <w:shd w:val="clear" w:color="auto" w:fill="F2F2F2" w:themeFill="background1" w:themeFillShade="F2"/>
                </w:tcPr>
                <w:p w14:paraId="1B279537" w14:textId="77777777" w:rsidR="00534098" w:rsidRPr="006C7CA3" w:rsidRDefault="00534098" w:rsidP="00E16E5A">
                  <w:pPr>
                    <w:spacing w:after="40"/>
                    <w:rPr>
                      <w:rFonts w:cs="Arial"/>
                      <w:color w:val="000000"/>
                      <w:szCs w:val="18"/>
                    </w:rPr>
                  </w:pPr>
                  <w:r w:rsidRPr="006C7CA3">
                    <w:rPr>
                      <w:rFonts w:ascii="Arial" w:hAnsi="Arial" w:cs="Arial"/>
                      <w:color w:val="000000"/>
                      <w:sz w:val="18"/>
                      <w:szCs w:val="18"/>
                    </w:rPr>
                    <w:t>Health Care and Social Assistance</w:t>
                  </w:r>
                </w:p>
              </w:tc>
              <w:tc>
                <w:tcPr>
                  <w:tcW w:w="1250" w:type="pct"/>
                  <w:tcBorders>
                    <w:top w:val="nil"/>
                    <w:left w:val="nil"/>
                    <w:bottom w:val="nil"/>
                    <w:right w:val="nil"/>
                  </w:tcBorders>
                  <w:shd w:val="clear" w:color="auto" w:fill="F2F2F2" w:themeFill="background1" w:themeFillShade="F2"/>
                </w:tcPr>
                <w:p w14:paraId="58941C1F" w14:textId="77777777" w:rsidR="00534098" w:rsidRDefault="00534098" w:rsidP="00E16E5A">
                  <w:pPr>
                    <w:pStyle w:val="TableBodyText"/>
                  </w:pPr>
                  <w:r w:rsidRPr="006C7CA3">
                    <w:t>13.6</w:t>
                  </w:r>
                </w:p>
              </w:tc>
              <w:tc>
                <w:tcPr>
                  <w:tcW w:w="1250" w:type="pct"/>
                  <w:tcBorders>
                    <w:top w:val="nil"/>
                    <w:left w:val="nil"/>
                    <w:bottom w:val="nil"/>
                    <w:right w:val="nil"/>
                  </w:tcBorders>
                  <w:shd w:val="clear" w:color="auto" w:fill="F2F2F2" w:themeFill="background1" w:themeFillShade="F2"/>
                </w:tcPr>
                <w:p w14:paraId="4507B37E" w14:textId="77777777" w:rsidR="00534098" w:rsidRDefault="00534098" w:rsidP="00E16E5A">
                  <w:pPr>
                    <w:pStyle w:val="TableBodyText"/>
                  </w:pPr>
                  <w:r w:rsidRPr="006C7CA3">
                    <w:t>8.6</w:t>
                  </w:r>
                </w:p>
              </w:tc>
              <w:tc>
                <w:tcPr>
                  <w:tcW w:w="1249" w:type="pct"/>
                  <w:tcBorders>
                    <w:top w:val="nil"/>
                    <w:left w:val="nil"/>
                    <w:bottom w:val="nil"/>
                    <w:right w:val="nil"/>
                  </w:tcBorders>
                  <w:shd w:val="clear" w:color="auto" w:fill="F2F2F2" w:themeFill="background1" w:themeFillShade="F2"/>
                </w:tcPr>
                <w:p w14:paraId="537DC7A2" w14:textId="77777777" w:rsidR="00534098" w:rsidRDefault="00534098" w:rsidP="00E16E5A">
                  <w:pPr>
                    <w:pStyle w:val="TableBodyText"/>
                  </w:pPr>
                  <w:r w:rsidRPr="006C7CA3">
                    <w:t>5.0</w:t>
                  </w:r>
                </w:p>
              </w:tc>
            </w:tr>
            <w:tr w:rsidR="00534098" w14:paraId="6F39E400" w14:textId="77777777" w:rsidTr="002A6B42">
              <w:tc>
                <w:tcPr>
                  <w:tcW w:w="1251" w:type="pct"/>
                  <w:shd w:val="clear" w:color="auto" w:fill="auto"/>
                </w:tcPr>
                <w:p w14:paraId="5CD0F9D1" w14:textId="77777777" w:rsidR="00534098" w:rsidRDefault="00534098" w:rsidP="00E16E5A">
                  <w:pPr>
                    <w:pStyle w:val="TableBodyText"/>
                    <w:jc w:val="left"/>
                  </w:pPr>
                  <w:r w:rsidRPr="0098531A">
                    <w:t>Arts and Recreation Services</w:t>
                  </w:r>
                </w:p>
              </w:tc>
              <w:tc>
                <w:tcPr>
                  <w:tcW w:w="1250" w:type="pct"/>
                  <w:tcBorders>
                    <w:top w:val="nil"/>
                    <w:left w:val="nil"/>
                    <w:right w:val="nil"/>
                  </w:tcBorders>
                  <w:shd w:val="clear" w:color="auto" w:fill="auto"/>
                </w:tcPr>
                <w:p w14:paraId="580CAE40" w14:textId="77777777" w:rsidR="00534098" w:rsidRDefault="00534098" w:rsidP="00E16E5A">
                  <w:pPr>
                    <w:pStyle w:val="TableBodyText"/>
                  </w:pPr>
                  <w:r w:rsidRPr="006C7CA3">
                    <w:t>17.5</w:t>
                  </w:r>
                </w:p>
              </w:tc>
              <w:tc>
                <w:tcPr>
                  <w:tcW w:w="1250" w:type="pct"/>
                  <w:tcBorders>
                    <w:top w:val="nil"/>
                    <w:left w:val="nil"/>
                    <w:right w:val="nil"/>
                  </w:tcBorders>
                  <w:shd w:val="clear" w:color="auto" w:fill="auto"/>
                </w:tcPr>
                <w:p w14:paraId="7985B998" w14:textId="77777777" w:rsidR="00534098" w:rsidRDefault="00534098" w:rsidP="00E16E5A">
                  <w:pPr>
                    <w:pStyle w:val="TableBodyText"/>
                  </w:pPr>
                  <w:r w:rsidRPr="006C7CA3">
                    <w:t>13.1</w:t>
                  </w:r>
                </w:p>
              </w:tc>
              <w:tc>
                <w:tcPr>
                  <w:tcW w:w="1249" w:type="pct"/>
                  <w:tcBorders>
                    <w:top w:val="nil"/>
                    <w:left w:val="nil"/>
                    <w:right w:val="nil"/>
                  </w:tcBorders>
                  <w:shd w:val="clear" w:color="auto" w:fill="auto"/>
                </w:tcPr>
                <w:p w14:paraId="1A2DEF16" w14:textId="77777777" w:rsidR="00534098" w:rsidRDefault="00534098" w:rsidP="00E16E5A">
                  <w:pPr>
                    <w:pStyle w:val="TableBodyText"/>
                  </w:pPr>
                  <w:r w:rsidRPr="006C7CA3">
                    <w:t>4.4</w:t>
                  </w:r>
                </w:p>
              </w:tc>
            </w:tr>
            <w:tr w:rsidR="00534098" w14:paraId="7F7D1634" w14:textId="77777777" w:rsidTr="00A91AF9">
              <w:tc>
                <w:tcPr>
                  <w:tcW w:w="1251" w:type="pct"/>
                  <w:tcBorders>
                    <w:bottom w:val="single" w:sz="4" w:space="0" w:color="BFBFBF"/>
                  </w:tcBorders>
                  <w:shd w:val="clear" w:color="auto" w:fill="F2F2F2" w:themeFill="background1" w:themeFillShade="F2"/>
                </w:tcPr>
                <w:p w14:paraId="1AECB902" w14:textId="77777777" w:rsidR="00534098" w:rsidRPr="006C7CA3" w:rsidRDefault="00534098" w:rsidP="00E16E5A">
                  <w:pPr>
                    <w:pStyle w:val="TableBodyText"/>
                    <w:jc w:val="left"/>
                    <w:rPr>
                      <w:rFonts w:cs="Arial"/>
                      <w:color w:val="000000"/>
                      <w:szCs w:val="18"/>
                    </w:rPr>
                  </w:pPr>
                  <w:r w:rsidRPr="006C7CA3">
                    <w:rPr>
                      <w:rFonts w:cs="Arial"/>
                      <w:color w:val="000000"/>
                      <w:szCs w:val="18"/>
                    </w:rPr>
                    <w:t xml:space="preserve">Other </w:t>
                  </w:r>
                  <w:r w:rsidRPr="006C7CA3">
                    <w:rPr>
                      <w:szCs w:val="18"/>
                    </w:rPr>
                    <w:t>Services</w:t>
                  </w:r>
                </w:p>
              </w:tc>
              <w:tc>
                <w:tcPr>
                  <w:tcW w:w="1250" w:type="pct"/>
                  <w:tcBorders>
                    <w:top w:val="nil"/>
                    <w:left w:val="nil"/>
                    <w:bottom w:val="single" w:sz="4" w:space="0" w:color="BFBFBF"/>
                    <w:right w:val="nil"/>
                  </w:tcBorders>
                  <w:shd w:val="clear" w:color="auto" w:fill="F2F2F2" w:themeFill="background1" w:themeFillShade="F2"/>
                </w:tcPr>
                <w:p w14:paraId="06822F83" w14:textId="77777777" w:rsidR="00534098" w:rsidRDefault="00534098" w:rsidP="00E16E5A">
                  <w:pPr>
                    <w:pStyle w:val="TableBodyText"/>
                  </w:pPr>
                  <w:r w:rsidRPr="006C7CA3">
                    <w:t>15.8</w:t>
                  </w:r>
                </w:p>
              </w:tc>
              <w:tc>
                <w:tcPr>
                  <w:tcW w:w="1250" w:type="pct"/>
                  <w:tcBorders>
                    <w:top w:val="nil"/>
                    <w:left w:val="nil"/>
                    <w:bottom w:val="single" w:sz="4" w:space="0" w:color="BFBFBF"/>
                    <w:right w:val="nil"/>
                  </w:tcBorders>
                  <w:shd w:val="clear" w:color="auto" w:fill="F2F2F2" w:themeFill="background1" w:themeFillShade="F2"/>
                </w:tcPr>
                <w:p w14:paraId="4B656764" w14:textId="77777777" w:rsidR="00534098" w:rsidRDefault="00534098" w:rsidP="00E16E5A">
                  <w:pPr>
                    <w:pStyle w:val="TableBodyText"/>
                  </w:pPr>
                  <w:r w:rsidRPr="006C7CA3">
                    <w:t>12.9</w:t>
                  </w:r>
                </w:p>
              </w:tc>
              <w:tc>
                <w:tcPr>
                  <w:tcW w:w="1249" w:type="pct"/>
                  <w:tcBorders>
                    <w:top w:val="nil"/>
                    <w:left w:val="nil"/>
                    <w:bottom w:val="single" w:sz="4" w:space="0" w:color="BFBFBF"/>
                    <w:right w:val="nil"/>
                  </w:tcBorders>
                  <w:shd w:val="clear" w:color="auto" w:fill="F2F2F2" w:themeFill="background1" w:themeFillShade="F2"/>
                </w:tcPr>
                <w:p w14:paraId="0C3C4704" w14:textId="77777777" w:rsidR="00534098" w:rsidRDefault="00534098" w:rsidP="00E16E5A">
                  <w:pPr>
                    <w:pStyle w:val="TableBodyText"/>
                  </w:pPr>
                  <w:r w:rsidRPr="006C7CA3">
                    <w:t>2.9</w:t>
                  </w:r>
                </w:p>
              </w:tc>
            </w:tr>
          </w:tbl>
          <w:p w14:paraId="7CC9BA1B" w14:textId="77777777" w:rsidR="00534098" w:rsidRDefault="00534098" w:rsidP="002A6B42">
            <w:pPr>
              <w:pStyle w:val="Box"/>
              <w:jc w:val="right"/>
            </w:pPr>
          </w:p>
        </w:tc>
      </w:tr>
      <w:tr w:rsidR="00534098" w14:paraId="24AB8A47" w14:textId="77777777" w:rsidTr="002A6B42">
        <w:tc>
          <w:tcPr>
            <w:tcW w:w="5000" w:type="pct"/>
            <w:tcBorders>
              <w:top w:val="nil"/>
              <w:left w:val="nil"/>
              <w:bottom w:val="nil"/>
              <w:right w:val="nil"/>
            </w:tcBorders>
            <w:shd w:val="clear" w:color="auto" w:fill="auto"/>
          </w:tcPr>
          <w:p w14:paraId="23A24E88" w14:textId="77777777" w:rsidR="00534098" w:rsidRDefault="00534098" w:rsidP="00640146">
            <w:pPr>
              <w:pStyle w:val="Source"/>
              <w:spacing w:before="120"/>
              <w:jc w:val="left"/>
            </w:pPr>
            <w:r>
              <w:rPr>
                <w:i/>
              </w:rPr>
              <w:t>Source</w:t>
            </w:r>
            <w:r w:rsidRPr="00176D3F">
              <w:t xml:space="preserve">: </w:t>
            </w:r>
            <w:r>
              <w:t>ABS (</w:t>
            </w:r>
            <w:r>
              <w:rPr>
                <w:i/>
                <w:iCs/>
              </w:rPr>
              <w:t>Counts of Australian Businesses including Entries and Exits</w:t>
            </w:r>
            <w:r w:rsidRPr="008E06DC">
              <w:rPr>
                <w:i/>
                <w:iCs/>
              </w:rPr>
              <w:t>,</w:t>
            </w:r>
            <w:r>
              <w:rPr>
                <w:i/>
                <w:iCs/>
              </w:rPr>
              <w:t xml:space="preserve"> </w:t>
            </w:r>
            <w:r>
              <w:t>Cat. no. 8165.0</w:t>
            </w:r>
            <w:r w:rsidRPr="00260C3D">
              <w:t>.</w:t>
            </w:r>
            <w:r>
              <w:t>, table 2.</w:t>
            </w:r>
          </w:p>
        </w:tc>
      </w:tr>
      <w:tr w:rsidR="00534098" w14:paraId="5431A282" w14:textId="77777777" w:rsidTr="007A39EB">
        <w:tc>
          <w:tcPr>
            <w:tcW w:w="5000" w:type="pct"/>
            <w:tcBorders>
              <w:top w:val="nil"/>
              <w:left w:val="nil"/>
              <w:bottom w:val="single" w:sz="6" w:space="0" w:color="78A22F"/>
              <w:right w:val="nil"/>
            </w:tcBorders>
            <w:shd w:val="clear" w:color="auto" w:fill="auto"/>
          </w:tcPr>
          <w:p w14:paraId="63E49B96" w14:textId="77777777" w:rsidR="00534098" w:rsidRDefault="00534098" w:rsidP="007A39EB">
            <w:pPr>
              <w:pStyle w:val="Box"/>
              <w:spacing w:before="0" w:line="120" w:lineRule="exact"/>
            </w:pPr>
          </w:p>
        </w:tc>
      </w:tr>
    </w:tbl>
    <w:p w14:paraId="19C89909" w14:textId="77777777" w:rsidR="00534098" w:rsidRDefault="00534098" w:rsidP="006D248A">
      <w:pPr>
        <w:pStyle w:val="BodyText"/>
      </w:pPr>
      <w:r>
        <w:br w:type="page"/>
      </w:r>
    </w:p>
    <w:p w14:paraId="3FA3B6BA" w14:textId="4AA9512F" w:rsidR="00534098" w:rsidRDefault="00534098" w:rsidP="006D24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13D603A" w14:textId="77777777" w:rsidTr="007A39EB">
        <w:trPr>
          <w:tblHeader/>
        </w:trPr>
        <w:tc>
          <w:tcPr>
            <w:tcW w:w="5000" w:type="pct"/>
            <w:tcBorders>
              <w:top w:val="single" w:sz="6" w:space="0" w:color="78A22F"/>
              <w:left w:val="nil"/>
              <w:bottom w:val="nil"/>
              <w:right w:val="nil"/>
            </w:tcBorders>
            <w:shd w:val="clear" w:color="auto" w:fill="F2F2F2"/>
          </w:tcPr>
          <w:p w14:paraId="06A5C9DA" w14:textId="404F479B" w:rsidR="00534098" w:rsidRDefault="00534098" w:rsidP="007A39EB">
            <w:pPr>
              <w:pStyle w:val="BoxTitle"/>
            </w:pPr>
            <w:r>
              <w:rPr>
                <w:b w:val="0"/>
              </w:rPr>
              <w:t xml:space="preserve">Box </w:t>
            </w:r>
            <w:r w:rsidR="0015674B">
              <w:rPr>
                <w:b w:val="0"/>
                <w:noProof/>
              </w:rPr>
              <w:t>4</w:t>
            </w:r>
            <w:r>
              <w:tab/>
              <w:t>Temporary relaxation of insolvency laws</w:t>
            </w:r>
          </w:p>
        </w:tc>
      </w:tr>
      <w:tr w:rsidR="00534098" w14:paraId="3BDA48E6" w14:textId="77777777" w:rsidTr="007A39EB">
        <w:tc>
          <w:tcPr>
            <w:tcW w:w="5000" w:type="pct"/>
            <w:tcBorders>
              <w:top w:val="nil"/>
              <w:left w:val="nil"/>
              <w:bottom w:val="nil"/>
              <w:right w:val="nil"/>
            </w:tcBorders>
            <w:shd w:val="clear" w:color="auto" w:fill="F2F2F2"/>
          </w:tcPr>
          <w:p w14:paraId="4AA1551B" w14:textId="77777777" w:rsidR="00534098" w:rsidRDefault="00534098" w:rsidP="007A39EB">
            <w:pPr>
              <w:pStyle w:val="Box"/>
            </w:pPr>
            <w:r>
              <w:t>On 24 March 2020, in response to fears of mass business exodus, the Australian Government announced a temporary relief for financially distressed businesses that would remain in place until 1 January 2021. The primary objective of this scheme was to provide temporary relief to viable and profitable businesses that could face temporary financial distress due to the economic impacts of COVID</w:t>
            </w:r>
            <w:r>
              <w:noBreakHyphen/>
              <w:t xml:space="preserve">19 and health measures enacted to prevent its spread. </w:t>
            </w:r>
          </w:p>
          <w:p w14:paraId="2A4AC3F4" w14:textId="77777777" w:rsidR="00534098" w:rsidRDefault="00534098" w:rsidP="007A39EB">
            <w:pPr>
              <w:pStyle w:val="Box"/>
            </w:pPr>
            <w:r>
              <w:t xml:space="preserve">The key elements of the package were: </w:t>
            </w:r>
          </w:p>
          <w:p w14:paraId="114C24A3" w14:textId="77777777" w:rsidR="00534098" w:rsidRDefault="00534098" w:rsidP="007A39EB">
            <w:pPr>
              <w:pStyle w:val="BoxListBullet"/>
            </w:pPr>
            <w:r>
              <w:t>a</w:t>
            </w:r>
            <w:r w:rsidRPr="00852327">
              <w:t xml:space="preserve"> temporar</w:t>
            </w:r>
            <w:r>
              <w:t>y</w:t>
            </w:r>
            <w:r w:rsidRPr="00852327">
              <w:t xml:space="preserve"> </w:t>
            </w:r>
            <w:r>
              <w:t>increase in</w:t>
            </w:r>
            <w:r w:rsidRPr="00852327">
              <w:t xml:space="preserve"> the threshold at which creditors can issue a statutory demand for payment on a company (from $2000 to $20</w:t>
            </w:r>
            <w:r>
              <w:t> </w:t>
            </w:r>
            <w:r w:rsidRPr="00852327">
              <w:t>000) and the time companies have to respond to statutory demands (from 21 days to 6 months)</w:t>
            </w:r>
          </w:p>
          <w:p w14:paraId="31262F26" w14:textId="7AE5821C" w:rsidR="00534098" w:rsidRDefault="00534098" w:rsidP="007A39EB">
            <w:pPr>
              <w:pStyle w:val="BoxListBullet"/>
            </w:pPr>
            <w:r>
              <w:t xml:space="preserve">the threshold for the minimum amount of debt required for a creditor to initiate bankruptcy proceedings against a debtor (individual) increased from $5000 to $20 000 (this applied for six months). Individuals also benefited from the increased timeframe to respond to statutory demands from 21 days to </w:t>
            </w:r>
            <w:r w:rsidR="0066476E">
              <w:t>6</w:t>
            </w:r>
            <w:r>
              <w:t xml:space="preserve"> months</w:t>
            </w:r>
          </w:p>
          <w:p w14:paraId="20EB858C" w14:textId="77777777" w:rsidR="00534098" w:rsidRDefault="00534098" w:rsidP="007A39EB">
            <w:pPr>
              <w:pStyle w:val="BoxListBullet"/>
            </w:pPr>
            <w:r>
              <w:t>temporary relief for directors from any personal liability for trading while insolvent</w:t>
            </w:r>
          </w:p>
          <w:p w14:paraId="066EFCF1" w14:textId="77777777" w:rsidR="00534098" w:rsidRDefault="00534098" w:rsidP="007A39EB">
            <w:pPr>
              <w:pStyle w:val="BoxListBullet"/>
            </w:pPr>
            <w:r>
              <w:t xml:space="preserve">providing temporary flexibility in the </w:t>
            </w:r>
            <w:r>
              <w:rPr>
                <w:i/>
                <w:iCs/>
              </w:rPr>
              <w:t>Corporations Act 2001</w:t>
            </w:r>
            <w:r>
              <w:rPr>
                <w:b/>
                <w:bCs/>
                <w:i/>
                <w:iCs/>
              </w:rPr>
              <w:t xml:space="preserve"> </w:t>
            </w:r>
            <w:r>
              <w:t xml:space="preserve">to provide targeted relief for companies from provisions of the Act to deal with unforeseen events that arise as a result of the coronavirus health crisis. </w:t>
            </w:r>
          </w:p>
          <w:p w14:paraId="6AEA5C0D" w14:textId="4DA1B291" w:rsidR="00534098" w:rsidRDefault="00534098" w:rsidP="00640146">
            <w:pPr>
              <w:pStyle w:val="Box"/>
              <w:spacing w:after="80"/>
            </w:pPr>
            <w:r>
              <w:t>The rise in thresholds will primarily benefit small businesses due to the relatively small increase. The other changes will benefit insolvent businesses (or near insolvent) that are facing the likelihood of closure.</w:t>
            </w:r>
          </w:p>
        </w:tc>
      </w:tr>
      <w:tr w:rsidR="00173FF8" w:rsidRPr="00173FF8" w14:paraId="5B5651F8" w14:textId="77777777" w:rsidTr="007A39EB">
        <w:trPr>
          <w:hidden/>
        </w:trPr>
        <w:tc>
          <w:tcPr>
            <w:tcW w:w="5000" w:type="pct"/>
            <w:tcBorders>
              <w:top w:val="single" w:sz="6" w:space="0" w:color="78A22F"/>
              <w:left w:val="nil"/>
              <w:bottom w:val="nil"/>
              <w:right w:val="nil"/>
            </w:tcBorders>
          </w:tcPr>
          <w:p w14:paraId="402B61DE" w14:textId="5C9C6372" w:rsidR="00534098" w:rsidRPr="00173FF8" w:rsidRDefault="00534098" w:rsidP="007A39EB">
            <w:pPr>
              <w:pStyle w:val="BoxSpaceBelow"/>
              <w:rPr>
                <w:rFonts w:ascii="Times New Roman" w:hAnsi="Times New Roman"/>
                <w:b/>
                <w:vanish/>
              </w:rPr>
            </w:pPr>
          </w:p>
        </w:tc>
      </w:tr>
    </w:tbl>
    <w:p w14:paraId="19938C82" w14:textId="4F4C39A5" w:rsidR="00534098" w:rsidRDefault="00534098" w:rsidP="00534098">
      <w:pPr>
        <w:pStyle w:val="BodyText"/>
      </w:pPr>
      <w:bookmarkStart w:id="12" w:name="_Hlk69201620"/>
      <w:r>
        <w:t>To the extent that government policy did limit the usual increase in business exits seen in a recession, it was arguably justified by the unique nature of the COVID</w:t>
      </w:r>
      <w:r>
        <w:noBreakHyphen/>
        <w:t>19 economic shock. A traditional downturn places disproportionate pressure on the least profitable and therefore often least productive firms in each industry. As a result, greater rates of exit can cause an exodus of low productivity firms which can lead to a relocation of inputs from lower to higher productivity firms, raising average productivity. However, the COVID</w:t>
      </w:r>
      <w:r>
        <w:noBreakHyphen/>
        <w:t>19 shock stemmed from a temporary health crisis and affected industries based on how intensely they were involved in face</w:t>
      </w:r>
      <w:r>
        <w:noBreakHyphen/>
        <w:t>to</w:t>
      </w:r>
      <w:r>
        <w:noBreakHyphen/>
        <w:t xml:space="preserve">face transactions with customers, rather than how productive they were. Therefore, in the absence of intervention, it is not certain that an exodus of firms would have reallocated labour from lower to higher productivity firms. Additionally, in the short term, a sudden rise in business exits could have had a destabilising effect on the macroeconomic environment, worsening any downturn even further. </w:t>
      </w:r>
      <w:bookmarkEnd w:id="12"/>
    </w:p>
    <w:p w14:paraId="4C8222E7" w14:textId="77777777" w:rsidR="00534098" w:rsidRDefault="00534098" w:rsidP="00534098">
      <w:pPr>
        <w:pStyle w:val="BodyText"/>
      </w:pPr>
      <w:r>
        <w:t xml:space="preserve">Now that most forms of government assistance </w:t>
      </w:r>
      <w:r w:rsidRPr="00045670">
        <w:t>—</w:t>
      </w:r>
      <w:r>
        <w:t xml:space="preserve"> such as JobKeeper, Cashflow Booster and temporary changes to insolvency rules </w:t>
      </w:r>
      <w:r w:rsidRPr="00045670">
        <w:t>—</w:t>
      </w:r>
      <w:r>
        <w:t xml:space="preserve"> have ended it seems likely that business exits (and especially insolvencies) will increase. While this will present short term challenges, in the absence of evidence of severe macroeconomic instability, policymakers should resist the urge to protect failing businesses in industries that are no longer significantly affected by COVID</w:t>
      </w:r>
      <w:r>
        <w:noBreakHyphen/>
        <w:t>19.</w:t>
      </w:r>
      <w:r>
        <w:rPr>
          <w:rStyle w:val="FootnoteReference"/>
        </w:rPr>
        <w:footnoteReference w:id="7"/>
      </w:r>
      <w:r>
        <w:t xml:space="preserve"> Propping up businesses is likely to hinder the reallocation of inputs from unproductive to productive uses and reduce the incentives for business owners to innovate. </w:t>
      </w:r>
    </w:p>
    <w:p w14:paraId="3781E34B" w14:textId="769FF16A"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63D33D6" w14:textId="77777777" w:rsidTr="007A39EB">
        <w:trPr>
          <w:tblHeader/>
        </w:trPr>
        <w:tc>
          <w:tcPr>
            <w:tcW w:w="5000" w:type="pct"/>
            <w:tcBorders>
              <w:top w:val="single" w:sz="6" w:space="0" w:color="78A22F"/>
              <w:left w:val="nil"/>
              <w:bottom w:val="nil"/>
              <w:right w:val="nil"/>
            </w:tcBorders>
            <w:shd w:val="clear" w:color="auto" w:fill="auto"/>
          </w:tcPr>
          <w:p w14:paraId="0CF972E4" w14:textId="5A7CE79F" w:rsidR="00534098" w:rsidRDefault="00534098" w:rsidP="007A39EB">
            <w:pPr>
              <w:pStyle w:val="FigureTitle"/>
            </w:pPr>
            <w:r w:rsidRPr="00784A05">
              <w:rPr>
                <w:b w:val="0"/>
              </w:rPr>
              <w:t xml:space="preserve">Figure </w:t>
            </w:r>
            <w:r>
              <w:rPr>
                <w:b w:val="0"/>
              </w:rPr>
              <w:t>14</w:t>
            </w:r>
            <w:r>
              <w:tab/>
              <w:t>Annual insolvencies decreased dramatically in 2020</w:t>
            </w:r>
          </w:p>
          <w:p w14:paraId="58B9429C" w14:textId="77777777" w:rsidR="00534098" w:rsidRPr="00176D3F" w:rsidRDefault="00534098" w:rsidP="00173FF8">
            <w:pPr>
              <w:pStyle w:val="Subtitle"/>
              <w:spacing w:after="0"/>
            </w:pPr>
            <w:r>
              <w:t>Companies entering administration between 2006 and 2020</w:t>
            </w:r>
          </w:p>
        </w:tc>
      </w:tr>
      <w:tr w:rsidR="00534098" w14:paraId="06A55054"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17EAC5B7" w14:textId="77777777" w:rsidTr="007A39EB">
              <w:trPr>
                <w:tblHeader/>
                <w:jc w:val="center"/>
              </w:trPr>
              <w:tc>
                <w:tcPr>
                  <w:tcW w:w="5000" w:type="pct"/>
                  <w:tcBorders>
                    <w:top w:val="nil"/>
                    <w:bottom w:val="nil"/>
                  </w:tcBorders>
                </w:tcPr>
                <w:p w14:paraId="04FA786E" w14:textId="251BDBAE" w:rsidR="00534098" w:rsidRPr="00B1465D" w:rsidRDefault="00B5050C" w:rsidP="00734E86">
                  <w:pPr>
                    <w:pStyle w:val="Figure"/>
                    <w:spacing w:after="60"/>
                    <w:rPr>
                      <w:rFonts w:ascii="Arial" w:hAnsi="Arial" w:cs="Arial"/>
                      <w:sz w:val="18"/>
                      <w:szCs w:val="18"/>
                    </w:rPr>
                  </w:pPr>
                  <w:r w:rsidRPr="00B5050C">
                    <w:rPr>
                      <w:noProof/>
                    </w:rPr>
                    <w:drawing>
                      <wp:inline distT="0" distB="0" distL="0" distR="0" wp14:anchorId="0941744B" wp14:editId="646685E4">
                        <wp:extent cx="5078730" cy="2813685"/>
                        <wp:effectExtent l="0" t="0" r="0" b="0"/>
                        <wp:docPr id="24" name="Picture 24" descr="This chart displays annual insolvencies between 2006 and 2020 (calendar year). It can be seen that the number of insolvencies in 2020 was about half the 2020 year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displays annual insolvencies between 2006 and 2020 (calendar year). It can be seen that the number of insolvencies in 2020 was about half the 2020 year averag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8730" cy="2813685"/>
                                </a:xfrm>
                                <a:prstGeom prst="rect">
                                  <a:avLst/>
                                </a:prstGeom>
                                <a:noFill/>
                                <a:ln>
                                  <a:noFill/>
                                </a:ln>
                              </pic:spPr>
                            </pic:pic>
                          </a:graphicData>
                        </a:graphic>
                      </wp:inline>
                    </w:drawing>
                  </w:r>
                </w:p>
              </w:tc>
            </w:tr>
          </w:tbl>
          <w:p w14:paraId="24AFC856" w14:textId="77777777" w:rsidR="00534098" w:rsidRDefault="00534098" w:rsidP="007A39EB">
            <w:pPr>
              <w:pStyle w:val="Figure"/>
            </w:pPr>
          </w:p>
        </w:tc>
      </w:tr>
      <w:tr w:rsidR="00534098" w:rsidRPr="00176D3F" w14:paraId="2ACBD7A6" w14:textId="77777777" w:rsidTr="007A39EB">
        <w:tc>
          <w:tcPr>
            <w:tcW w:w="5000" w:type="pct"/>
            <w:tcBorders>
              <w:top w:val="nil"/>
              <w:left w:val="nil"/>
              <w:bottom w:val="nil"/>
              <w:right w:val="nil"/>
            </w:tcBorders>
            <w:shd w:val="clear" w:color="auto" w:fill="auto"/>
          </w:tcPr>
          <w:p w14:paraId="0F076C21" w14:textId="6DB1D673" w:rsidR="00534098" w:rsidRPr="00176D3F" w:rsidRDefault="00534098" w:rsidP="007A39EB">
            <w:pPr>
              <w:pStyle w:val="Source"/>
            </w:pPr>
            <w:r>
              <w:rPr>
                <w:i/>
              </w:rPr>
              <w:t>S</w:t>
            </w:r>
            <w:r w:rsidRPr="00784A05">
              <w:rPr>
                <w:i/>
              </w:rPr>
              <w:t>ource</w:t>
            </w:r>
            <w:r w:rsidRPr="00176D3F">
              <w:t xml:space="preserve">: </w:t>
            </w:r>
            <w:r w:rsidRPr="00E50A89">
              <w:rPr>
                <w:rFonts w:cs="Arial"/>
                <w:szCs w:val="24"/>
              </w:rPr>
              <w:t>ASIC </w:t>
            </w:r>
            <w:r w:rsidRPr="003946EF">
              <w:rPr>
                <w:rFonts w:cs="Arial"/>
              </w:rPr>
              <w:t>(2020)</w:t>
            </w:r>
            <w:r>
              <w:rPr>
                <w:rFonts w:cs="Arial"/>
                <w:szCs w:val="24"/>
              </w:rPr>
              <w:t>.</w:t>
            </w:r>
          </w:p>
        </w:tc>
      </w:tr>
      <w:tr w:rsidR="00534098" w14:paraId="121E3EA2" w14:textId="77777777" w:rsidTr="007A39EB">
        <w:tc>
          <w:tcPr>
            <w:tcW w:w="5000" w:type="pct"/>
            <w:tcBorders>
              <w:top w:val="nil"/>
              <w:left w:val="nil"/>
              <w:bottom w:val="single" w:sz="6" w:space="0" w:color="78A22F"/>
              <w:right w:val="nil"/>
            </w:tcBorders>
            <w:shd w:val="clear" w:color="auto" w:fill="auto"/>
          </w:tcPr>
          <w:p w14:paraId="691CD4D8" w14:textId="77777777" w:rsidR="00534098" w:rsidRDefault="00534098" w:rsidP="007A39EB">
            <w:pPr>
              <w:pStyle w:val="Figurespace"/>
            </w:pPr>
          </w:p>
        </w:tc>
      </w:tr>
      <w:tr w:rsidR="00534098" w:rsidRPr="000863A5" w14:paraId="46900C83" w14:textId="77777777" w:rsidTr="007A39EB">
        <w:tc>
          <w:tcPr>
            <w:tcW w:w="5000" w:type="pct"/>
            <w:tcBorders>
              <w:top w:val="single" w:sz="6" w:space="0" w:color="78A22F"/>
              <w:left w:val="nil"/>
              <w:bottom w:val="nil"/>
              <w:right w:val="nil"/>
            </w:tcBorders>
          </w:tcPr>
          <w:p w14:paraId="2D55905D" w14:textId="70FD6A03" w:rsidR="00534098" w:rsidRPr="00626D32" w:rsidRDefault="00534098" w:rsidP="007A39EB">
            <w:pPr>
              <w:pStyle w:val="BoxSpaceBelow"/>
            </w:pPr>
          </w:p>
        </w:tc>
      </w:tr>
    </w:tbl>
    <w:p w14:paraId="1F3CD76E" w14:textId="77777777" w:rsidR="00534098" w:rsidRPr="00036BC3" w:rsidRDefault="00534098" w:rsidP="00534098">
      <w:pPr>
        <w:pStyle w:val="Heading3"/>
      </w:pPr>
      <w:r>
        <w:t>Factor income grew while production fell</w:t>
      </w:r>
    </w:p>
    <w:p w14:paraId="7C2168A1" w14:textId="77777777" w:rsidR="00534098" w:rsidRDefault="00534098" w:rsidP="00534098">
      <w:pPr>
        <w:pStyle w:val="BodyText"/>
      </w:pPr>
      <w:r>
        <w:t>One metric that demonstrates the magnitude of the Australian Government’s response to COVID</w:t>
      </w:r>
      <w:r>
        <w:noBreakHyphen/>
        <w:t>19 is the divergence between physical production and factor incomes (wages and profits). Usually during a recession, both physical production (GDP) and the income from production (‘total factor income’) fall, with capital income tending to fall more than wages. However, in 2019</w:t>
      </w:r>
      <w:r>
        <w:noBreakHyphen/>
        <w:t xml:space="preserve">20 both labour compensation and capital income grew while production fell (figure 15). And profits increased more than labour compensation. </w:t>
      </w:r>
    </w:p>
    <w:p w14:paraId="28B7E83E" w14:textId="77777777" w:rsidR="00534098" w:rsidRDefault="00534098" w:rsidP="00534098">
      <w:pPr>
        <w:pStyle w:val="BodyText"/>
      </w:pPr>
      <w:r>
        <w:t xml:space="preserve">Through the JobKeeper and Cashflow Booster programs, 8 per cent of factor income (wages plus capital income) was directly funded by the Australian Government in the final nine months of the 2020 calendar year (figure 16). And for some industries this figure was much higher: 30 per cent of the income generated in the </w:t>
      </w:r>
      <w:r w:rsidRPr="006A5496">
        <w:rPr>
          <w:i/>
          <w:iCs/>
        </w:rPr>
        <w:t>accommodation and food services</w:t>
      </w:r>
      <w:r>
        <w:t xml:space="preserve"> industry and 29 per cent of the income in </w:t>
      </w:r>
      <w:r w:rsidRPr="006A5496">
        <w:rPr>
          <w:i/>
          <w:iCs/>
        </w:rPr>
        <w:t>other services</w:t>
      </w:r>
      <w:r>
        <w:t xml:space="preserve"> came from the Australian Government. Generally, industries that were more affected by COVID</w:t>
      </w:r>
      <w:r>
        <w:noBreakHyphen/>
        <w:t>19 received more government assistance, though this is difficult to quantify.</w:t>
      </w:r>
      <w:r>
        <w:rPr>
          <w:rStyle w:val="FootnoteReference"/>
        </w:rPr>
        <w:footnoteReference w:id="8"/>
      </w:r>
      <w:r>
        <w:t xml:space="preserve"> </w:t>
      </w:r>
    </w:p>
    <w:p w14:paraId="325560D3" w14:textId="44D8F4B1"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F3FC231" w14:textId="77777777" w:rsidTr="007A39EB">
        <w:trPr>
          <w:tblHeader/>
        </w:trPr>
        <w:tc>
          <w:tcPr>
            <w:tcW w:w="5000" w:type="pct"/>
            <w:tcBorders>
              <w:top w:val="single" w:sz="6" w:space="0" w:color="78A22F"/>
              <w:left w:val="nil"/>
              <w:bottom w:val="nil"/>
              <w:right w:val="nil"/>
            </w:tcBorders>
            <w:shd w:val="clear" w:color="auto" w:fill="auto"/>
          </w:tcPr>
          <w:p w14:paraId="10705160" w14:textId="4A4C7B3C" w:rsidR="00534098" w:rsidRDefault="00534098" w:rsidP="007A39EB">
            <w:pPr>
              <w:pStyle w:val="FigureTitle"/>
            </w:pPr>
            <w:r w:rsidRPr="00784A05">
              <w:rPr>
                <w:b w:val="0"/>
              </w:rPr>
              <w:t xml:space="preserve">Figure </w:t>
            </w:r>
            <w:r>
              <w:rPr>
                <w:b w:val="0"/>
              </w:rPr>
              <w:t>15</w:t>
            </w:r>
            <w:r>
              <w:tab/>
              <w:t>Income rose while production fell …</w:t>
            </w:r>
          </w:p>
          <w:p w14:paraId="3FEE97BB" w14:textId="77777777" w:rsidR="00534098" w:rsidRPr="00176D3F" w:rsidRDefault="00534098" w:rsidP="007A39EB">
            <w:pPr>
              <w:pStyle w:val="Subtitle"/>
            </w:pPr>
            <w:r>
              <w:t>Real</w:t>
            </w:r>
            <w:r w:rsidRPr="006C7CA3">
              <w:rPr>
                <w:rStyle w:val="NoteLabel"/>
              </w:rPr>
              <w:t>a</w:t>
            </w:r>
            <w:r>
              <w:t xml:space="preserve"> growth in total factor income</w:t>
            </w:r>
            <w:r w:rsidRPr="006C7CA3">
              <w:rPr>
                <w:rStyle w:val="NoteLabel"/>
              </w:rPr>
              <w:t>b</w:t>
            </w:r>
            <w:r>
              <w:t xml:space="preserve"> and gross value add, labour compensation and capital income in the market sector in 2019</w:t>
            </w:r>
            <w:r>
              <w:noBreakHyphen/>
              <w:t>20</w:t>
            </w:r>
          </w:p>
        </w:tc>
      </w:tr>
      <w:tr w:rsidR="00534098" w14:paraId="4374BDE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68B75382" w14:textId="77777777" w:rsidTr="007A39EB">
              <w:trPr>
                <w:tblHeader/>
                <w:jc w:val="center"/>
              </w:trPr>
              <w:tc>
                <w:tcPr>
                  <w:tcW w:w="5000" w:type="pct"/>
                  <w:tcBorders>
                    <w:top w:val="nil"/>
                    <w:bottom w:val="nil"/>
                  </w:tcBorders>
                </w:tcPr>
                <w:p w14:paraId="0C09A2CD" w14:textId="77777777" w:rsidR="00534098" w:rsidRPr="00B1465D" w:rsidRDefault="00534098" w:rsidP="007A39EB">
                  <w:pPr>
                    <w:pStyle w:val="Figure"/>
                    <w:spacing w:before="60" w:after="60"/>
                    <w:rPr>
                      <w:rFonts w:ascii="Arial" w:hAnsi="Arial" w:cs="Arial"/>
                      <w:sz w:val="18"/>
                      <w:szCs w:val="18"/>
                    </w:rPr>
                  </w:pPr>
                  <w:r w:rsidRPr="00201017">
                    <w:rPr>
                      <w:noProof/>
                    </w:rPr>
                    <w:drawing>
                      <wp:inline distT="0" distB="0" distL="0" distR="0" wp14:anchorId="2FB4D49F" wp14:editId="474DB19A">
                        <wp:extent cx="5403850" cy="2876550"/>
                        <wp:effectExtent l="0" t="0" r="6350" b="0"/>
                        <wp:docPr id="36" name="Picture 36" descr="In this chart it can be seen that total factor income (wages plus capital income) grew despite GVA (physical production) falling. It can also be seen that labour compensation increased by a smaller amount than capi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 this chart it can be seen that total factor income (wages plus capital income) grew despite GVA (physical production) falling. It can also be seen that labour compensation increased by a smaller amount than capital inc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5C0B958A" w14:textId="77777777" w:rsidR="00534098" w:rsidRDefault="00534098" w:rsidP="007A39EB">
            <w:pPr>
              <w:pStyle w:val="Figure"/>
            </w:pPr>
          </w:p>
        </w:tc>
      </w:tr>
      <w:tr w:rsidR="00534098" w:rsidRPr="00176D3F" w14:paraId="0AB174E0" w14:textId="77777777" w:rsidTr="007A39EB">
        <w:tc>
          <w:tcPr>
            <w:tcW w:w="5000" w:type="pct"/>
            <w:tcBorders>
              <w:top w:val="nil"/>
              <w:left w:val="nil"/>
              <w:bottom w:val="nil"/>
              <w:right w:val="nil"/>
            </w:tcBorders>
            <w:shd w:val="clear" w:color="auto" w:fill="auto"/>
          </w:tcPr>
          <w:p w14:paraId="70A5260B" w14:textId="77777777" w:rsidR="00534098" w:rsidRPr="00176D3F" w:rsidRDefault="00534098" w:rsidP="007A39EB">
            <w:pPr>
              <w:pStyle w:val="Note"/>
            </w:pPr>
            <w:r>
              <w:rPr>
                <w:rStyle w:val="NoteLabel"/>
              </w:rPr>
              <w:t>a</w:t>
            </w:r>
            <w:r>
              <w:t xml:space="preserve"> Real means deflated by the implicit deflator for market sector gross value add. </w:t>
            </w:r>
            <w:r>
              <w:rPr>
                <w:rStyle w:val="NoteLabel"/>
              </w:rPr>
              <w:t>b</w:t>
            </w:r>
            <w:r>
              <w:t xml:space="preserve"> Total factor income is the sum of gross mixed income, profits and wages. It measures the income generated by Australian production.</w:t>
            </w:r>
          </w:p>
        </w:tc>
      </w:tr>
      <w:tr w:rsidR="00534098" w:rsidRPr="00176D3F" w14:paraId="4F7928EF" w14:textId="77777777" w:rsidTr="007A39EB">
        <w:tc>
          <w:tcPr>
            <w:tcW w:w="5000" w:type="pct"/>
            <w:tcBorders>
              <w:top w:val="nil"/>
              <w:left w:val="nil"/>
              <w:bottom w:val="nil"/>
              <w:right w:val="nil"/>
            </w:tcBorders>
            <w:shd w:val="clear" w:color="auto" w:fill="auto"/>
          </w:tcPr>
          <w:p w14:paraId="54DD7909" w14:textId="77777777" w:rsidR="00534098" w:rsidRPr="00176D3F" w:rsidRDefault="00534098" w:rsidP="007A39EB">
            <w:pPr>
              <w:pStyle w:val="Source"/>
            </w:pPr>
            <w:r>
              <w:rPr>
                <w:i/>
              </w:rPr>
              <w:t>S</w:t>
            </w:r>
            <w:r w:rsidRPr="00784A05">
              <w:rPr>
                <w:i/>
              </w:rPr>
              <w:t>ource</w:t>
            </w:r>
            <w:r w:rsidRPr="00176D3F">
              <w:t xml:space="preserve">: </w:t>
            </w:r>
            <w:r>
              <w:t>ABS (</w:t>
            </w:r>
            <w:r w:rsidRPr="006C7CA3">
              <w:rPr>
                <w:i/>
              </w:rPr>
              <w:t xml:space="preserve">Australian National Accounts: National Income, Expenditure and Product, </w:t>
            </w:r>
            <w:r>
              <w:rPr>
                <w:i/>
                <w:iCs/>
              </w:rPr>
              <w:t>September 2020</w:t>
            </w:r>
            <w:r>
              <w:t>, Cat. no. </w:t>
            </w:r>
            <w:r w:rsidRPr="00260C3D">
              <w:t>5206.0.</w:t>
            </w:r>
            <w:r>
              <w:t>, table 6).</w:t>
            </w:r>
          </w:p>
        </w:tc>
      </w:tr>
      <w:tr w:rsidR="00534098" w14:paraId="647C43A7" w14:textId="77777777" w:rsidTr="007A39EB">
        <w:tc>
          <w:tcPr>
            <w:tcW w:w="5000" w:type="pct"/>
            <w:tcBorders>
              <w:top w:val="nil"/>
              <w:left w:val="nil"/>
              <w:bottom w:val="single" w:sz="6" w:space="0" w:color="78A22F"/>
              <w:right w:val="nil"/>
            </w:tcBorders>
            <w:shd w:val="clear" w:color="auto" w:fill="auto"/>
          </w:tcPr>
          <w:p w14:paraId="76242A6B" w14:textId="77777777" w:rsidR="00534098" w:rsidRDefault="00534098" w:rsidP="007A39EB">
            <w:pPr>
              <w:pStyle w:val="Figurespace"/>
            </w:pPr>
          </w:p>
        </w:tc>
      </w:tr>
      <w:tr w:rsidR="00534098" w:rsidRPr="000863A5" w14:paraId="3BCA929E" w14:textId="77777777" w:rsidTr="007A39EB">
        <w:tc>
          <w:tcPr>
            <w:tcW w:w="5000" w:type="pct"/>
            <w:tcBorders>
              <w:top w:val="single" w:sz="6" w:space="0" w:color="78A22F"/>
              <w:left w:val="nil"/>
              <w:bottom w:val="nil"/>
              <w:right w:val="nil"/>
            </w:tcBorders>
          </w:tcPr>
          <w:p w14:paraId="0E3C5661" w14:textId="52301107" w:rsidR="00534098" w:rsidRPr="00626D32" w:rsidRDefault="00534098" w:rsidP="007A39EB">
            <w:pPr>
              <w:pStyle w:val="BoxSpaceBelow"/>
            </w:pPr>
          </w:p>
        </w:tc>
      </w:tr>
    </w:tbl>
    <w:p w14:paraId="656786E5" w14:textId="32C18656"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04CE7DD0" w14:textId="77777777" w:rsidTr="007A39EB">
        <w:trPr>
          <w:tblHeader/>
        </w:trPr>
        <w:tc>
          <w:tcPr>
            <w:tcW w:w="5000" w:type="pct"/>
            <w:tcBorders>
              <w:top w:val="single" w:sz="6" w:space="0" w:color="78A22F"/>
              <w:left w:val="nil"/>
              <w:bottom w:val="nil"/>
              <w:right w:val="nil"/>
            </w:tcBorders>
            <w:shd w:val="clear" w:color="auto" w:fill="auto"/>
          </w:tcPr>
          <w:p w14:paraId="4FAEF4AE" w14:textId="552367A8" w:rsidR="00534098" w:rsidRDefault="00534098" w:rsidP="007A39EB">
            <w:pPr>
              <w:pStyle w:val="FigureTitle"/>
            </w:pPr>
            <w:r w:rsidRPr="00784A05">
              <w:rPr>
                <w:b w:val="0"/>
              </w:rPr>
              <w:t xml:space="preserve">Figure </w:t>
            </w:r>
            <w:r>
              <w:rPr>
                <w:b w:val="0"/>
              </w:rPr>
              <w:t>16</w:t>
            </w:r>
            <w:r>
              <w:tab/>
              <w:t xml:space="preserve">… due to significant levels of government aid through ‘Jobkeeper’ and ‘Cashflow Booster’ </w:t>
            </w:r>
          </w:p>
          <w:p w14:paraId="05ED89DC" w14:textId="77777777" w:rsidR="00534098" w:rsidRPr="00176D3F" w:rsidRDefault="00534098" w:rsidP="007A39EB">
            <w:pPr>
              <w:pStyle w:val="Subtitle"/>
            </w:pPr>
            <w:r>
              <w:t>JobKeeper and Cashflow Booster payments to industry as a proportion of total factor income between April 2020 and December 2020</w:t>
            </w:r>
          </w:p>
        </w:tc>
      </w:tr>
      <w:tr w:rsidR="00534098" w14:paraId="7A3C2563" w14:textId="77777777" w:rsidTr="007A39EB">
        <w:tc>
          <w:tcPr>
            <w:tcW w:w="5000" w:type="pct"/>
            <w:tcBorders>
              <w:top w:val="nil"/>
              <w:left w:val="nil"/>
              <w:bottom w:val="nil"/>
              <w:right w:val="nil"/>
            </w:tcBorders>
            <w:shd w:val="clear" w:color="auto" w:fill="auto"/>
            <w:tcMar>
              <w:top w:w="28" w:type="dxa"/>
              <w:bottom w:w="28" w:type="dxa"/>
            </w:tcMar>
          </w:tcPr>
          <w:p w14:paraId="00BD5395" w14:textId="5545DCE6" w:rsidR="00534098" w:rsidRDefault="0066476E" w:rsidP="007A39EB">
            <w:pPr>
              <w:pStyle w:val="Figure"/>
            </w:pPr>
            <w:r>
              <w:rPr>
                <w:noProof/>
              </w:rPr>
              <w:drawing>
                <wp:inline distT="0" distB="0" distL="0" distR="0" wp14:anchorId="74385119" wp14:editId="1FD2C9E0">
                  <wp:extent cx="5580380" cy="5542915"/>
                  <wp:effectExtent l="0" t="0" r="1270" b="635"/>
                  <wp:docPr id="2" name="Graphic 2" descr="This figure shows the proportion of total factor income (wages plus capital income) that was funded by the JobKeeper and Cashflow Booster programs by industry. It can be seen that generally service industries heavily affected by COVID (such as accommodation and food services, and arts and recreation services) received the most government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is figure shows the proportion of total factor income (wages plus capital income) that was funded by the JobKeeper and Cashflow Booster programs by industry. It can be seen that generally service industries heavily affected by COVID (such as accommodation and food services, and arts and recreation services) received the most government assistance."/>
                          <pic:cNvPicPr/>
                        </pic:nvPicPr>
                        <pic:blipFill>
                          <a:blip r:embed="rId34">
                            <a:extLst>
                              <a:ext uri="{96DAC541-7B7A-43D3-8B79-37D633B846F1}">
                                <asvg:svgBlip xmlns:asvg="http://schemas.microsoft.com/office/drawing/2016/SVG/main" r:embed="rId35"/>
                              </a:ext>
                            </a:extLst>
                          </a:blip>
                          <a:stretch>
                            <a:fillRect/>
                          </a:stretch>
                        </pic:blipFill>
                        <pic:spPr>
                          <a:xfrm>
                            <a:off x="0" y="0"/>
                            <a:ext cx="5580380" cy="5542915"/>
                          </a:xfrm>
                          <a:prstGeom prst="rect">
                            <a:avLst/>
                          </a:prstGeom>
                        </pic:spPr>
                      </pic:pic>
                    </a:graphicData>
                  </a:graphic>
                </wp:inline>
              </w:drawing>
            </w:r>
          </w:p>
        </w:tc>
      </w:tr>
      <w:tr w:rsidR="00534098" w:rsidRPr="00176D3F" w14:paraId="0E4DBEA4" w14:textId="77777777" w:rsidTr="007A39EB">
        <w:tc>
          <w:tcPr>
            <w:tcW w:w="5000" w:type="pct"/>
            <w:tcBorders>
              <w:top w:val="nil"/>
              <w:left w:val="nil"/>
              <w:bottom w:val="nil"/>
              <w:right w:val="nil"/>
            </w:tcBorders>
            <w:shd w:val="clear" w:color="auto" w:fill="auto"/>
          </w:tcPr>
          <w:p w14:paraId="707331E3" w14:textId="77777777" w:rsidR="00534098" w:rsidRPr="00176D3F" w:rsidRDefault="00534098" w:rsidP="007A39EB">
            <w:pPr>
              <w:pStyle w:val="Source"/>
            </w:pPr>
            <w:r>
              <w:rPr>
                <w:i/>
              </w:rPr>
              <w:t>S</w:t>
            </w:r>
            <w:r w:rsidRPr="00784A05">
              <w:rPr>
                <w:i/>
              </w:rPr>
              <w:t>ource</w:t>
            </w:r>
            <w:r w:rsidRPr="00176D3F">
              <w:t xml:space="preserve">: </w:t>
            </w:r>
            <w:r>
              <w:t>Commission estimates using ABS (</w:t>
            </w:r>
            <w:r w:rsidRPr="00B8240F">
              <w:rPr>
                <w:i/>
                <w:iCs/>
              </w:rPr>
              <w:t xml:space="preserve">Australian National Accounts: National Income, Expenditure and Product, </w:t>
            </w:r>
            <w:r>
              <w:rPr>
                <w:i/>
                <w:iCs/>
              </w:rPr>
              <w:t>December 2020</w:t>
            </w:r>
            <w:r>
              <w:t>, Cat. no. </w:t>
            </w:r>
            <w:r w:rsidRPr="00260C3D">
              <w:t>5206.0.</w:t>
            </w:r>
            <w:r>
              <w:t>, tables 1, 45).</w:t>
            </w:r>
          </w:p>
        </w:tc>
      </w:tr>
      <w:tr w:rsidR="00534098" w14:paraId="60743AC7" w14:textId="77777777" w:rsidTr="007A39EB">
        <w:tc>
          <w:tcPr>
            <w:tcW w:w="5000" w:type="pct"/>
            <w:tcBorders>
              <w:top w:val="nil"/>
              <w:left w:val="nil"/>
              <w:bottom w:val="single" w:sz="6" w:space="0" w:color="78A22F"/>
              <w:right w:val="nil"/>
            </w:tcBorders>
            <w:shd w:val="clear" w:color="auto" w:fill="auto"/>
          </w:tcPr>
          <w:p w14:paraId="57973FB7" w14:textId="77777777" w:rsidR="00534098" w:rsidRDefault="00534098" w:rsidP="007A39EB">
            <w:pPr>
              <w:pStyle w:val="Figurespace"/>
            </w:pPr>
          </w:p>
        </w:tc>
      </w:tr>
      <w:tr w:rsidR="00534098" w:rsidRPr="000863A5" w14:paraId="1FCEE8C9" w14:textId="77777777" w:rsidTr="007A39EB">
        <w:tc>
          <w:tcPr>
            <w:tcW w:w="5000" w:type="pct"/>
            <w:tcBorders>
              <w:top w:val="single" w:sz="6" w:space="0" w:color="78A22F"/>
              <w:left w:val="nil"/>
              <w:bottom w:val="nil"/>
              <w:right w:val="nil"/>
            </w:tcBorders>
          </w:tcPr>
          <w:p w14:paraId="65FFC253" w14:textId="58817638" w:rsidR="00534098" w:rsidRPr="00626D32" w:rsidRDefault="00534098" w:rsidP="007A39EB">
            <w:pPr>
              <w:pStyle w:val="BoxSpaceBelow"/>
            </w:pPr>
          </w:p>
        </w:tc>
      </w:tr>
    </w:tbl>
    <w:p w14:paraId="5FC51972" w14:textId="77777777" w:rsidR="00534098" w:rsidRDefault="00534098" w:rsidP="00733510">
      <w:pPr>
        <w:pStyle w:val="Heading3"/>
        <w:spacing w:before="480"/>
      </w:pPr>
      <w:r>
        <w:t>Hard hit industries experienced the largest increases in hourly wages</w:t>
      </w:r>
    </w:p>
    <w:p w14:paraId="276E0D9F" w14:textId="2835F4E9" w:rsidR="00534098" w:rsidRPr="00733510" w:rsidRDefault="00534098" w:rsidP="00534098">
      <w:pPr>
        <w:pStyle w:val="BodyText"/>
        <w:rPr>
          <w:spacing w:val="-2"/>
        </w:rPr>
      </w:pPr>
      <w:r w:rsidRPr="00733510">
        <w:rPr>
          <w:spacing w:val="-2"/>
        </w:rPr>
        <w:t>One of the combined effects of COVID</w:t>
      </w:r>
      <w:r w:rsidRPr="00733510">
        <w:rPr>
          <w:spacing w:val="-2"/>
        </w:rPr>
        <w:noBreakHyphen/>
        <w:t>19 and the government assistance designed to mitigate its economic fallout was a large hourly wage increase for industries that had the largest falls in hours worked (figure 17). For example, despite being one of the hardest hit industries in 2019</w:t>
      </w:r>
      <w:r w:rsidRPr="00733510">
        <w:rPr>
          <w:spacing w:val="-2"/>
        </w:rPr>
        <w:noBreakHyphen/>
        <w:t xml:space="preserve">20, the hourly wage in the </w:t>
      </w:r>
      <w:r w:rsidRPr="00733510">
        <w:rPr>
          <w:i/>
          <w:iCs/>
          <w:spacing w:val="-2"/>
        </w:rPr>
        <w:t>arts and recreation</w:t>
      </w:r>
      <w:r w:rsidRPr="00733510">
        <w:rPr>
          <w:spacing w:val="-2"/>
        </w:rPr>
        <w:t xml:space="preserve"> industry increased over 10 per cent (its highest annual rate of increase on record) even though its total labour compensation (wages times hours worked) </w:t>
      </w:r>
      <w:r w:rsidR="0066476E" w:rsidRPr="00733510">
        <w:rPr>
          <w:spacing w:val="-2"/>
        </w:rPr>
        <w:t>increased slight (</w:t>
      </w:r>
      <w:r w:rsidR="001E0379" w:rsidRPr="00733510">
        <w:rPr>
          <w:spacing w:val="-2"/>
        </w:rPr>
        <w:t xml:space="preserve">1.8 </w:t>
      </w:r>
      <w:r w:rsidR="0066476E" w:rsidRPr="00733510">
        <w:rPr>
          <w:spacing w:val="-2"/>
        </w:rPr>
        <w:t xml:space="preserve"> per cent)</w:t>
      </w:r>
      <w:r w:rsidRPr="00733510">
        <w:rPr>
          <w:spacing w:val="-2"/>
        </w:rPr>
        <w:t xml:space="preserve">. In many cases, this outcome was driven by JobKeeper initially paying a fixed subsidy that was not proportional to the number of hours worked, so as revenues declined many firms chose to retain workers on JobKeeper at reduced hours but similar (and in some cases higher) total take home pay. </w:t>
      </w:r>
    </w:p>
    <w:p w14:paraId="440D531F" w14:textId="75C2DF8E"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20517E4" w14:textId="77777777" w:rsidTr="007A39EB">
        <w:trPr>
          <w:tblHeader/>
        </w:trPr>
        <w:tc>
          <w:tcPr>
            <w:tcW w:w="5000" w:type="pct"/>
            <w:tcBorders>
              <w:top w:val="single" w:sz="6" w:space="0" w:color="78A22F"/>
              <w:left w:val="nil"/>
              <w:bottom w:val="nil"/>
              <w:right w:val="nil"/>
            </w:tcBorders>
            <w:shd w:val="clear" w:color="auto" w:fill="auto"/>
          </w:tcPr>
          <w:p w14:paraId="4E3A953E" w14:textId="1C0A6077" w:rsidR="00534098" w:rsidRDefault="00534098" w:rsidP="007A39EB">
            <w:pPr>
              <w:pStyle w:val="FigureTitle"/>
            </w:pPr>
            <w:r w:rsidRPr="00784A05">
              <w:rPr>
                <w:b w:val="0"/>
              </w:rPr>
              <w:t xml:space="preserve">Figure </w:t>
            </w:r>
            <w:r>
              <w:rPr>
                <w:b w:val="0"/>
              </w:rPr>
              <w:t>17</w:t>
            </w:r>
            <w:r>
              <w:tab/>
              <w:t>Industries that shed the most labour in 2019</w:t>
            </w:r>
            <w:r>
              <w:noBreakHyphen/>
              <w:t xml:space="preserve">20 tended to </w:t>
            </w:r>
            <w:r w:rsidR="001E0379">
              <w:t>experience</w:t>
            </w:r>
            <w:r>
              <w:t xml:space="preserve"> the highest wage increases</w:t>
            </w:r>
          </w:p>
          <w:p w14:paraId="387C4237" w14:textId="77777777" w:rsidR="00534098" w:rsidRPr="00176D3F" w:rsidRDefault="00534098" w:rsidP="007A39EB">
            <w:pPr>
              <w:pStyle w:val="Subtitle"/>
            </w:pPr>
            <w:r>
              <w:t>Growth in total compensation and contributions from hours worked and wages per hour</w:t>
            </w:r>
            <w:r>
              <w:rPr>
                <w:rStyle w:val="NoteLabel"/>
              </w:rPr>
              <w:t>a</w:t>
            </w:r>
            <w:r>
              <w:t xml:space="preserve"> by market sector industries in 2019</w:t>
            </w:r>
            <w:r>
              <w:noBreakHyphen/>
              <w:t>20</w:t>
            </w:r>
          </w:p>
        </w:tc>
      </w:tr>
      <w:tr w:rsidR="00534098" w14:paraId="4CC77E08"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03ED15E8" w14:textId="77777777" w:rsidTr="007A39EB">
              <w:trPr>
                <w:tblHeader/>
                <w:jc w:val="center"/>
              </w:trPr>
              <w:tc>
                <w:tcPr>
                  <w:tcW w:w="5000" w:type="pct"/>
                  <w:tcBorders>
                    <w:top w:val="nil"/>
                    <w:bottom w:val="nil"/>
                  </w:tcBorders>
                </w:tcPr>
                <w:p w14:paraId="68724C7C" w14:textId="1B7433A0" w:rsidR="00534098" w:rsidRPr="00B1465D" w:rsidRDefault="00534098" w:rsidP="007A39EB">
                  <w:pPr>
                    <w:pStyle w:val="Figure"/>
                    <w:spacing w:before="60" w:after="60"/>
                    <w:rPr>
                      <w:rFonts w:ascii="Arial" w:hAnsi="Arial" w:cs="Arial"/>
                      <w:sz w:val="18"/>
                      <w:szCs w:val="18"/>
                    </w:rPr>
                  </w:pPr>
                  <w:r>
                    <w:rPr>
                      <w:noProof/>
                    </w:rPr>
                    <w:drawing>
                      <wp:inline distT="0" distB="0" distL="0" distR="0" wp14:anchorId="45D1000B" wp14:editId="7DFB71AC">
                        <wp:extent cx="5400675" cy="5400675"/>
                        <wp:effectExtent l="0" t="0" r="9525" b="9525"/>
                        <wp:docPr id="4" name="Graphic 4" descr="This figure shows the growth in hourly wages, growth in hours worked and growth in total labour compensation  by industry in 2019-20. It can be that generally industries that were hard hit by COVID-19 and so had large falls in hours worked also had the largest increases in hourly wage growth. This reflects that in many cases employees were receiving JobKeeper but had their hours reduced with little or no fall in their overall take home pay due to JobKeeper being paid at a fix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his figure shows the growth in hourly wages, growth in hours worked and growth in total labour compensation  by industry in 2019-20. It can be that generally industries that were hard hit by COVID-19 and so had large falls in hours worked also had the largest increases in hourly wage growth. This reflects that in many cases employees were receiving JobKeeper but had their hours reduced with little or no fall in their overall take home pay due to JobKeeper being paid at a fixed rate."/>
                                <pic:cNvPicPr/>
                              </pic:nvPicPr>
                              <pic:blipFill>
                                <a:blip r:embed="rId36">
                                  <a:extLst>
                                    <a:ext uri="{96DAC541-7B7A-43D3-8B79-37D633B846F1}">
                                      <asvg:svgBlip xmlns:asvg="http://schemas.microsoft.com/office/drawing/2016/SVG/main" r:embed="rId37"/>
                                    </a:ext>
                                  </a:extLst>
                                </a:blip>
                                <a:stretch>
                                  <a:fillRect/>
                                </a:stretch>
                              </pic:blipFill>
                              <pic:spPr>
                                <a:xfrm>
                                  <a:off x="0" y="0"/>
                                  <a:ext cx="5400675" cy="5400675"/>
                                </a:xfrm>
                                <a:prstGeom prst="rect">
                                  <a:avLst/>
                                </a:prstGeom>
                              </pic:spPr>
                            </pic:pic>
                          </a:graphicData>
                        </a:graphic>
                      </wp:inline>
                    </w:drawing>
                  </w:r>
                </w:p>
              </w:tc>
            </w:tr>
          </w:tbl>
          <w:p w14:paraId="396E0520" w14:textId="77777777" w:rsidR="00534098" w:rsidRDefault="00534098" w:rsidP="007A39EB">
            <w:pPr>
              <w:pStyle w:val="Figure"/>
            </w:pPr>
          </w:p>
        </w:tc>
      </w:tr>
      <w:tr w:rsidR="00534098" w:rsidRPr="00176D3F" w14:paraId="18773244" w14:textId="77777777" w:rsidTr="007A39EB">
        <w:tc>
          <w:tcPr>
            <w:tcW w:w="5000" w:type="pct"/>
            <w:tcBorders>
              <w:top w:val="nil"/>
              <w:left w:val="nil"/>
              <w:bottom w:val="nil"/>
              <w:right w:val="nil"/>
            </w:tcBorders>
            <w:shd w:val="clear" w:color="auto" w:fill="auto"/>
          </w:tcPr>
          <w:p w14:paraId="1C3AD7D8" w14:textId="53ED36FF" w:rsidR="00534098" w:rsidRPr="00784A05" w:rsidRDefault="00534098" w:rsidP="007A39EB">
            <w:pPr>
              <w:pStyle w:val="Source"/>
              <w:rPr>
                <w:i/>
              </w:rPr>
            </w:pPr>
            <w:r w:rsidRPr="00E02DEF">
              <w:rPr>
                <w:rStyle w:val="NoteLabel"/>
                <w:sz w:val="28"/>
                <w:szCs w:val="32"/>
                <w:vertAlign w:val="superscript"/>
              </w:rPr>
              <w:t>a</w:t>
            </w:r>
            <w:r>
              <w:rPr>
                <w:rStyle w:val="NoteLabel"/>
                <w:sz w:val="28"/>
                <w:szCs w:val="32"/>
                <w:vertAlign w:val="superscript"/>
              </w:rPr>
              <w:t xml:space="preserve"> </w:t>
            </w:r>
            <w:r>
              <w:rPr>
                <w:rStyle w:val="NoteLabel"/>
                <w:b w:val="0"/>
                <w:bCs/>
              </w:rPr>
              <w:t xml:space="preserve">Compensation is the labour share of total </w:t>
            </w:r>
            <w:r w:rsidRPr="00387984">
              <w:rPr>
                <w:rStyle w:val="NoteLabel"/>
                <w:b w:val="0"/>
              </w:rPr>
              <w:t>factor</w:t>
            </w:r>
            <w:r>
              <w:rPr>
                <w:rStyle w:val="NoteLabel"/>
                <w:b w:val="0"/>
                <w:bCs/>
              </w:rPr>
              <w:t xml:space="preserve"> income deflated by the </w:t>
            </w:r>
            <w:r w:rsidRPr="00E50A89">
              <w:rPr>
                <w:rStyle w:val="NoteLabel"/>
                <w:b w:val="0"/>
                <w:bCs/>
              </w:rPr>
              <w:t>c</w:t>
            </w:r>
            <w:r>
              <w:rPr>
                <w:rStyle w:val="NoteLabel"/>
                <w:b w:val="0"/>
                <w:bCs/>
              </w:rPr>
              <w:t>onsumer price index (CPI).</w:t>
            </w:r>
          </w:p>
        </w:tc>
      </w:tr>
      <w:tr w:rsidR="00534098" w:rsidRPr="00176D3F" w14:paraId="5FAADF1E" w14:textId="77777777" w:rsidTr="007A39EB">
        <w:tc>
          <w:tcPr>
            <w:tcW w:w="5000" w:type="pct"/>
            <w:tcBorders>
              <w:top w:val="nil"/>
              <w:left w:val="nil"/>
              <w:bottom w:val="nil"/>
              <w:right w:val="nil"/>
            </w:tcBorders>
            <w:shd w:val="clear" w:color="auto" w:fill="auto"/>
          </w:tcPr>
          <w:p w14:paraId="2FD02868" w14:textId="77777777" w:rsidR="00534098" w:rsidRPr="00733510" w:rsidRDefault="00534098" w:rsidP="007A39EB">
            <w:pPr>
              <w:pStyle w:val="Source"/>
              <w:rPr>
                <w:spacing w:val="-4"/>
              </w:rPr>
            </w:pPr>
            <w:r w:rsidRPr="00733510">
              <w:rPr>
                <w:i/>
                <w:spacing w:val="-4"/>
              </w:rPr>
              <w:t>Sources</w:t>
            </w:r>
            <w:r w:rsidRPr="00733510">
              <w:rPr>
                <w:spacing w:val="-4"/>
              </w:rPr>
              <w:t>: Commission estimates using ABS (</w:t>
            </w:r>
            <w:r w:rsidRPr="00733510">
              <w:rPr>
                <w:i/>
                <w:iCs/>
                <w:spacing w:val="-4"/>
              </w:rPr>
              <w:t>Australian System of National Accounts, 2019</w:t>
            </w:r>
            <w:r w:rsidRPr="00733510">
              <w:rPr>
                <w:i/>
                <w:iCs/>
                <w:spacing w:val="-4"/>
              </w:rPr>
              <w:noBreakHyphen/>
              <w:t>20</w:t>
            </w:r>
            <w:r w:rsidRPr="00733510">
              <w:rPr>
                <w:spacing w:val="-4"/>
              </w:rPr>
              <w:t xml:space="preserve">, Cat. no. 5204.0., table 46 and </w:t>
            </w:r>
            <w:r w:rsidRPr="00733510">
              <w:rPr>
                <w:i/>
                <w:iCs/>
                <w:spacing w:val="-4"/>
              </w:rPr>
              <w:t>Estimates of Industry Multifactor Productivity, 2019</w:t>
            </w:r>
            <w:r w:rsidRPr="00733510">
              <w:rPr>
                <w:i/>
                <w:iCs/>
                <w:spacing w:val="-4"/>
              </w:rPr>
              <w:noBreakHyphen/>
              <w:t>20</w:t>
            </w:r>
            <w:r w:rsidRPr="00733510">
              <w:rPr>
                <w:spacing w:val="-4"/>
              </w:rPr>
              <w:t xml:space="preserve">, Cat. no. 5260.0.55.002., table 14 and </w:t>
            </w:r>
            <w:r w:rsidRPr="00733510">
              <w:rPr>
                <w:i/>
                <w:iCs/>
                <w:spacing w:val="-4"/>
              </w:rPr>
              <w:t>Consumer Price Index, December 2020</w:t>
            </w:r>
            <w:r w:rsidRPr="00733510">
              <w:rPr>
                <w:spacing w:val="-4"/>
              </w:rPr>
              <w:t xml:space="preserve">, Cat. no. 6401.0, table 1 and </w:t>
            </w:r>
            <w:r w:rsidRPr="00733510">
              <w:rPr>
                <w:i/>
                <w:spacing w:val="-4"/>
              </w:rPr>
              <w:t>Labour Account Australia, September 2020</w:t>
            </w:r>
            <w:r w:rsidRPr="00733510">
              <w:rPr>
                <w:spacing w:val="-4"/>
              </w:rPr>
              <w:t>, Cat. no. 6150.0.55.003, tables 1</w:t>
            </w:r>
            <w:r w:rsidRPr="00733510">
              <w:rPr>
                <w:spacing w:val="-4"/>
              </w:rPr>
              <w:noBreakHyphen/>
              <w:t>19).</w:t>
            </w:r>
          </w:p>
        </w:tc>
      </w:tr>
      <w:tr w:rsidR="00534098" w14:paraId="2A911978" w14:textId="77777777" w:rsidTr="007A39EB">
        <w:tc>
          <w:tcPr>
            <w:tcW w:w="5000" w:type="pct"/>
            <w:tcBorders>
              <w:top w:val="nil"/>
              <w:left w:val="nil"/>
              <w:bottom w:val="single" w:sz="6" w:space="0" w:color="78A22F"/>
              <w:right w:val="nil"/>
            </w:tcBorders>
            <w:shd w:val="clear" w:color="auto" w:fill="auto"/>
          </w:tcPr>
          <w:p w14:paraId="393E6AB9" w14:textId="77777777" w:rsidR="00534098" w:rsidRDefault="00534098" w:rsidP="007A39EB">
            <w:pPr>
              <w:pStyle w:val="Figurespace"/>
            </w:pPr>
          </w:p>
        </w:tc>
      </w:tr>
      <w:tr w:rsidR="00534098" w:rsidRPr="000863A5" w14:paraId="387656D8" w14:textId="77777777" w:rsidTr="007A39EB">
        <w:tc>
          <w:tcPr>
            <w:tcW w:w="5000" w:type="pct"/>
            <w:tcBorders>
              <w:top w:val="single" w:sz="6" w:space="0" w:color="78A22F"/>
              <w:left w:val="nil"/>
              <w:bottom w:val="nil"/>
              <w:right w:val="nil"/>
            </w:tcBorders>
          </w:tcPr>
          <w:p w14:paraId="1B8AD767" w14:textId="50072E3D" w:rsidR="00534098" w:rsidRPr="00626D32" w:rsidRDefault="00534098" w:rsidP="007A39EB">
            <w:pPr>
              <w:pStyle w:val="BoxSpaceBelow"/>
            </w:pPr>
          </w:p>
        </w:tc>
      </w:tr>
    </w:tbl>
    <w:p w14:paraId="2EEE80CD" w14:textId="3B2881DA" w:rsidR="00534098" w:rsidRDefault="00534098" w:rsidP="00534098">
      <w:pPr>
        <w:pStyle w:val="BodyText"/>
      </w:pPr>
      <w:r>
        <w:t xml:space="preserve">Further evidence of the effect of JobKeeper on hourly wages can be seen in figure 18, where wage growth per hour measured by the wage price index (which includes, among other things, JobKeeper payments </w:t>
      </w:r>
      <w:r w:rsidRPr="00BD3F9D">
        <w:rPr>
          <w:szCs w:val="24"/>
        </w:rPr>
        <w:t>(ABS 2020g)</w:t>
      </w:r>
      <w:r>
        <w:t>) grew slower than wage growth per hour measured by total factor income multiplied by the labour share of income in some of the industries hardest hit by COVID</w:t>
      </w:r>
      <w:r>
        <w:noBreakHyphen/>
        <w:t xml:space="preserve">19, such as </w:t>
      </w:r>
      <w:r>
        <w:rPr>
          <w:i/>
          <w:iCs/>
        </w:rPr>
        <w:t>arts and recreation</w:t>
      </w:r>
      <w:r>
        <w:t xml:space="preserve">; </w:t>
      </w:r>
      <w:r w:rsidRPr="002563DC">
        <w:rPr>
          <w:i/>
          <w:iCs/>
        </w:rPr>
        <w:t>transport, postal and warehousing</w:t>
      </w:r>
      <w:r>
        <w:t xml:space="preserve">; and </w:t>
      </w:r>
      <w:r w:rsidRPr="002563DC">
        <w:rPr>
          <w:i/>
          <w:iCs/>
        </w:rPr>
        <w:t>accommodation and food services</w:t>
      </w:r>
      <w:r>
        <w:t>.</w:t>
      </w:r>
    </w:p>
    <w:p w14:paraId="0ECFF445" w14:textId="3E85CA7A"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BF275DA" w14:textId="77777777" w:rsidTr="007A39EB">
        <w:trPr>
          <w:tblHeader/>
        </w:trPr>
        <w:tc>
          <w:tcPr>
            <w:tcW w:w="5000" w:type="pct"/>
            <w:tcBorders>
              <w:top w:val="single" w:sz="6" w:space="0" w:color="78A22F"/>
              <w:left w:val="nil"/>
              <w:bottom w:val="nil"/>
              <w:right w:val="nil"/>
            </w:tcBorders>
            <w:shd w:val="clear" w:color="auto" w:fill="auto"/>
          </w:tcPr>
          <w:p w14:paraId="5ADAAC98" w14:textId="7FB16C2F" w:rsidR="00534098" w:rsidRDefault="00534098" w:rsidP="007A39EB">
            <w:pPr>
              <w:pStyle w:val="FigureTitle"/>
            </w:pPr>
            <w:r w:rsidRPr="00784A05">
              <w:rPr>
                <w:b w:val="0"/>
              </w:rPr>
              <w:t xml:space="preserve">Figure </w:t>
            </w:r>
            <w:r>
              <w:rPr>
                <w:b w:val="0"/>
              </w:rPr>
              <w:t>18</w:t>
            </w:r>
            <w:r>
              <w:tab/>
              <w:t>COVID</w:t>
            </w:r>
            <w:r>
              <w:noBreakHyphen/>
              <w:t>19 and JobKeeper meant broad and narrow definitions of wage growth did not align</w:t>
            </w:r>
          </w:p>
          <w:p w14:paraId="121C1F89" w14:textId="77777777" w:rsidR="00534098" w:rsidRPr="00176D3F" w:rsidRDefault="00534098" w:rsidP="007A39EB">
            <w:pPr>
              <w:pStyle w:val="Subtitle"/>
            </w:pPr>
            <w:r>
              <w:t>Wages</w:t>
            </w:r>
            <w:r>
              <w:rPr>
                <w:rStyle w:val="NoteLabel"/>
              </w:rPr>
              <w:t>a</w:t>
            </w:r>
            <w:r>
              <w:t xml:space="preserve"> per hour worked and wage price index growth by market sector industries</w:t>
            </w:r>
            <w:r>
              <w:rPr>
                <w:rStyle w:val="NoteLabel"/>
              </w:rPr>
              <w:t>b</w:t>
            </w:r>
            <w:r>
              <w:t xml:space="preserve"> in 2019</w:t>
            </w:r>
            <w:r>
              <w:noBreakHyphen/>
              <w:t>20</w:t>
            </w:r>
          </w:p>
        </w:tc>
      </w:tr>
      <w:tr w:rsidR="00534098" w14:paraId="2B1D5FAD"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3BA0DB96" w14:textId="77777777" w:rsidTr="007A39EB">
              <w:trPr>
                <w:tblHeader/>
                <w:jc w:val="center"/>
              </w:trPr>
              <w:tc>
                <w:tcPr>
                  <w:tcW w:w="5000" w:type="pct"/>
                  <w:tcBorders>
                    <w:top w:val="nil"/>
                    <w:bottom w:val="nil"/>
                  </w:tcBorders>
                </w:tcPr>
                <w:p w14:paraId="7FA0170A" w14:textId="77777777" w:rsidR="00534098" w:rsidRPr="00B1465D" w:rsidRDefault="00534098" w:rsidP="007A39EB">
                  <w:pPr>
                    <w:pStyle w:val="Figure"/>
                    <w:spacing w:before="60" w:after="60"/>
                    <w:rPr>
                      <w:rFonts w:ascii="Arial" w:hAnsi="Arial" w:cs="Arial"/>
                      <w:sz w:val="18"/>
                      <w:szCs w:val="18"/>
                    </w:rPr>
                  </w:pPr>
                  <w:r>
                    <w:rPr>
                      <w:noProof/>
                    </w:rPr>
                    <w:t xml:space="preserve"> </w:t>
                  </w:r>
                  <w:r>
                    <w:rPr>
                      <w:noProof/>
                    </w:rPr>
                    <w:drawing>
                      <wp:inline distT="0" distB="0" distL="0" distR="0" wp14:anchorId="3244BEDC" wp14:editId="125ABCA4">
                        <wp:extent cx="5400675" cy="4676775"/>
                        <wp:effectExtent l="0" t="0" r="9525" b="9525"/>
                        <wp:docPr id="1" name="Graphic 1" descr="This figure displays a broad measure of hourly wage growth and wage price index growth by industry in 2019-20. Generally industries such as retail and arts and recreation that received the most JobKeeper had the largest difference between growth in hourly wages and growth in the wage price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is figure displays a broad measure of hourly wage growth and wage price index growth by industry in 2019-20. Generally industries such as retail and arts and recreation that received the most JobKeeper had the largest difference between growth in hourly wages and growth in the wage price index. "/>
                                <pic:cNvPicPr/>
                              </pic:nvPicPr>
                              <pic:blipFill>
                                <a:blip r:embed="rId38">
                                  <a:extLst>
                                    <a:ext uri="{96DAC541-7B7A-43D3-8B79-37D633B846F1}">
                                      <asvg:svgBlip xmlns:asvg="http://schemas.microsoft.com/office/drawing/2016/SVG/main" r:embed="rId39"/>
                                    </a:ext>
                                  </a:extLst>
                                </a:blip>
                                <a:stretch>
                                  <a:fillRect/>
                                </a:stretch>
                              </pic:blipFill>
                              <pic:spPr>
                                <a:xfrm>
                                  <a:off x="0" y="0"/>
                                  <a:ext cx="5400675" cy="4676775"/>
                                </a:xfrm>
                                <a:prstGeom prst="rect">
                                  <a:avLst/>
                                </a:prstGeom>
                              </pic:spPr>
                            </pic:pic>
                          </a:graphicData>
                        </a:graphic>
                      </wp:inline>
                    </w:drawing>
                  </w:r>
                </w:p>
              </w:tc>
            </w:tr>
          </w:tbl>
          <w:p w14:paraId="2514D433" w14:textId="77777777" w:rsidR="00534098" w:rsidRDefault="00534098" w:rsidP="007A39EB">
            <w:pPr>
              <w:pStyle w:val="Figure"/>
            </w:pPr>
          </w:p>
        </w:tc>
      </w:tr>
      <w:tr w:rsidR="00534098" w:rsidRPr="00176D3F" w14:paraId="2207CB4E" w14:textId="77777777" w:rsidTr="007A39EB">
        <w:tc>
          <w:tcPr>
            <w:tcW w:w="5000" w:type="pct"/>
            <w:tcBorders>
              <w:top w:val="nil"/>
              <w:left w:val="nil"/>
              <w:bottom w:val="nil"/>
              <w:right w:val="nil"/>
            </w:tcBorders>
            <w:shd w:val="clear" w:color="auto" w:fill="auto"/>
          </w:tcPr>
          <w:p w14:paraId="20EC3DB3" w14:textId="77777777" w:rsidR="00534098" w:rsidRPr="0014195A" w:rsidRDefault="00534098" w:rsidP="007A39EB">
            <w:pPr>
              <w:pStyle w:val="Note"/>
              <w:rPr>
                <w:b/>
                <w:position w:val="6"/>
                <w:sz w:val="28"/>
                <w:szCs w:val="32"/>
                <w:vertAlign w:val="superscript"/>
              </w:rPr>
            </w:pPr>
            <w:r w:rsidRPr="00E02DEF">
              <w:rPr>
                <w:rStyle w:val="NoteLabel"/>
                <w:sz w:val="28"/>
                <w:szCs w:val="32"/>
                <w:vertAlign w:val="superscript"/>
              </w:rPr>
              <w:t>a</w:t>
            </w:r>
            <w:r>
              <w:rPr>
                <w:rStyle w:val="NoteLabel"/>
                <w:sz w:val="28"/>
                <w:szCs w:val="32"/>
                <w:vertAlign w:val="superscript"/>
              </w:rPr>
              <w:t xml:space="preserve"> </w:t>
            </w:r>
            <w:r>
              <w:rPr>
                <w:rStyle w:val="NoteLabel"/>
                <w:b w:val="0"/>
                <w:bCs/>
              </w:rPr>
              <w:t>W</w:t>
            </w:r>
            <w:r w:rsidRPr="00CB42BF">
              <w:rPr>
                <w:rStyle w:val="NoteLabel"/>
                <w:b w:val="0"/>
                <w:bCs/>
              </w:rPr>
              <w:t>ages</w:t>
            </w:r>
            <w:r>
              <w:rPr>
                <w:rStyle w:val="NoteLabel"/>
                <w:bCs/>
              </w:rPr>
              <w:t xml:space="preserve"> </w:t>
            </w:r>
            <w:r w:rsidRPr="0014195A">
              <w:rPr>
                <w:rStyle w:val="NoteLabel"/>
              </w:rPr>
              <w:t xml:space="preserve">per hour </w:t>
            </w:r>
            <w:r w:rsidRPr="00CB42BF">
              <w:rPr>
                <w:rStyle w:val="NoteLabel"/>
                <w:b w:val="0"/>
                <w:bCs/>
              </w:rPr>
              <w:t>are</w:t>
            </w:r>
            <w:r>
              <w:rPr>
                <w:rStyle w:val="NoteLabel"/>
                <w:bCs/>
              </w:rPr>
              <w:t xml:space="preserve"> </w:t>
            </w:r>
            <w:r>
              <w:rPr>
                <w:rStyle w:val="NoteLabel"/>
                <w:b w:val="0"/>
                <w:bCs/>
              </w:rPr>
              <w:t xml:space="preserve">the labour share of total </w:t>
            </w:r>
            <w:r w:rsidRPr="00642A33">
              <w:rPr>
                <w:rStyle w:val="NoteLabel"/>
                <w:b w:val="0"/>
                <w:bCs/>
              </w:rPr>
              <w:t>f</w:t>
            </w:r>
            <w:r w:rsidRPr="00F039FA">
              <w:rPr>
                <w:rStyle w:val="NoteLabel"/>
                <w:b w:val="0"/>
                <w:bCs/>
              </w:rPr>
              <w:t>actor</w:t>
            </w:r>
            <w:r>
              <w:rPr>
                <w:rStyle w:val="NoteLabel"/>
                <w:bCs/>
              </w:rPr>
              <w:t xml:space="preserve"> </w:t>
            </w:r>
            <w:r>
              <w:rPr>
                <w:rStyle w:val="NoteLabel"/>
                <w:b w:val="0"/>
                <w:bCs/>
              </w:rPr>
              <w:t xml:space="preserve">income </w:t>
            </w:r>
            <w:r>
              <w:rPr>
                <w:rStyle w:val="NoteLabel"/>
                <w:sz w:val="28"/>
                <w:szCs w:val="32"/>
                <w:vertAlign w:val="superscript"/>
              </w:rPr>
              <w:t>b</w:t>
            </w:r>
            <w:r>
              <w:rPr>
                <w:rStyle w:val="NoteLabel"/>
                <w:b w:val="0"/>
                <w:bCs/>
              </w:rPr>
              <w:t xml:space="preserve"> All industries includes non-market industries for the wage price index but does not include agriculture, forestry and fishing, for the </w:t>
            </w:r>
            <w:r w:rsidRPr="0014195A">
              <w:rPr>
                <w:rStyle w:val="NoteLabel"/>
              </w:rPr>
              <w:t>broader</w:t>
            </w:r>
            <w:r>
              <w:rPr>
                <w:rStyle w:val="NoteLabel"/>
                <w:b w:val="0"/>
                <w:bCs/>
              </w:rPr>
              <w:t xml:space="preserve"> wages per hour measure, all industries only refers to market sector industries. </w:t>
            </w:r>
          </w:p>
        </w:tc>
      </w:tr>
      <w:tr w:rsidR="00534098" w:rsidRPr="00176D3F" w14:paraId="00BA0B99" w14:textId="77777777" w:rsidTr="007A39EB">
        <w:tc>
          <w:tcPr>
            <w:tcW w:w="5000" w:type="pct"/>
            <w:tcBorders>
              <w:top w:val="nil"/>
              <w:left w:val="nil"/>
              <w:bottom w:val="nil"/>
              <w:right w:val="nil"/>
            </w:tcBorders>
            <w:shd w:val="clear" w:color="auto" w:fill="auto"/>
          </w:tcPr>
          <w:p w14:paraId="200F298F" w14:textId="77777777" w:rsidR="00534098" w:rsidRPr="00733510" w:rsidRDefault="00534098" w:rsidP="007A39EB">
            <w:pPr>
              <w:pStyle w:val="Source"/>
              <w:rPr>
                <w:spacing w:val="-4"/>
              </w:rPr>
            </w:pPr>
            <w:r w:rsidRPr="00733510">
              <w:rPr>
                <w:i/>
                <w:spacing w:val="-4"/>
              </w:rPr>
              <w:t>Sources</w:t>
            </w:r>
            <w:r w:rsidRPr="00733510">
              <w:rPr>
                <w:spacing w:val="-4"/>
              </w:rPr>
              <w:t>: Commission estimates using ABS (</w:t>
            </w:r>
            <w:r w:rsidRPr="00733510">
              <w:rPr>
                <w:i/>
                <w:iCs/>
                <w:spacing w:val="-4"/>
              </w:rPr>
              <w:t>Australian System of National Accounts, 2019</w:t>
            </w:r>
            <w:r w:rsidRPr="00733510">
              <w:rPr>
                <w:i/>
                <w:iCs/>
                <w:spacing w:val="-4"/>
              </w:rPr>
              <w:noBreakHyphen/>
              <w:t>20</w:t>
            </w:r>
            <w:r w:rsidRPr="00733510">
              <w:rPr>
                <w:spacing w:val="-4"/>
              </w:rPr>
              <w:t xml:space="preserve">, Cat. no. 5204.0., table 46 and </w:t>
            </w:r>
            <w:r w:rsidRPr="00733510">
              <w:rPr>
                <w:i/>
                <w:iCs/>
                <w:spacing w:val="-4"/>
              </w:rPr>
              <w:t>Estimates of Industry Multifactor Productivity, 2019</w:t>
            </w:r>
            <w:r w:rsidRPr="00733510">
              <w:rPr>
                <w:i/>
                <w:iCs/>
                <w:spacing w:val="-4"/>
              </w:rPr>
              <w:noBreakHyphen/>
              <w:t>20</w:t>
            </w:r>
            <w:r w:rsidRPr="00733510">
              <w:rPr>
                <w:spacing w:val="-4"/>
              </w:rPr>
              <w:t xml:space="preserve">, Cat. no. 5260.0.55.002., table 14 and </w:t>
            </w:r>
            <w:r w:rsidRPr="00733510">
              <w:rPr>
                <w:i/>
                <w:iCs/>
                <w:spacing w:val="-4"/>
              </w:rPr>
              <w:t>Wage Price Index, December 2020</w:t>
            </w:r>
            <w:r w:rsidRPr="00733510">
              <w:rPr>
                <w:spacing w:val="-4"/>
              </w:rPr>
              <w:t xml:space="preserve">, Cat. no. 6345.0, table 5a and </w:t>
            </w:r>
            <w:r w:rsidRPr="00733510">
              <w:rPr>
                <w:i/>
                <w:spacing w:val="-4"/>
              </w:rPr>
              <w:t>Labour Account Australia, September 2020</w:t>
            </w:r>
            <w:r w:rsidRPr="00733510">
              <w:rPr>
                <w:spacing w:val="-4"/>
              </w:rPr>
              <w:t>, Cat. no. 6150.0.55.003, tables 1</w:t>
            </w:r>
            <w:r w:rsidRPr="00733510">
              <w:rPr>
                <w:spacing w:val="-4"/>
              </w:rPr>
              <w:noBreakHyphen/>
              <w:t>19).</w:t>
            </w:r>
          </w:p>
        </w:tc>
      </w:tr>
      <w:tr w:rsidR="00534098" w14:paraId="63EF9BE9" w14:textId="77777777" w:rsidTr="007A39EB">
        <w:tc>
          <w:tcPr>
            <w:tcW w:w="5000" w:type="pct"/>
            <w:tcBorders>
              <w:top w:val="nil"/>
              <w:left w:val="nil"/>
              <w:bottom w:val="single" w:sz="6" w:space="0" w:color="78A22F"/>
              <w:right w:val="nil"/>
            </w:tcBorders>
            <w:shd w:val="clear" w:color="auto" w:fill="auto"/>
          </w:tcPr>
          <w:p w14:paraId="7C5BAC58" w14:textId="77777777" w:rsidR="00534098" w:rsidRDefault="00534098" w:rsidP="007A39EB">
            <w:pPr>
              <w:pStyle w:val="Figurespace"/>
            </w:pPr>
          </w:p>
        </w:tc>
      </w:tr>
      <w:tr w:rsidR="00534098" w:rsidRPr="000863A5" w14:paraId="17FE213C" w14:textId="77777777" w:rsidTr="007A39EB">
        <w:tc>
          <w:tcPr>
            <w:tcW w:w="5000" w:type="pct"/>
            <w:tcBorders>
              <w:top w:val="single" w:sz="6" w:space="0" w:color="78A22F"/>
              <w:left w:val="nil"/>
              <w:bottom w:val="nil"/>
              <w:right w:val="nil"/>
            </w:tcBorders>
          </w:tcPr>
          <w:p w14:paraId="7A3D2D41" w14:textId="2DB58EE0" w:rsidR="00534098" w:rsidRPr="00626D32" w:rsidRDefault="00534098" w:rsidP="007A39EB">
            <w:pPr>
              <w:pStyle w:val="BoxSpaceBelow"/>
            </w:pPr>
          </w:p>
        </w:tc>
      </w:tr>
    </w:tbl>
    <w:p w14:paraId="0B4DAFC6" w14:textId="0AD09A05" w:rsidR="00534098" w:rsidRPr="00F20B29" w:rsidRDefault="00534098" w:rsidP="00534098">
      <w:pPr>
        <w:pStyle w:val="Heading2"/>
      </w:pPr>
      <w:bookmarkStart w:id="13" w:name="_Toc74138578"/>
      <w:r>
        <w:t>2</w:t>
      </w:r>
      <w:r>
        <w:tab/>
        <w:t>Industry</w:t>
      </w:r>
      <w:r>
        <w:noBreakHyphen/>
        <w:t>level productivity performance</w:t>
      </w:r>
      <w:bookmarkEnd w:id="13"/>
    </w:p>
    <w:p w14:paraId="3E5D0284" w14:textId="77777777" w:rsidR="00534098" w:rsidRPr="00733510" w:rsidRDefault="00534098" w:rsidP="00534098">
      <w:pPr>
        <w:pStyle w:val="BodyText"/>
        <w:rPr>
          <w:spacing w:val="-2"/>
        </w:rPr>
      </w:pPr>
      <w:r w:rsidRPr="00733510">
        <w:rPr>
          <w:spacing w:val="-2"/>
        </w:rPr>
        <w:t>Although labour productivity rose across the market sector in 2019</w:t>
      </w:r>
      <w:r w:rsidRPr="00733510">
        <w:rPr>
          <w:spacing w:val="-2"/>
        </w:rPr>
        <w:noBreakHyphen/>
        <w:t xml:space="preserve">20, outcomes varied significantly by industry (figure 19). Six out of the sixteen market sector industries increased their labour productivity, with the largest increase occurring in </w:t>
      </w:r>
      <w:r w:rsidRPr="00733510">
        <w:rPr>
          <w:i/>
          <w:iCs/>
          <w:spacing w:val="-2"/>
        </w:rPr>
        <w:t>arts and recreation</w:t>
      </w:r>
      <w:r w:rsidRPr="00733510">
        <w:rPr>
          <w:spacing w:val="-2"/>
        </w:rPr>
        <w:t>. Generally, most of the industries with the largest labour productivity increases were industries that had large falls in hours worked due to COVID</w:t>
      </w:r>
      <w:r w:rsidRPr="00733510">
        <w:rPr>
          <w:spacing w:val="-2"/>
        </w:rPr>
        <w:noBreakHyphen/>
        <w:t xml:space="preserve">19 restrictions (such as </w:t>
      </w:r>
      <w:r w:rsidRPr="00733510">
        <w:rPr>
          <w:i/>
          <w:iCs/>
          <w:spacing w:val="-2"/>
        </w:rPr>
        <w:t>retail trade</w:t>
      </w:r>
      <w:r w:rsidRPr="00733510">
        <w:rPr>
          <w:spacing w:val="-2"/>
        </w:rPr>
        <w:t xml:space="preserve">) combined with either only a relatively small fall or in some rare cases an increase in output. </w:t>
      </w:r>
    </w:p>
    <w:p w14:paraId="113655A7" w14:textId="3F46C4EF" w:rsidR="00534098" w:rsidRDefault="00534098" w:rsidP="00534098">
      <w:pPr>
        <w:pStyle w:val="BodyText"/>
      </w:pPr>
      <w:r>
        <w:t xml:space="preserve">There are several possible causes of some industries experiencing larger falls in labour hours than in output. In many cases, the first workers to be made redundant </w:t>
      </w:r>
      <w:r w:rsidR="00DC521D">
        <w:t>may</w:t>
      </w:r>
      <w:r>
        <w:t xml:space="preserve"> have been the least experienced (and often least productive). And capital, in the absence of its physical destruction, tends to be harder than labour to decrease at the economy</w:t>
      </w:r>
      <w:r>
        <w:noBreakHyphen/>
        <w:t>wide level in the short term because even if investment falls to zero</w:t>
      </w:r>
      <w:r>
        <w:rPr>
          <w:rStyle w:val="FootnoteReference"/>
        </w:rPr>
        <w:footnoteReference w:id="9"/>
      </w:r>
      <w:r>
        <w:t xml:space="preserve"> the capital stock will only decrease by the rate of depreciation. Evidence of this stickiness of capital during COVID</w:t>
      </w:r>
      <w:r>
        <w:noBreakHyphen/>
        <w:t>19 can be seen in figure 20, where capital increased in most industries even while labour hours fell significantly. This stickiness of capital relative to labour can result in measured capital deepening in the short term, notwithstanding that the utilisation of capital (which is not directly measured)</w:t>
      </w:r>
      <w:r>
        <w:rPr>
          <w:rStyle w:val="FootnoteReference"/>
        </w:rPr>
        <w:footnoteReference w:id="10"/>
      </w:r>
      <w:r>
        <w:t xml:space="preserve"> likely fell. In other words, recorded increases in capital deepening and labour productivity may to some degree reflect overestimation of capital services during this short and unusually volatile period. </w:t>
      </w:r>
    </w:p>
    <w:p w14:paraId="6C809705" w14:textId="77777777" w:rsidR="00534098" w:rsidRDefault="00534098" w:rsidP="00534098">
      <w:pPr>
        <w:pStyle w:val="BodyText"/>
      </w:pPr>
      <w:r>
        <w:t>Another possibility is that there are compositional changes within division</w:t>
      </w:r>
      <w:r>
        <w:noBreakHyphen/>
        <w:t xml:space="preserve">level (one digit) industries. That is, within the division level industry, it could be that the least productive subdivision (two digit) industries were the ones that shed the most labour causing average productivity within the whole industry to rise. This possibility is not directly testable because hours worked data is not available in the ABS’s </w:t>
      </w:r>
      <w:r w:rsidRPr="00C10AE9">
        <w:rPr>
          <w:i/>
          <w:iCs/>
        </w:rPr>
        <w:t xml:space="preserve">Labour Account </w:t>
      </w:r>
      <w:r>
        <w:t>dataset</w:t>
      </w:r>
      <w:r>
        <w:rPr>
          <w:rStyle w:val="FootnoteReference"/>
        </w:rPr>
        <w:footnoteReference w:id="11"/>
      </w:r>
      <w:r>
        <w:t xml:space="preserve"> and GVA estimates are not available for all subdivision level industries. </w:t>
      </w:r>
    </w:p>
    <w:p w14:paraId="1C2E933B" w14:textId="77777777" w:rsidR="00534098" w:rsidRPr="008A0CCC" w:rsidRDefault="00534098" w:rsidP="00534098">
      <w:pPr>
        <w:pStyle w:val="BodyText"/>
        <w:rPr>
          <w:spacing w:val="-4"/>
        </w:rPr>
      </w:pPr>
      <w:r w:rsidRPr="008A0CCC">
        <w:rPr>
          <w:spacing w:val="-4"/>
        </w:rPr>
        <w:t>It is also possible that the small fall in output relative to a large fall in hours worked experienced by many industries is indicative of COVID</w:t>
      </w:r>
      <w:r w:rsidRPr="008A0CCC">
        <w:rPr>
          <w:spacing w:val="-4"/>
        </w:rPr>
        <w:noBreakHyphen/>
        <w:t xml:space="preserve">19 forcing firms to innovate during the pandemic. For example, many firms have implemented labour saving technology such as digital screens to take orders at restaurants or firms using virtual reality to allow customers to try on clothes online before purchasing them. However, this explanation cannot be directly tested as the effects of technology on the MFP statistics cannot be readily disentangled from the various other effects. </w:t>
      </w:r>
    </w:p>
    <w:p w14:paraId="41D2EE03" w14:textId="22E4C573" w:rsidR="00534098" w:rsidRDefault="00534098" w:rsidP="00534098">
      <w:pPr>
        <w:pStyle w:val="BodyText"/>
      </w:pPr>
      <w:r>
        <w:t>Some of the industries with the largest falls in hours worked and output are the expected results of the COVID</w:t>
      </w:r>
      <w:r>
        <w:noBreakHyphen/>
        <w:t xml:space="preserve">19 health crisis. </w:t>
      </w:r>
      <w:r w:rsidRPr="00F070D4">
        <w:rPr>
          <w:i/>
          <w:iCs/>
        </w:rPr>
        <w:t>Accommodation and food services</w:t>
      </w:r>
      <w:r>
        <w:t xml:space="preserve">, and </w:t>
      </w:r>
      <w:r w:rsidRPr="00F070D4">
        <w:rPr>
          <w:i/>
          <w:iCs/>
        </w:rPr>
        <w:t>arts and recreation</w:t>
      </w:r>
      <w:r>
        <w:t xml:space="preserve"> both involve significant face</w:t>
      </w:r>
      <w:r>
        <w:noBreakHyphen/>
        <w:t>to</w:t>
      </w:r>
      <w:r>
        <w:noBreakHyphen/>
        <w:t>face contact with customers and so were strongly affected by voluntary increases in social distancing as well as mandatory lockdowns and other measures. Though in the former, only output fell, not labour hours</w:t>
      </w:r>
      <w:r w:rsidR="001E0379">
        <w:t xml:space="preserve"> (figure 19)</w:t>
      </w:r>
      <w:r>
        <w:t xml:space="preserve">. </w:t>
      </w:r>
    </w:p>
    <w:p w14:paraId="5401D00A" w14:textId="0DB8EFB5" w:rsidR="00534098" w:rsidRDefault="00534098" w:rsidP="00534098">
      <w:pPr>
        <w:pStyle w:val="BodyText"/>
      </w:pPr>
      <w:r>
        <w:t xml:space="preserve">Other division level industries experienced falls in hours and output due to particular subdivision industries experiencing very large falls in demand. For example, while the </w:t>
      </w:r>
      <w:r w:rsidRPr="00F070D4">
        <w:rPr>
          <w:i/>
          <w:iCs/>
        </w:rPr>
        <w:t>road transport</w:t>
      </w:r>
      <w:r>
        <w:t xml:space="preserve"> component of the </w:t>
      </w:r>
      <w:r w:rsidRPr="00F070D4">
        <w:rPr>
          <w:i/>
          <w:iCs/>
        </w:rPr>
        <w:t xml:space="preserve">transport, postal and warehousing </w:t>
      </w:r>
      <w:r>
        <w:t xml:space="preserve">division industry had a small increase in output (1.7 per cent), the </w:t>
      </w:r>
      <w:r w:rsidRPr="00F070D4">
        <w:rPr>
          <w:i/>
          <w:iCs/>
        </w:rPr>
        <w:t>air and space transport</w:t>
      </w:r>
      <w:r>
        <w:t xml:space="preserve"> component had a large decline in output (27 per cent annually) causing </w:t>
      </w:r>
      <w:r w:rsidRPr="006340DE">
        <w:t>overall</w:t>
      </w:r>
      <w:r w:rsidRPr="00F070D4">
        <w:rPr>
          <w:i/>
          <w:iCs/>
        </w:rPr>
        <w:t xml:space="preserve"> transport, postal and warehousing</w:t>
      </w:r>
      <w:r>
        <w:t xml:space="preserve"> output to fall (6.</w:t>
      </w:r>
      <w:r w:rsidR="001E0379">
        <w:t>1</w:t>
      </w:r>
      <w:r>
        <w:t> per cent). Likewise, according to the ABS, falls in</w:t>
      </w:r>
      <w:r w:rsidR="001E0379">
        <w:t xml:space="preserve"> hours worked in </w:t>
      </w:r>
      <w:r w:rsidRPr="00F070D4">
        <w:rPr>
          <w:i/>
          <w:iCs/>
        </w:rPr>
        <w:t>information media and telecommunications</w:t>
      </w:r>
      <w:r>
        <w:t xml:space="preserve"> are due to a fall in the </w:t>
      </w:r>
      <w:r w:rsidRPr="00F070D4">
        <w:rPr>
          <w:i/>
          <w:iCs/>
        </w:rPr>
        <w:t>other information and media services</w:t>
      </w:r>
      <w:r>
        <w:t xml:space="preserve"> subdivision industry, likely reflecting, ‘</w:t>
      </w:r>
      <w:r w:rsidRPr="0065798F">
        <w:t>declines in cinema attendance as social distancing restrictions were introduced and cancellation of advertising campaigns</w:t>
      </w:r>
      <w:r>
        <w:t>’</w:t>
      </w:r>
      <w:r w:rsidRPr="00037B59">
        <w:rPr>
          <w:szCs w:val="24"/>
        </w:rPr>
        <w:t>(ABS 2020a)</w:t>
      </w:r>
      <w:r>
        <w:t>.</w:t>
      </w:r>
    </w:p>
    <w:p w14:paraId="6496FF80" w14:textId="0879BA83" w:rsidR="00534098" w:rsidRDefault="00534098" w:rsidP="00534098">
      <w:pPr>
        <w:pStyle w:val="BodyText"/>
      </w:pPr>
      <w:r>
        <w:t xml:space="preserve">The labour productivity growth rates in a few other industries also appear to have also been driven by particular subdivision industries. </w:t>
      </w:r>
      <w:r w:rsidRPr="00886A75">
        <w:rPr>
          <w:i/>
          <w:iCs/>
        </w:rPr>
        <w:t>Construction</w:t>
      </w:r>
      <w:r>
        <w:t xml:space="preserve"> experienced a decline in output (4.6 per cent) due to a fall (8.2 per cent) in the June 2020 quarter that was driven by a large fall (12.6 per cent) in output in the </w:t>
      </w:r>
      <w:r w:rsidRPr="00F1158A">
        <w:rPr>
          <w:i/>
          <w:iCs/>
        </w:rPr>
        <w:t>construction services</w:t>
      </w:r>
      <w:r>
        <w:t xml:space="preserve"> (such as plumbing, electrical and air conditioning) subdivision industry. However, construction activity has picked up significantly in the final quarter of 2020 </w:t>
      </w:r>
      <w:r w:rsidRPr="007222FD">
        <w:rPr>
          <w:szCs w:val="24"/>
        </w:rPr>
        <w:t>(ABS 2021b)</w:t>
      </w:r>
      <w:r>
        <w:t>.</w:t>
      </w:r>
    </w:p>
    <w:p w14:paraId="0FD4B29C" w14:textId="7E4246AD" w:rsidR="00534098" w:rsidRPr="00F55F3B" w:rsidRDefault="00534098" w:rsidP="00534098">
      <w:pPr>
        <w:pStyle w:val="BodyText"/>
      </w:pPr>
      <w:r>
        <w:t xml:space="preserve">This pickup in construction activity likely reflects the (interrelated) effects of the HomeBuilder program </w:t>
      </w:r>
      <w:r w:rsidRPr="00003C27">
        <w:rPr>
          <w:szCs w:val="24"/>
        </w:rPr>
        <w:t>(Treasury 2020b)</w:t>
      </w:r>
      <w:r>
        <w:t xml:space="preserve"> and recent rises in residential dwelling prices. A few key attributes of the recovery in construction activity hint at its causes: recent rises in construction activity have only occurred in residential construction, this increase only occurred in the final quarter of 2020 and new dwelling commencements have increased more than actual work done (that is, there will likely be significant future construction work but the program has not produced much work yet). The number of new private sector house commencements were below their levels at the same point the year before for most of 2020 but then jumped 27 per cent between the September and December quarters </w:t>
      </w:r>
      <w:r w:rsidRPr="005E3F07">
        <w:rPr>
          <w:szCs w:val="24"/>
        </w:rPr>
        <w:t>(ABS 2021a)</w:t>
      </w:r>
      <w:r>
        <w:t>. Likewise, while the value of residential construction work done increased 2.7 per cent in the December 2020 quarter, non</w:t>
      </w:r>
      <w:r>
        <w:noBreakHyphen/>
        <w:t>residential and engineering (</w:t>
      </w:r>
      <w:r w:rsidRPr="00B817B3">
        <w:t xml:space="preserve">construction that does not have a roof </w:t>
      </w:r>
      <w:r>
        <w:t>such as</w:t>
      </w:r>
      <w:r w:rsidRPr="00B817B3">
        <w:t xml:space="preserve"> roads, rail</w:t>
      </w:r>
      <w:r>
        <w:t xml:space="preserve"> and</w:t>
      </w:r>
      <w:r w:rsidRPr="00B817B3">
        <w:t xml:space="preserve"> pipeline</w:t>
      </w:r>
      <w:r>
        <w:t xml:space="preserve"> works) construction both fell </w:t>
      </w:r>
      <w:r w:rsidRPr="007222FD">
        <w:rPr>
          <w:szCs w:val="24"/>
        </w:rPr>
        <w:t>(ABS 2021b)</w:t>
      </w:r>
      <w:r>
        <w:t xml:space="preserve">. </w:t>
      </w:r>
    </w:p>
    <w:p w14:paraId="6DD4CDBB" w14:textId="77777777" w:rsidR="00534098" w:rsidRDefault="00534098" w:rsidP="00534098">
      <w:pPr>
        <w:rPr>
          <w:szCs w:val="20"/>
        </w:rPr>
      </w:pPr>
      <w:r>
        <w:br w:type="page"/>
      </w:r>
    </w:p>
    <w:p w14:paraId="17E56E94" w14:textId="2936F813" w:rsidR="00534098" w:rsidRDefault="00534098" w:rsidP="00734E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0A80A642" w14:textId="77777777" w:rsidTr="007A39EB">
        <w:trPr>
          <w:tblHeader/>
        </w:trPr>
        <w:tc>
          <w:tcPr>
            <w:tcW w:w="5000" w:type="pct"/>
            <w:tcBorders>
              <w:top w:val="single" w:sz="6" w:space="0" w:color="78A22F"/>
              <w:left w:val="nil"/>
              <w:bottom w:val="nil"/>
              <w:right w:val="nil"/>
            </w:tcBorders>
            <w:shd w:val="clear" w:color="auto" w:fill="auto"/>
          </w:tcPr>
          <w:p w14:paraId="57CFF01E" w14:textId="41709663" w:rsidR="00534098" w:rsidRDefault="00534098" w:rsidP="007A39EB">
            <w:pPr>
              <w:pStyle w:val="FigureTitle"/>
            </w:pPr>
            <w:r w:rsidRPr="00784A05">
              <w:rPr>
                <w:b w:val="0"/>
              </w:rPr>
              <w:t xml:space="preserve">Figure </w:t>
            </w:r>
            <w:r>
              <w:rPr>
                <w:b w:val="0"/>
              </w:rPr>
              <w:t>19</w:t>
            </w:r>
            <w:r>
              <w:tab/>
              <w:t>Growth in output, hours worked, and labour productivity varied significantly by industry</w:t>
            </w:r>
          </w:p>
          <w:p w14:paraId="5F3B8C42" w14:textId="77777777" w:rsidR="00534098" w:rsidRPr="00176D3F" w:rsidRDefault="00534098" w:rsidP="007A39EB">
            <w:pPr>
              <w:pStyle w:val="Subtitle"/>
            </w:pPr>
            <w:r>
              <w:t>Output growth and the contributions from labour productivity growth and hours worked growth in market sector industries</w:t>
            </w:r>
            <w:r>
              <w:rPr>
                <w:rStyle w:val="NoteLabel"/>
              </w:rPr>
              <w:t>a</w:t>
            </w:r>
            <w:r>
              <w:t xml:space="preserve"> in 2019</w:t>
            </w:r>
            <w:r>
              <w:noBreakHyphen/>
              <w:t>20</w:t>
            </w:r>
          </w:p>
        </w:tc>
      </w:tr>
      <w:tr w:rsidR="00534098" w14:paraId="7820A094"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5FF448D2" w14:textId="77777777" w:rsidTr="007A39EB">
              <w:trPr>
                <w:tblHeader/>
                <w:jc w:val="center"/>
              </w:trPr>
              <w:tc>
                <w:tcPr>
                  <w:tcW w:w="8504" w:type="dxa"/>
                  <w:tcBorders>
                    <w:top w:val="nil"/>
                    <w:bottom w:val="nil"/>
                  </w:tcBorders>
                </w:tcPr>
                <w:p w14:paraId="0476E322" w14:textId="77777777" w:rsidR="00534098" w:rsidRPr="00B1465D" w:rsidRDefault="00534098" w:rsidP="007A39EB">
                  <w:pPr>
                    <w:pStyle w:val="Figure"/>
                    <w:spacing w:before="60" w:after="60"/>
                    <w:rPr>
                      <w:rFonts w:ascii="Arial" w:hAnsi="Arial" w:cs="Arial"/>
                      <w:sz w:val="18"/>
                      <w:szCs w:val="18"/>
                    </w:rPr>
                  </w:pPr>
                  <w:r>
                    <w:rPr>
                      <w:noProof/>
                    </w:rPr>
                    <w:drawing>
                      <wp:inline distT="0" distB="0" distL="0" distR="0" wp14:anchorId="3E039454" wp14:editId="7534FF96">
                        <wp:extent cx="5400675" cy="5400675"/>
                        <wp:effectExtent l="0" t="0" r="9525" b="9525"/>
                        <wp:docPr id="6" name="Graphic 6" descr="This figure shows growth in output, hours worked and labour productivity by industry in 2019-20. It can be seen that many industries that experienced falls in hours worked also had increased in lab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This figure shows growth in output, hours worked and labour productivity by industry in 2019-20. It can be seen that many industries that experienced falls in hours worked also had increased in labour productivity"/>
                                <pic:cNvPicPr/>
                              </pic:nvPicPr>
                              <pic:blipFill>
                                <a:blip r:embed="rId40">
                                  <a:extLst>
                                    <a:ext uri="{96DAC541-7B7A-43D3-8B79-37D633B846F1}">
                                      <asvg:svgBlip xmlns:asvg="http://schemas.microsoft.com/office/drawing/2016/SVG/main" r:embed="rId41"/>
                                    </a:ext>
                                  </a:extLst>
                                </a:blip>
                                <a:stretch>
                                  <a:fillRect/>
                                </a:stretch>
                              </pic:blipFill>
                              <pic:spPr>
                                <a:xfrm>
                                  <a:off x="0" y="0"/>
                                  <a:ext cx="5400675" cy="5400675"/>
                                </a:xfrm>
                                <a:prstGeom prst="rect">
                                  <a:avLst/>
                                </a:prstGeom>
                              </pic:spPr>
                            </pic:pic>
                          </a:graphicData>
                        </a:graphic>
                      </wp:inline>
                    </w:drawing>
                  </w:r>
                </w:p>
              </w:tc>
            </w:tr>
          </w:tbl>
          <w:p w14:paraId="399A8658" w14:textId="77777777" w:rsidR="00534098" w:rsidRDefault="00534098" w:rsidP="007A39EB">
            <w:pPr>
              <w:pStyle w:val="Figure"/>
            </w:pPr>
          </w:p>
        </w:tc>
      </w:tr>
      <w:tr w:rsidR="00534098" w:rsidRPr="00176D3F" w14:paraId="7465774B" w14:textId="77777777" w:rsidTr="007A39EB">
        <w:tc>
          <w:tcPr>
            <w:tcW w:w="5000" w:type="pct"/>
            <w:tcBorders>
              <w:top w:val="nil"/>
              <w:left w:val="nil"/>
              <w:bottom w:val="nil"/>
              <w:right w:val="nil"/>
            </w:tcBorders>
            <w:shd w:val="clear" w:color="auto" w:fill="auto"/>
          </w:tcPr>
          <w:p w14:paraId="16BD39F7" w14:textId="77777777" w:rsidR="00534098" w:rsidRDefault="00534098" w:rsidP="007A39EB">
            <w:pPr>
              <w:pStyle w:val="Source"/>
              <w:rPr>
                <w:i/>
              </w:rPr>
            </w:pPr>
            <w:r>
              <w:rPr>
                <w:rStyle w:val="NoteLabel"/>
              </w:rPr>
              <w:t>a</w:t>
            </w:r>
            <w:r>
              <w:t xml:space="preserve"> </w:t>
            </w:r>
            <w:r w:rsidRPr="008A0CCC">
              <w:rPr>
                <w:spacing w:val="-6"/>
              </w:rPr>
              <w:t>Prof. services, finance, IT, retail, wholesale, utilities, real estate, admin, transport, recreation, agriculture, accommodation represent professional, scientific, and technical services, financial and insurance services, information media and telecommunications, retail trade, wholesale trade, electricity, gas, water and waste services, rental, hiring and real estate services, administrative and support services, transport, postal and warehousing, arts and recreating services, agriculture, forestry and fishing, accommodation and food services respectively.</w:t>
            </w:r>
            <w:r>
              <w:t xml:space="preserve"> </w:t>
            </w:r>
          </w:p>
        </w:tc>
      </w:tr>
      <w:tr w:rsidR="00534098" w:rsidRPr="00176D3F" w14:paraId="1F99DB75" w14:textId="77777777" w:rsidTr="007A39EB">
        <w:tc>
          <w:tcPr>
            <w:tcW w:w="5000" w:type="pct"/>
            <w:tcBorders>
              <w:top w:val="nil"/>
              <w:left w:val="nil"/>
              <w:bottom w:val="nil"/>
              <w:right w:val="nil"/>
            </w:tcBorders>
            <w:shd w:val="clear" w:color="auto" w:fill="auto"/>
          </w:tcPr>
          <w:p w14:paraId="739E6BC8" w14:textId="77777777" w:rsidR="00534098" w:rsidRPr="008A0CCC" w:rsidRDefault="00534098" w:rsidP="007A39EB">
            <w:pPr>
              <w:pStyle w:val="Source"/>
              <w:rPr>
                <w:spacing w:val="-4"/>
              </w:rPr>
            </w:pPr>
            <w:r w:rsidRPr="008A0CCC">
              <w:rPr>
                <w:i/>
                <w:spacing w:val="-4"/>
              </w:rPr>
              <w:t>Source</w:t>
            </w:r>
            <w:r w:rsidRPr="008A0CCC">
              <w:rPr>
                <w:spacing w:val="-4"/>
              </w:rPr>
              <w:t>: ABS (</w:t>
            </w:r>
            <w:r w:rsidRPr="008A0CCC">
              <w:rPr>
                <w:i/>
                <w:iCs/>
                <w:spacing w:val="-4"/>
              </w:rPr>
              <w:t>Estimates of Industry Multifactor Productivity, 2019</w:t>
            </w:r>
            <w:r w:rsidRPr="008A0CCC">
              <w:rPr>
                <w:i/>
                <w:iCs/>
                <w:spacing w:val="-4"/>
              </w:rPr>
              <w:noBreakHyphen/>
              <w:t>20</w:t>
            </w:r>
            <w:r w:rsidRPr="008A0CCC">
              <w:rPr>
                <w:spacing w:val="-4"/>
              </w:rPr>
              <w:t>, Cat. no. 5260.0.55.002., tables 6, 9 and 10).</w:t>
            </w:r>
          </w:p>
        </w:tc>
      </w:tr>
      <w:tr w:rsidR="00534098" w14:paraId="40572F3B" w14:textId="77777777" w:rsidTr="007A39EB">
        <w:tc>
          <w:tcPr>
            <w:tcW w:w="5000" w:type="pct"/>
            <w:tcBorders>
              <w:top w:val="nil"/>
              <w:left w:val="nil"/>
              <w:bottom w:val="single" w:sz="6" w:space="0" w:color="78A22F"/>
              <w:right w:val="nil"/>
            </w:tcBorders>
            <w:shd w:val="clear" w:color="auto" w:fill="auto"/>
          </w:tcPr>
          <w:p w14:paraId="6C84DE75" w14:textId="77777777" w:rsidR="00534098" w:rsidRDefault="00534098" w:rsidP="007A39EB">
            <w:pPr>
              <w:pStyle w:val="Figurespace"/>
            </w:pPr>
          </w:p>
        </w:tc>
      </w:tr>
      <w:tr w:rsidR="00534098" w:rsidRPr="000863A5" w14:paraId="1DC17EF7" w14:textId="77777777" w:rsidTr="007A39EB">
        <w:tc>
          <w:tcPr>
            <w:tcW w:w="5000" w:type="pct"/>
            <w:tcBorders>
              <w:top w:val="single" w:sz="6" w:space="0" w:color="78A22F"/>
              <w:left w:val="nil"/>
              <w:bottom w:val="nil"/>
              <w:right w:val="nil"/>
            </w:tcBorders>
          </w:tcPr>
          <w:p w14:paraId="6BBBC6AB" w14:textId="3CD7BC6E" w:rsidR="00534098" w:rsidRPr="00626D32" w:rsidRDefault="00534098" w:rsidP="007A39EB">
            <w:pPr>
              <w:pStyle w:val="BoxSpaceBelow"/>
            </w:pPr>
          </w:p>
        </w:tc>
      </w:tr>
    </w:tbl>
    <w:p w14:paraId="2330927D" w14:textId="3B64A566" w:rsidR="00534098" w:rsidRPr="00536C0D" w:rsidRDefault="00534098" w:rsidP="00536C0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F490F39" w14:textId="77777777" w:rsidTr="007A39EB">
        <w:trPr>
          <w:tblHeader/>
        </w:trPr>
        <w:tc>
          <w:tcPr>
            <w:tcW w:w="5000" w:type="pct"/>
            <w:tcBorders>
              <w:top w:val="single" w:sz="6" w:space="0" w:color="78A22F"/>
              <w:left w:val="nil"/>
              <w:bottom w:val="nil"/>
              <w:right w:val="nil"/>
            </w:tcBorders>
            <w:shd w:val="clear" w:color="auto" w:fill="auto"/>
          </w:tcPr>
          <w:p w14:paraId="19708733" w14:textId="3C91D3A1" w:rsidR="00534098" w:rsidRDefault="00534098" w:rsidP="007A39EB">
            <w:pPr>
              <w:pStyle w:val="FigureTitle"/>
            </w:pPr>
            <w:r w:rsidRPr="00784A05">
              <w:rPr>
                <w:b w:val="0"/>
              </w:rPr>
              <w:t xml:space="preserve">Figure </w:t>
            </w:r>
            <w:r>
              <w:rPr>
                <w:b w:val="0"/>
              </w:rPr>
              <w:t>20</w:t>
            </w:r>
            <w:r>
              <w:tab/>
              <w:t xml:space="preserve">In many industries capital rose while labour fell </w:t>
            </w:r>
          </w:p>
          <w:p w14:paraId="0CFF7570" w14:textId="77777777" w:rsidR="00534098" w:rsidRPr="00176D3F" w:rsidRDefault="00534098" w:rsidP="007A39EB">
            <w:pPr>
              <w:pStyle w:val="Subtitle"/>
            </w:pPr>
            <w:r>
              <w:t>Capital services and hours worked growth in 2019</w:t>
            </w:r>
            <w:r>
              <w:noBreakHyphen/>
              <w:t>20</w:t>
            </w:r>
          </w:p>
        </w:tc>
      </w:tr>
      <w:tr w:rsidR="00534098" w14:paraId="107763B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6DAB047F" w14:textId="77777777" w:rsidTr="007A39EB">
              <w:trPr>
                <w:tblHeader/>
                <w:jc w:val="center"/>
              </w:trPr>
              <w:tc>
                <w:tcPr>
                  <w:tcW w:w="8504" w:type="dxa"/>
                  <w:tcBorders>
                    <w:top w:val="nil"/>
                    <w:bottom w:val="nil"/>
                  </w:tcBorders>
                </w:tcPr>
                <w:p w14:paraId="70D9C6C2" w14:textId="6E9479C0" w:rsidR="00534098" w:rsidRPr="00B1465D" w:rsidRDefault="004939B5" w:rsidP="007A39EB">
                  <w:pPr>
                    <w:pStyle w:val="Figure"/>
                    <w:spacing w:before="60" w:after="60"/>
                    <w:rPr>
                      <w:rFonts w:ascii="Arial" w:hAnsi="Arial" w:cs="Arial"/>
                      <w:sz w:val="18"/>
                      <w:szCs w:val="18"/>
                    </w:rPr>
                  </w:pPr>
                  <w:r w:rsidRPr="00BC3900">
                    <w:rPr>
                      <w:rFonts w:ascii="Arial" w:hAnsi="Arial" w:cs="Arial"/>
                      <w:noProof/>
                      <w:sz w:val="18"/>
                      <w:szCs w:val="18"/>
                    </w:rPr>
                    <w:drawing>
                      <wp:inline distT="0" distB="0" distL="0" distR="0" wp14:anchorId="510FADC4" wp14:editId="618A0B26">
                        <wp:extent cx="5401945" cy="5393055"/>
                        <wp:effectExtent l="0" t="0" r="8255" b="0"/>
                        <wp:docPr id="7" name="Picture 7" descr="In this chart it can be seen that most industries experienced capital growth in 2019-20. Of those industries where capital fell (Retail, Wholesale, Manufacturing, Agriculture and Admin) they only fell by a small amount (less than 1 per cent). Hours worked fell in recreation, accommodation, other services, transport, IT, retail, construction and wholesale fell whereas hours worked in utilities, mining, real estate, manufacturing, finance, agriculture, professional services and admin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 this chart it can be seen that most industries experienced capital growth in 2019-20. Of those industries where capital fell (Retail, Wholesale, Manufacturing, Agriculture and Admin) they only fell by a small amount (less than 1 per cent). Hours worked fell in recreation, accommodation, other services, transport, IT, retail, construction and wholesale fell whereas hours worked in utilities, mining, real estate, manufacturing, finance, agriculture, professional services and admin increas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945" cy="5393055"/>
                                </a:xfrm>
                                <a:prstGeom prst="rect">
                                  <a:avLst/>
                                </a:prstGeom>
                                <a:noFill/>
                                <a:ln>
                                  <a:noFill/>
                                </a:ln>
                              </pic:spPr>
                            </pic:pic>
                          </a:graphicData>
                        </a:graphic>
                      </wp:inline>
                    </w:drawing>
                  </w:r>
                </w:p>
              </w:tc>
            </w:tr>
          </w:tbl>
          <w:p w14:paraId="54D87E70" w14:textId="77777777" w:rsidR="00534098" w:rsidRDefault="00534098" w:rsidP="007A39EB">
            <w:pPr>
              <w:pStyle w:val="Figure"/>
            </w:pPr>
          </w:p>
        </w:tc>
      </w:tr>
      <w:tr w:rsidR="00534098" w:rsidRPr="00176D3F" w14:paraId="79DFD0DD" w14:textId="77777777" w:rsidTr="007A39EB">
        <w:tc>
          <w:tcPr>
            <w:tcW w:w="5000" w:type="pct"/>
            <w:tcBorders>
              <w:top w:val="nil"/>
              <w:left w:val="nil"/>
              <w:bottom w:val="nil"/>
              <w:right w:val="nil"/>
            </w:tcBorders>
            <w:shd w:val="clear" w:color="auto" w:fill="auto"/>
          </w:tcPr>
          <w:p w14:paraId="4F39DCFE" w14:textId="77777777" w:rsidR="00534098" w:rsidRPr="008A0CCC" w:rsidRDefault="00534098" w:rsidP="007A39EB">
            <w:pPr>
              <w:pStyle w:val="Source"/>
              <w:rPr>
                <w:spacing w:val="-4"/>
              </w:rPr>
            </w:pPr>
            <w:r w:rsidRPr="008A0CCC">
              <w:rPr>
                <w:i/>
                <w:spacing w:val="-4"/>
              </w:rPr>
              <w:t>Source</w:t>
            </w:r>
            <w:r w:rsidRPr="008A0CCC">
              <w:rPr>
                <w:spacing w:val="-4"/>
              </w:rPr>
              <w:t>: ABS (</w:t>
            </w:r>
            <w:r w:rsidRPr="008A0CCC">
              <w:rPr>
                <w:i/>
                <w:iCs/>
                <w:spacing w:val="-4"/>
              </w:rPr>
              <w:t>Estimates of Industry Multifactor Productivity, 2019</w:t>
            </w:r>
            <w:r w:rsidRPr="008A0CCC">
              <w:rPr>
                <w:i/>
                <w:iCs/>
                <w:spacing w:val="-4"/>
              </w:rPr>
              <w:noBreakHyphen/>
              <w:t>20</w:t>
            </w:r>
            <w:r w:rsidRPr="008A0CCC">
              <w:rPr>
                <w:spacing w:val="-4"/>
              </w:rPr>
              <w:t>, Cat. no. 5260.0.55.002., tables 9 and 10).</w:t>
            </w:r>
          </w:p>
        </w:tc>
      </w:tr>
      <w:tr w:rsidR="00534098" w14:paraId="71091E4B" w14:textId="77777777" w:rsidTr="007A39EB">
        <w:tc>
          <w:tcPr>
            <w:tcW w:w="5000" w:type="pct"/>
            <w:tcBorders>
              <w:top w:val="nil"/>
              <w:left w:val="nil"/>
              <w:bottom w:val="single" w:sz="6" w:space="0" w:color="78A22F"/>
              <w:right w:val="nil"/>
            </w:tcBorders>
            <w:shd w:val="clear" w:color="auto" w:fill="auto"/>
          </w:tcPr>
          <w:p w14:paraId="1A5CB143" w14:textId="77777777" w:rsidR="00534098" w:rsidRDefault="00534098" w:rsidP="007A39EB">
            <w:pPr>
              <w:pStyle w:val="Figurespace"/>
            </w:pPr>
          </w:p>
        </w:tc>
      </w:tr>
      <w:tr w:rsidR="00534098" w:rsidRPr="000863A5" w14:paraId="695CE3B1" w14:textId="77777777" w:rsidTr="007A39EB">
        <w:tc>
          <w:tcPr>
            <w:tcW w:w="5000" w:type="pct"/>
            <w:tcBorders>
              <w:top w:val="single" w:sz="6" w:space="0" w:color="78A22F"/>
              <w:left w:val="nil"/>
              <w:bottom w:val="nil"/>
              <w:right w:val="nil"/>
            </w:tcBorders>
          </w:tcPr>
          <w:p w14:paraId="05DC23FA" w14:textId="1F2A00F0" w:rsidR="00534098" w:rsidRPr="00626D32" w:rsidRDefault="00534098" w:rsidP="007A39EB">
            <w:pPr>
              <w:pStyle w:val="BoxSpaceBelow"/>
            </w:pPr>
          </w:p>
        </w:tc>
      </w:tr>
    </w:tbl>
    <w:p w14:paraId="2B97EE25" w14:textId="06034A8D" w:rsidR="00534098" w:rsidRPr="00C338A7" w:rsidRDefault="00CE3976" w:rsidP="00534098">
      <w:pPr>
        <w:pStyle w:val="BodyText"/>
        <w:rPr>
          <w:spacing w:val="-2"/>
        </w:rPr>
      </w:pPr>
      <w:r w:rsidRPr="00C338A7">
        <w:rPr>
          <w:spacing w:val="-2"/>
        </w:rPr>
        <w:t>T</w:t>
      </w:r>
      <w:r w:rsidR="00534098" w:rsidRPr="00C338A7">
        <w:rPr>
          <w:spacing w:val="-2"/>
        </w:rPr>
        <w:t>he HomeBuilder program and the recent rises in residential dwelling prices</w:t>
      </w:r>
      <w:r w:rsidRPr="00C338A7">
        <w:rPr>
          <w:spacing w:val="-2"/>
        </w:rPr>
        <w:t xml:space="preserve"> also explain why the construction boom occurred only in late 2020 and was focused on residential construction</w:t>
      </w:r>
      <w:r w:rsidR="00534098" w:rsidRPr="00C338A7">
        <w:rPr>
          <w:spacing w:val="-2"/>
        </w:rPr>
        <w:t>. In particular, the fact that HomeBuilder only applied to residential construction and it allowed work to commence up to 18 months after eligible contracts were signed and these contracts could be signed up to 31</w:t>
      </w:r>
      <w:r w:rsidR="00534098" w:rsidRPr="00C338A7">
        <w:rPr>
          <w:spacing w:val="-2"/>
          <w:vertAlign w:val="superscript"/>
        </w:rPr>
        <w:t> </w:t>
      </w:r>
      <w:r w:rsidR="00534098" w:rsidRPr="00C338A7">
        <w:rPr>
          <w:spacing w:val="-2"/>
        </w:rPr>
        <w:t xml:space="preserve">December 2020 </w:t>
      </w:r>
      <w:r w:rsidR="00534098" w:rsidRPr="00C338A7">
        <w:rPr>
          <w:spacing w:val="-2"/>
          <w:szCs w:val="24"/>
        </w:rPr>
        <w:t>(Treasury 2020b)</w:t>
      </w:r>
      <w:r w:rsidR="00534098" w:rsidRPr="00C338A7">
        <w:rPr>
          <w:spacing w:val="-2"/>
        </w:rPr>
        <w:t>, means that a significant lag between the initiation of the program and construction rising is to be expected. The timing of the rise in residential construction</w:t>
      </w:r>
      <w:r w:rsidR="00534098" w:rsidRPr="00C338A7" w:rsidDel="003D0298">
        <w:rPr>
          <w:spacing w:val="-2"/>
        </w:rPr>
        <w:t xml:space="preserve"> </w:t>
      </w:r>
      <w:r w:rsidR="00534098" w:rsidRPr="00C338A7">
        <w:rPr>
          <w:spacing w:val="-2"/>
        </w:rPr>
        <w:t xml:space="preserve">may also reflect recent rises in residential dwelling prices — the weighted average of the eight Australian capital cities price index fell 1.8 per cent in the June 2020 quarter but climbed 3 per cent in the December 2020 quarter </w:t>
      </w:r>
      <w:r w:rsidR="00534098" w:rsidRPr="00C338A7">
        <w:rPr>
          <w:spacing w:val="-2"/>
          <w:szCs w:val="24"/>
        </w:rPr>
        <w:t>(ABS 2021d)</w:t>
      </w:r>
      <w:r w:rsidR="00534098" w:rsidRPr="00C338A7">
        <w:rPr>
          <w:spacing w:val="-2"/>
        </w:rPr>
        <w:t xml:space="preserve">. </w:t>
      </w:r>
    </w:p>
    <w:p w14:paraId="7E97CA0B" w14:textId="0148C10B" w:rsidR="00534098" w:rsidRDefault="00534098" w:rsidP="00534098">
      <w:pPr>
        <w:pStyle w:val="BodyText"/>
      </w:pPr>
      <w:r>
        <w:t>Some industries experienced falls in output and hours worked as a combination of downstream falls in consumer demand that were likely exacerbated by COVID</w:t>
      </w:r>
      <w:r>
        <w:noBreakHyphen/>
        <w:t xml:space="preserve">19 restrictions. </w:t>
      </w:r>
      <w:r>
        <w:rPr>
          <w:i/>
          <w:iCs/>
        </w:rPr>
        <w:t>Manufacturing</w:t>
      </w:r>
      <w:r>
        <w:t xml:space="preserve"> output fell (1.6 per cent), driven by falls in </w:t>
      </w:r>
      <w:r w:rsidRPr="007E6EC6">
        <w:rPr>
          <w:i/>
          <w:iCs/>
        </w:rPr>
        <w:t>petroleum, coal, chemical and rubber products</w:t>
      </w:r>
      <w:r>
        <w:t xml:space="preserve"> (2.1 per cent) and </w:t>
      </w:r>
      <w:r>
        <w:rPr>
          <w:i/>
          <w:iCs/>
        </w:rPr>
        <w:t>other manufacturing</w:t>
      </w:r>
      <w:r>
        <w:t xml:space="preserve"> (5.9 per cent, includes jewellery, silverware and recreational products) </w:t>
      </w:r>
      <w:r w:rsidRPr="00037B59">
        <w:rPr>
          <w:szCs w:val="24"/>
        </w:rPr>
        <w:t>(ABS 2020c)</w:t>
      </w:r>
      <w:r>
        <w:t>.</w:t>
      </w:r>
    </w:p>
    <w:p w14:paraId="202F0893" w14:textId="4954B3DF" w:rsidR="00534098" w:rsidRDefault="00534098" w:rsidP="00534098">
      <w:pPr>
        <w:pStyle w:val="BodyText"/>
      </w:pPr>
      <w:r>
        <w:t>Commodities were less affected by COVID</w:t>
      </w:r>
      <w:r>
        <w:noBreakHyphen/>
        <w:t xml:space="preserve">19 than most other sectors. The </w:t>
      </w:r>
      <w:r w:rsidRPr="00900179">
        <w:rPr>
          <w:i/>
          <w:iCs/>
        </w:rPr>
        <w:t>agriculture, forestry and fishing</w:t>
      </w:r>
      <w:r>
        <w:t xml:space="preserve"> industry continued its drought</w:t>
      </w:r>
      <w:r>
        <w:noBreakHyphen/>
        <w:t xml:space="preserve">driven decline in output seen in previous years (though the GVA data for the final quarters of 2020 show that La Nina has already boosted output </w:t>
      </w:r>
      <w:r w:rsidRPr="00037B59">
        <w:rPr>
          <w:szCs w:val="24"/>
        </w:rPr>
        <w:t>(ABS 2020b)</w:t>
      </w:r>
      <w:r>
        <w:t xml:space="preserve">) that was likely exacerbated by the labour shortages caused by the closure of international borders. Despite recent trade tensions, the </w:t>
      </w:r>
      <w:r w:rsidRPr="004614DB">
        <w:rPr>
          <w:i/>
          <w:iCs/>
        </w:rPr>
        <w:t>mining</w:t>
      </w:r>
      <w:r>
        <w:t xml:space="preserve"> industry — especially </w:t>
      </w:r>
      <w:r w:rsidRPr="004614DB">
        <w:rPr>
          <w:i/>
          <w:iCs/>
        </w:rPr>
        <w:t xml:space="preserve">oil and gas extraction </w:t>
      </w:r>
      <w:r>
        <w:t>— experienced strong growth in inputs and outputs, with</w:t>
      </w:r>
      <w:r w:rsidDel="00991774">
        <w:t xml:space="preserve"> </w:t>
      </w:r>
      <w:r>
        <w:rPr>
          <w:i/>
          <w:iCs/>
        </w:rPr>
        <w:t xml:space="preserve">mining </w:t>
      </w:r>
      <w:r>
        <w:t>labour productivity rebounding after a poor performance the previous financial year, increasing 3.2 per cent in 2019</w:t>
      </w:r>
      <w:r>
        <w:noBreakHyphen/>
        <w:t>20 (it fell 3.2 per cent in 2018</w:t>
      </w:r>
      <w:r>
        <w:noBreakHyphen/>
        <w:t xml:space="preserve">19). </w:t>
      </w:r>
    </w:p>
    <w:p w14:paraId="4768BD8D" w14:textId="5F240EA4" w:rsidR="00534098" w:rsidRPr="00CD3425" w:rsidRDefault="00534098" w:rsidP="00534098">
      <w:pPr>
        <w:pStyle w:val="BodyText"/>
      </w:pPr>
      <w:r>
        <w:t>Certain other industries appeared to do well through COVID</w:t>
      </w:r>
      <w:r>
        <w:noBreakHyphen/>
        <w:t xml:space="preserve">19. For example, the </w:t>
      </w:r>
      <w:r>
        <w:rPr>
          <w:i/>
          <w:iCs/>
        </w:rPr>
        <w:t>computer systems and related services</w:t>
      </w:r>
      <w:r>
        <w:t xml:space="preserve"> subdivision of </w:t>
      </w:r>
      <w:r>
        <w:rPr>
          <w:i/>
          <w:iCs/>
        </w:rPr>
        <w:t xml:space="preserve">professional, technical and scientific services </w:t>
      </w:r>
      <w:r>
        <w:t>experienced a boost in output, likely driven by the needs of a workforce adapting to the working from home induced by COVID</w:t>
      </w:r>
      <w:r>
        <w:noBreakHyphen/>
        <w:t xml:space="preserve">19. Likewise, </w:t>
      </w:r>
      <w:r w:rsidRPr="002060DE">
        <w:rPr>
          <w:i/>
          <w:iCs/>
        </w:rPr>
        <w:t>financial and insurance services</w:t>
      </w:r>
      <w:r>
        <w:t xml:space="preserve"> experienced growth in output and labour productivity, mainly due to the </w:t>
      </w:r>
      <w:r>
        <w:rPr>
          <w:i/>
          <w:iCs/>
        </w:rPr>
        <w:t xml:space="preserve">finance </w:t>
      </w:r>
      <w:r>
        <w:t>subdivision benefiting from ‘</w:t>
      </w:r>
      <w:r w:rsidRPr="00CD3425">
        <w:t>a significant rise in deposit balances as businesses and households increased liquidity in response to COVID</w:t>
      </w:r>
      <w:r>
        <w:noBreakHyphen/>
      </w:r>
      <w:r w:rsidRPr="00CD3425">
        <w:t>19</w:t>
      </w:r>
      <w:r>
        <w:t xml:space="preserve">’ </w:t>
      </w:r>
      <w:r w:rsidRPr="00037B59">
        <w:rPr>
          <w:szCs w:val="24"/>
        </w:rPr>
        <w:t>(ABS 2020a)</w:t>
      </w:r>
      <w:r>
        <w:t>.</w:t>
      </w:r>
    </w:p>
    <w:p w14:paraId="183CB55F" w14:textId="77777777" w:rsidR="00534098" w:rsidRPr="008A0CCC" w:rsidRDefault="00534098" w:rsidP="00534098">
      <w:pPr>
        <w:pStyle w:val="BodyText"/>
        <w:rPr>
          <w:spacing w:val="-2"/>
        </w:rPr>
      </w:pPr>
      <w:r w:rsidRPr="008A0CCC">
        <w:rPr>
          <w:spacing w:val="-2"/>
        </w:rPr>
        <w:t xml:space="preserve">MFP fell in most industries to a greater degree than labour productivity (figure 21). Generally, MFP fell for most of the same reasons that labour productivity fell but usually by a greater amount due to the stickiness of capital causing some (potentially mismeasured, box 2) capital deepening. Examples of this are the </w:t>
      </w:r>
      <w:r w:rsidRPr="008A0CCC">
        <w:rPr>
          <w:i/>
          <w:iCs/>
          <w:spacing w:val="-2"/>
        </w:rPr>
        <w:t>accommodation and food services</w:t>
      </w:r>
      <w:r w:rsidRPr="008A0CCC">
        <w:rPr>
          <w:spacing w:val="-2"/>
        </w:rPr>
        <w:t xml:space="preserve">, and </w:t>
      </w:r>
      <w:r w:rsidRPr="008A0CCC">
        <w:rPr>
          <w:i/>
          <w:iCs/>
          <w:spacing w:val="-2"/>
        </w:rPr>
        <w:t>transport, postal and warehousing</w:t>
      </w:r>
      <w:r w:rsidRPr="008A0CCC">
        <w:rPr>
          <w:spacing w:val="-2"/>
        </w:rPr>
        <w:t xml:space="preserve"> industries where sticky capital and falling labour hours caused significant capital deepening that meant labour productivity did not fall as much as MFP.</w:t>
      </w:r>
    </w:p>
    <w:p w14:paraId="6C06CD9C" w14:textId="2972CA96" w:rsidR="00534098" w:rsidRDefault="00534098" w:rsidP="005079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54FB05FF" w14:textId="77777777" w:rsidTr="007A39EB">
        <w:trPr>
          <w:tblHeader/>
        </w:trPr>
        <w:tc>
          <w:tcPr>
            <w:tcW w:w="5000" w:type="pct"/>
            <w:tcBorders>
              <w:top w:val="single" w:sz="6" w:space="0" w:color="78A22F"/>
              <w:left w:val="nil"/>
              <w:bottom w:val="nil"/>
              <w:right w:val="nil"/>
            </w:tcBorders>
            <w:shd w:val="clear" w:color="auto" w:fill="auto"/>
          </w:tcPr>
          <w:p w14:paraId="5C0ABA2E" w14:textId="4963B9EA" w:rsidR="00534098" w:rsidRDefault="00534098" w:rsidP="007A39EB">
            <w:pPr>
              <w:pStyle w:val="FigureTitle"/>
            </w:pPr>
            <w:r w:rsidRPr="00784A05">
              <w:rPr>
                <w:b w:val="0"/>
              </w:rPr>
              <w:t xml:space="preserve">Figure </w:t>
            </w:r>
            <w:r>
              <w:rPr>
                <w:b w:val="0"/>
              </w:rPr>
              <w:t>21</w:t>
            </w:r>
            <w:r>
              <w:tab/>
              <w:t>MFP largely followed the same trends as labour productivity with some differences due to capital falling less than labour</w:t>
            </w:r>
          </w:p>
          <w:p w14:paraId="22954EC1" w14:textId="77777777" w:rsidR="00534098" w:rsidRPr="00176D3F" w:rsidRDefault="00534098" w:rsidP="007A39EB">
            <w:pPr>
              <w:pStyle w:val="Subtitle"/>
            </w:pPr>
            <w:r>
              <w:t>Multifactor productivity growth and contributions from capital deepening and labour productivity in market industries in 2019</w:t>
            </w:r>
            <w:r>
              <w:noBreakHyphen/>
              <w:t>20</w:t>
            </w:r>
          </w:p>
        </w:tc>
      </w:tr>
      <w:tr w:rsidR="00534098" w14:paraId="4BFECDC9"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5B15717C" w14:textId="77777777" w:rsidTr="007A39EB">
              <w:trPr>
                <w:tblHeader/>
                <w:jc w:val="center"/>
              </w:trPr>
              <w:tc>
                <w:tcPr>
                  <w:tcW w:w="8504" w:type="dxa"/>
                  <w:tcBorders>
                    <w:top w:val="nil"/>
                    <w:bottom w:val="nil"/>
                  </w:tcBorders>
                </w:tcPr>
                <w:p w14:paraId="3D21F735" w14:textId="32E76B8E" w:rsidR="00534098" w:rsidRPr="00B1465D" w:rsidRDefault="00534098" w:rsidP="007A39EB">
                  <w:pPr>
                    <w:pStyle w:val="Figure"/>
                    <w:spacing w:before="60" w:after="60"/>
                    <w:rPr>
                      <w:rFonts w:ascii="Arial" w:hAnsi="Arial" w:cs="Arial"/>
                      <w:sz w:val="18"/>
                      <w:szCs w:val="18"/>
                    </w:rPr>
                  </w:pPr>
                  <w:r>
                    <w:rPr>
                      <w:noProof/>
                    </w:rPr>
                    <w:drawing>
                      <wp:inline distT="0" distB="0" distL="0" distR="0" wp14:anchorId="5AD84C79" wp14:editId="6EBC09C8">
                        <wp:extent cx="5400675" cy="6124575"/>
                        <wp:effectExtent l="0" t="0" r="9525" b="9525"/>
                        <wp:docPr id="5" name="Graphic 5" descr="In this chart it can be seen that multifactor productivity growth during 2019-20 was very different between industries. This was driven (in general) by falling or increasing labour productivity i.e. those industries where MFP fell LP tended to fall as well. The industries which saw an increase in MFP were Mining, Retail, Recreation, IT, Other services and Finance. The industries where MFP fell include, Professional services, Wholesale, Accommodation, Manufacturing, Utilities, Construction, Transport, Real estate, Admin and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 this chart it can be seen that multifactor productivity growth during 2019-20 was very different between industries. This was driven (in general) by falling or increasing labour productivity i.e. those industries where MFP fell LP tended to fall as well. The industries which saw an increase in MFP were Mining, Retail, Recreation, IT, Other services and Finance. The industries where MFP fell include, Professional services, Wholesale, Accommodation, Manufacturing, Utilities, Construction, Transport, Real estate, Admin and Agriculture.  "/>
                                <pic:cNvPicPr/>
                              </pic:nvPicPr>
                              <pic:blipFill>
                                <a:blip r:embed="rId43">
                                  <a:extLst>
                                    <a:ext uri="{96DAC541-7B7A-43D3-8B79-37D633B846F1}">
                                      <asvg:svgBlip xmlns:asvg="http://schemas.microsoft.com/office/drawing/2016/SVG/main" r:embed="rId44"/>
                                    </a:ext>
                                  </a:extLst>
                                </a:blip>
                                <a:stretch>
                                  <a:fillRect/>
                                </a:stretch>
                              </pic:blipFill>
                              <pic:spPr>
                                <a:xfrm>
                                  <a:off x="0" y="0"/>
                                  <a:ext cx="5400675" cy="6124575"/>
                                </a:xfrm>
                                <a:prstGeom prst="rect">
                                  <a:avLst/>
                                </a:prstGeom>
                              </pic:spPr>
                            </pic:pic>
                          </a:graphicData>
                        </a:graphic>
                      </wp:inline>
                    </w:drawing>
                  </w:r>
                </w:p>
              </w:tc>
            </w:tr>
          </w:tbl>
          <w:p w14:paraId="60AF9BF4" w14:textId="77777777" w:rsidR="00534098" w:rsidRDefault="00534098" w:rsidP="007A39EB">
            <w:pPr>
              <w:pStyle w:val="Figure"/>
            </w:pPr>
          </w:p>
        </w:tc>
      </w:tr>
      <w:tr w:rsidR="00534098" w:rsidRPr="00176D3F" w14:paraId="161315D2" w14:textId="77777777" w:rsidTr="007A39EB">
        <w:tc>
          <w:tcPr>
            <w:tcW w:w="5000" w:type="pct"/>
            <w:tcBorders>
              <w:top w:val="nil"/>
              <w:left w:val="nil"/>
              <w:bottom w:val="nil"/>
              <w:right w:val="nil"/>
            </w:tcBorders>
            <w:shd w:val="clear" w:color="auto" w:fill="auto"/>
          </w:tcPr>
          <w:p w14:paraId="09297250" w14:textId="77777777" w:rsidR="00534098" w:rsidRPr="00176D3F" w:rsidRDefault="00534098" w:rsidP="007A39EB">
            <w:pPr>
              <w:pStyle w:val="Source"/>
            </w:pPr>
            <w:r>
              <w:rPr>
                <w:i/>
              </w:rPr>
              <w:t>S</w:t>
            </w:r>
            <w:r w:rsidRPr="00784A05">
              <w:rPr>
                <w:i/>
              </w:rPr>
              <w:t>ource</w:t>
            </w:r>
            <w:r w:rsidRPr="00176D3F">
              <w:t xml:space="preserve">: </w:t>
            </w:r>
            <w:r>
              <w:t>ABS (</w:t>
            </w:r>
            <w:r w:rsidRPr="00C422E7">
              <w:rPr>
                <w:i/>
                <w:iCs/>
              </w:rPr>
              <w:t>Estimates of Industry Multifactor Productivity</w:t>
            </w:r>
            <w:r w:rsidRPr="008E06DC">
              <w:rPr>
                <w:i/>
                <w:iCs/>
              </w:rPr>
              <w:t>, 2019</w:t>
            </w:r>
            <w:r w:rsidRPr="008E06DC">
              <w:rPr>
                <w:i/>
                <w:iCs/>
              </w:rPr>
              <w:noBreakHyphen/>
              <w:t>20</w:t>
            </w:r>
            <w:r>
              <w:t>, Cat. no. </w:t>
            </w:r>
            <w:r w:rsidRPr="000D1D3C">
              <w:t>5260.0.55.002</w:t>
            </w:r>
            <w:r w:rsidRPr="00260C3D">
              <w:t>.</w:t>
            </w:r>
            <w:r>
              <w:t>, table 6).</w:t>
            </w:r>
          </w:p>
        </w:tc>
      </w:tr>
      <w:tr w:rsidR="00534098" w14:paraId="210E361E" w14:textId="77777777" w:rsidTr="007A39EB">
        <w:tc>
          <w:tcPr>
            <w:tcW w:w="5000" w:type="pct"/>
            <w:tcBorders>
              <w:top w:val="nil"/>
              <w:left w:val="nil"/>
              <w:bottom w:val="single" w:sz="6" w:space="0" w:color="78A22F"/>
              <w:right w:val="nil"/>
            </w:tcBorders>
            <w:shd w:val="clear" w:color="auto" w:fill="auto"/>
          </w:tcPr>
          <w:p w14:paraId="7538D9F3" w14:textId="77777777" w:rsidR="00534098" w:rsidRDefault="00534098" w:rsidP="007A39EB">
            <w:pPr>
              <w:pStyle w:val="Figurespace"/>
            </w:pPr>
          </w:p>
        </w:tc>
      </w:tr>
      <w:tr w:rsidR="00534098" w:rsidRPr="000863A5" w14:paraId="3A4B3EDB" w14:textId="77777777" w:rsidTr="007A39EB">
        <w:tc>
          <w:tcPr>
            <w:tcW w:w="5000" w:type="pct"/>
            <w:tcBorders>
              <w:top w:val="single" w:sz="6" w:space="0" w:color="78A22F"/>
              <w:left w:val="nil"/>
              <w:bottom w:val="nil"/>
              <w:right w:val="nil"/>
            </w:tcBorders>
          </w:tcPr>
          <w:p w14:paraId="393ED3AC" w14:textId="33D29657" w:rsidR="00534098" w:rsidRPr="00626D32" w:rsidRDefault="00534098" w:rsidP="007A39EB">
            <w:pPr>
              <w:pStyle w:val="BoxSpaceBelow"/>
            </w:pPr>
          </w:p>
        </w:tc>
      </w:tr>
    </w:tbl>
    <w:p w14:paraId="71EF8596" w14:textId="77777777" w:rsidR="008A0CCC" w:rsidRDefault="008A0CCC" w:rsidP="008A0CCC">
      <w:pPr>
        <w:pStyle w:val="BodyText"/>
      </w:pPr>
      <w:r>
        <w:br w:type="page"/>
      </w:r>
    </w:p>
    <w:p w14:paraId="73B73B6F" w14:textId="1B359706" w:rsidR="00534098" w:rsidRPr="008A0CCC" w:rsidRDefault="00534098" w:rsidP="008A0CCC">
      <w:pPr>
        <w:pStyle w:val="Heading3"/>
        <w:keepLines/>
        <w:rPr>
          <w:spacing w:val="-8"/>
        </w:rPr>
      </w:pPr>
      <w:r w:rsidRPr="008A0CCC">
        <w:rPr>
          <w:spacing w:val="-8"/>
        </w:rPr>
        <w:t>Labour reallocation between industries had a positive effect on productivity</w:t>
      </w:r>
    </w:p>
    <w:p w14:paraId="57701665" w14:textId="77777777" w:rsidR="00534098" w:rsidRPr="000B1E04" w:rsidRDefault="00534098" w:rsidP="00534098">
      <w:pPr>
        <w:pStyle w:val="BodyText"/>
      </w:pPr>
      <w:r>
        <w:t>Aggregate labour productivity increases can come from two sources. There are productivity gains due to firms using labour more efficiently (</w:t>
      </w:r>
      <w:r w:rsidRPr="00387984">
        <w:rPr>
          <w:i/>
        </w:rPr>
        <w:t>within</w:t>
      </w:r>
      <w:r>
        <w:t xml:space="preserve"> effects) and there are the gains from labour moving from low to high productivity industries (</w:t>
      </w:r>
      <w:r w:rsidRPr="00387984">
        <w:rPr>
          <w:i/>
        </w:rPr>
        <w:t>between</w:t>
      </w:r>
      <w:r>
        <w:t xml:space="preserve"> effects). To understand the effects of changes in the distribution of labour across industries, the ABS decomposes market sector labour productivity growth into its contributions from the direct (within industries) effect and the reallocation (between industries) effect (appendix 1). Under this approach, industries have positive reallocation effects if they experience an increase in their labour inputs and their industry share of output (GVA) is greater than their industry share of labour (that is, they are higher than average labour productivity), or if they experience a fall in labour hours and their share of output is smaller than their share of hours (that is, they are lower than average labour productivity). An industry can increase its </w:t>
      </w:r>
      <w:r>
        <w:rPr>
          <w:i/>
          <w:iCs/>
        </w:rPr>
        <w:t>share</w:t>
      </w:r>
      <w:r>
        <w:t xml:space="preserve"> of total labour inputs even if its number of labour inputs </w:t>
      </w:r>
      <w:r>
        <w:rPr>
          <w:i/>
          <w:iCs/>
        </w:rPr>
        <w:t>falls</w:t>
      </w:r>
      <w:r>
        <w:t xml:space="preserve"> so long as its use of labour inputs falls proportionally less than the market sector average.</w:t>
      </w:r>
    </w:p>
    <w:p w14:paraId="02181150" w14:textId="04629F8F" w:rsidR="00534098" w:rsidRDefault="00534098" w:rsidP="00534098">
      <w:pPr>
        <w:pStyle w:val="BodyText"/>
      </w:pPr>
      <w:r>
        <w:t>In 2019</w:t>
      </w:r>
      <w:r>
        <w:noBreakHyphen/>
        <w:t xml:space="preserve">20, productivity growth was driven primarily by between effects; low productivity industries — such as </w:t>
      </w:r>
      <w:r w:rsidRPr="00695A84">
        <w:rPr>
          <w:i/>
          <w:iCs/>
        </w:rPr>
        <w:t>retail trade</w:t>
      </w:r>
      <w:r>
        <w:t xml:space="preserve"> and </w:t>
      </w:r>
      <w:r w:rsidRPr="00695A84">
        <w:rPr>
          <w:i/>
          <w:iCs/>
        </w:rPr>
        <w:t>accommodation and food services</w:t>
      </w:r>
      <w:r>
        <w:t xml:space="preserve"> — shed labour while higher productivity sectors — such as </w:t>
      </w:r>
      <w:r w:rsidRPr="00284292">
        <w:rPr>
          <w:i/>
          <w:iCs/>
        </w:rPr>
        <w:t>mining</w:t>
      </w:r>
      <w:r>
        <w:t xml:space="preserve"> and </w:t>
      </w:r>
      <w:r>
        <w:rPr>
          <w:i/>
          <w:iCs/>
        </w:rPr>
        <w:t>financial and insurance services</w:t>
      </w:r>
      <w:r>
        <w:t xml:space="preserve"> — maintained or grew their share of the workforce (table 4). Part of why this labour reallocation </w:t>
      </w:r>
      <w:r w:rsidR="00581ABC">
        <w:t>occurred</w:t>
      </w:r>
      <w:r>
        <w:t xml:space="preserve">, despite the implementation of JobKeeper and other subsidies, may reflect the heavy use of casual workers in retail and hospitality who may not have been eligible for JobKeeper (box 3). Some industries, such as </w:t>
      </w:r>
      <w:r w:rsidRPr="00074E81">
        <w:rPr>
          <w:i/>
          <w:iCs/>
        </w:rPr>
        <w:t>mining</w:t>
      </w:r>
      <w:r>
        <w:t xml:space="preserve"> and </w:t>
      </w:r>
      <w:r w:rsidRPr="00074E81">
        <w:rPr>
          <w:i/>
          <w:iCs/>
        </w:rPr>
        <w:t>arts and recreation</w:t>
      </w:r>
      <w:r>
        <w:t xml:space="preserve">, had significant contributions from within industry productivity growth but numerous other industries, such as </w:t>
      </w:r>
      <w:r w:rsidRPr="00074E81">
        <w:rPr>
          <w:i/>
          <w:iCs/>
        </w:rPr>
        <w:t>agriculture, forestry and fishing</w:t>
      </w:r>
      <w:r>
        <w:t xml:space="preserve"> and </w:t>
      </w:r>
      <w:r w:rsidRPr="00074E81">
        <w:rPr>
          <w:i/>
          <w:iCs/>
        </w:rPr>
        <w:t>manufacturing</w:t>
      </w:r>
      <w:r>
        <w:t xml:space="preserve">, experienced significant offsetting within industry productivity declines. </w:t>
      </w:r>
    </w:p>
    <w:p w14:paraId="705CDDC3" w14:textId="77777777" w:rsidR="00534098" w:rsidRPr="008A0CCC" w:rsidRDefault="00534098" w:rsidP="00534098">
      <w:pPr>
        <w:pStyle w:val="BodyText"/>
        <w:rPr>
          <w:spacing w:val="-4"/>
        </w:rPr>
      </w:pPr>
      <w:r w:rsidRPr="008A0CCC">
        <w:rPr>
          <w:spacing w:val="-4"/>
        </w:rPr>
        <w:t xml:space="preserve">Figure 22 shows the changes in hours worked in each industry, ordered by relative labour productivity. This confirms that higher productivity industries such as </w:t>
      </w:r>
      <w:r w:rsidRPr="008A0CCC">
        <w:rPr>
          <w:i/>
          <w:iCs/>
          <w:spacing w:val="-4"/>
        </w:rPr>
        <w:t>mining</w:t>
      </w:r>
      <w:r w:rsidRPr="008A0CCC">
        <w:rPr>
          <w:spacing w:val="-4"/>
        </w:rPr>
        <w:t xml:space="preserve">, </w:t>
      </w:r>
      <w:r w:rsidRPr="008A0CCC">
        <w:rPr>
          <w:i/>
          <w:iCs/>
          <w:spacing w:val="-4"/>
        </w:rPr>
        <w:t xml:space="preserve">financial and insurance </w:t>
      </w:r>
      <w:r w:rsidRPr="008A0CCC">
        <w:rPr>
          <w:spacing w:val="-4"/>
        </w:rPr>
        <w:t xml:space="preserve">services and </w:t>
      </w:r>
      <w:r w:rsidRPr="008A0CCC">
        <w:rPr>
          <w:i/>
          <w:iCs/>
          <w:spacing w:val="-4"/>
        </w:rPr>
        <w:t>electricity, gas waste and water services</w:t>
      </w:r>
      <w:r w:rsidRPr="008A0CCC">
        <w:rPr>
          <w:spacing w:val="-4"/>
        </w:rPr>
        <w:t xml:space="preserve"> increased their labour input usage, likely because these industries were little affected by COVID</w:t>
      </w:r>
      <w:r w:rsidRPr="008A0CCC">
        <w:rPr>
          <w:spacing w:val="-4"/>
        </w:rPr>
        <w:noBreakHyphen/>
        <w:t>19 restrictions. Whereas services with more face</w:t>
      </w:r>
      <w:r w:rsidRPr="008A0CCC">
        <w:rPr>
          <w:spacing w:val="-4"/>
        </w:rPr>
        <w:noBreakHyphen/>
        <w:t>to</w:t>
      </w:r>
      <w:r w:rsidRPr="008A0CCC">
        <w:rPr>
          <w:spacing w:val="-4"/>
        </w:rPr>
        <w:noBreakHyphen/>
        <w:t>face interactions, and lower relative labour productivity,</w:t>
      </w:r>
      <w:r w:rsidRPr="008A0CCC">
        <w:rPr>
          <w:i/>
          <w:iCs/>
          <w:spacing w:val="-4"/>
        </w:rPr>
        <w:t xml:space="preserve"> </w:t>
      </w:r>
      <w:r w:rsidRPr="008A0CCC">
        <w:rPr>
          <w:spacing w:val="-4"/>
        </w:rPr>
        <w:t xml:space="preserve">such as </w:t>
      </w:r>
      <w:r w:rsidRPr="008A0CCC">
        <w:rPr>
          <w:i/>
          <w:iCs/>
          <w:spacing w:val="-4"/>
        </w:rPr>
        <w:t>other services</w:t>
      </w:r>
      <w:r w:rsidRPr="008A0CCC">
        <w:rPr>
          <w:spacing w:val="-4"/>
        </w:rPr>
        <w:t xml:space="preserve">, </w:t>
      </w:r>
      <w:r w:rsidRPr="008A0CCC">
        <w:rPr>
          <w:i/>
          <w:iCs/>
          <w:spacing w:val="-4"/>
        </w:rPr>
        <w:t>accommodation and food services</w:t>
      </w:r>
      <w:r w:rsidRPr="008A0CCC">
        <w:rPr>
          <w:spacing w:val="-4"/>
        </w:rPr>
        <w:t xml:space="preserve">, and </w:t>
      </w:r>
      <w:r w:rsidRPr="008A0CCC">
        <w:rPr>
          <w:i/>
          <w:iCs/>
          <w:spacing w:val="-4"/>
        </w:rPr>
        <w:t xml:space="preserve">retail trade </w:t>
      </w:r>
      <w:r w:rsidRPr="008A0CCC">
        <w:rPr>
          <w:spacing w:val="-4"/>
        </w:rPr>
        <w:t xml:space="preserve">decreased their labour input usage. </w:t>
      </w:r>
    </w:p>
    <w:p w14:paraId="35B4686C" w14:textId="30DE43C6"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71DB34E6" w14:textId="77777777" w:rsidTr="007A39EB">
        <w:trPr>
          <w:tblHeader/>
        </w:trPr>
        <w:tc>
          <w:tcPr>
            <w:tcW w:w="5000" w:type="pct"/>
            <w:tcBorders>
              <w:top w:val="single" w:sz="6" w:space="0" w:color="78A22F"/>
              <w:left w:val="nil"/>
              <w:bottom w:val="nil"/>
              <w:right w:val="nil"/>
            </w:tcBorders>
            <w:shd w:val="clear" w:color="auto" w:fill="auto"/>
          </w:tcPr>
          <w:p w14:paraId="6516B4E6" w14:textId="74E67D59" w:rsidR="00534098" w:rsidRDefault="00534098" w:rsidP="007A39EB">
            <w:pPr>
              <w:pStyle w:val="TableTitle"/>
            </w:pPr>
            <w:r>
              <w:rPr>
                <w:b w:val="0"/>
              </w:rPr>
              <w:t>Table 4</w:t>
            </w:r>
            <w:r>
              <w:tab/>
              <w:t>Industry contribution to market sector labour productivity growth</w:t>
            </w:r>
          </w:p>
          <w:p w14:paraId="3326C834" w14:textId="77777777" w:rsidR="00534098" w:rsidRPr="00784A05" w:rsidRDefault="00534098" w:rsidP="007A39EB">
            <w:pPr>
              <w:pStyle w:val="Subtitle"/>
            </w:pPr>
            <w:r>
              <w:t>Contributions from ‘gross’ labour productivity growth, labour reallocation and total industry contribution</w:t>
            </w:r>
          </w:p>
        </w:tc>
      </w:tr>
      <w:tr w:rsidR="00534098" w14:paraId="233C5C60" w14:textId="77777777" w:rsidTr="007A39EB">
        <w:tc>
          <w:tcPr>
            <w:tcW w:w="5000" w:type="pct"/>
            <w:tcBorders>
              <w:top w:val="nil"/>
              <w:left w:val="nil"/>
              <w:bottom w:val="nil"/>
              <w:right w:val="nil"/>
            </w:tcBorders>
            <w:shd w:val="clear" w:color="auto" w:fill="auto"/>
          </w:tcPr>
          <w:tbl>
            <w:tblPr>
              <w:tblW w:w="9069" w:type="dxa"/>
              <w:tblCellMar>
                <w:top w:w="28" w:type="dxa"/>
                <w:left w:w="0" w:type="dxa"/>
                <w:right w:w="0" w:type="dxa"/>
              </w:tblCellMar>
              <w:tblLook w:val="0000" w:firstRow="0" w:lastRow="0" w:firstColumn="0" w:lastColumn="0" w:noHBand="0" w:noVBand="0"/>
            </w:tblPr>
            <w:tblGrid>
              <w:gridCol w:w="2550"/>
              <w:gridCol w:w="2053"/>
              <w:gridCol w:w="2240"/>
              <w:gridCol w:w="1758"/>
              <w:gridCol w:w="468"/>
            </w:tblGrid>
            <w:tr w:rsidR="00534098" w:rsidRPr="00F65F1B" w14:paraId="1151B488" w14:textId="77777777" w:rsidTr="007A39EB">
              <w:trPr>
                <w:tblHeader/>
              </w:trPr>
              <w:tc>
                <w:tcPr>
                  <w:tcW w:w="1406" w:type="pct"/>
                  <w:tcBorders>
                    <w:top w:val="single" w:sz="6" w:space="0" w:color="BFBFBF"/>
                    <w:bottom w:val="single" w:sz="6" w:space="0" w:color="BFBFBF"/>
                  </w:tcBorders>
                  <w:shd w:val="clear" w:color="auto" w:fill="auto"/>
                  <w:tcMar>
                    <w:top w:w="28" w:type="dxa"/>
                  </w:tcMar>
                </w:tcPr>
                <w:p w14:paraId="01895CBC" w14:textId="77777777" w:rsidR="00534098" w:rsidRDefault="00534098" w:rsidP="00BD4D68">
                  <w:pPr>
                    <w:pStyle w:val="TableColumnHeading"/>
                    <w:spacing w:after="40"/>
                    <w:jc w:val="left"/>
                  </w:pPr>
                </w:p>
              </w:tc>
              <w:tc>
                <w:tcPr>
                  <w:tcW w:w="2367" w:type="pct"/>
                  <w:gridSpan w:val="2"/>
                  <w:tcBorders>
                    <w:top w:val="single" w:sz="6" w:space="0" w:color="BFBFBF"/>
                    <w:bottom w:val="single" w:sz="6" w:space="0" w:color="BFBFBF"/>
                  </w:tcBorders>
                </w:tcPr>
                <w:p w14:paraId="0DB75178" w14:textId="77777777" w:rsidR="00534098" w:rsidRDefault="00534098" w:rsidP="00BD4D68">
                  <w:pPr>
                    <w:pStyle w:val="TableColumnHeading"/>
                    <w:spacing w:after="40"/>
                    <w:jc w:val="center"/>
                  </w:pPr>
                  <w:r>
                    <w:t>Contributions to growth</w:t>
                  </w:r>
                </w:p>
              </w:tc>
              <w:tc>
                <w:tcPr>
                  <w:tcW w:w="1227" w:type="pct"/>
                  <w:gridSpan w:val="2"/>
                  <w:tcBorders>
                    <w:top w:val="single" w:sz="6" w:space="0" w:color="BFBFBF"/>
                    <w:bottom w:val="single" w:sz="6" w:space="0" w:color="BFBFBF"/>
                  </w:tcBorders>
                </w:tcPr>
                <w:p w14:paraId="4CBD32C6" w14:textId="77777777" w:rsidR="00534098" w:rsidRDefault="00534098" w:rsidP="00BD4D68">
                  <w:pPr>
                    <w:pStyle w:val="TableColumnHeading"/>
                    <w:spacing w:after="40"/>
                    <w:jc w:val="center"/>
                  </w:pPr>
                </w:p>
              </w:tc>
            </w:tr>
            <w:tr w:rsidR="00534098" w14:paraId="064F2844" w14:textId="77777777" w:rsidTr="007A39EB">
              <w:trPr>
                <w:gridAfter w:val="1"/>
                <w:wAfter w:w="258" w:type="pct"/>
                <w:tblHeader/>
              </w:trPr>
              <w:tc>
                <w:tcPr>
                  <w:tcW w:w="1406" w:type="pct"/>
                  <w:tcBorders>
                    <w:top w:val="single" w:sz="6" w:space="0" w:color="BFBFBF"/>
                    <w:bottom w:val="single" w:sz="6" w:space="0" w:color="BFBFBF"/>
                  </w:tcBorders>
                  <w:shd w:val="clear" w:color="auto" w:fill="auto"/>
                  <w:tcMar>
                    <w:top w:w="28" w:type="dxa"/>
                  </w:tcMar>
                </w:tcPr>
                <w:p w14:paraId="06877211" w14:textId="77777777" w:rsidR="00534098" w:rsidRDefault="00534098" w:rsidP="00BD4D68">
                  <w:pPr>
                    <w:pStyle w:val="TableColumnHeading"/>
                    <w:spacing w:after="40"/>
                    <w:jc w:val="left"/>
                  </w:pPr>
                  <w:r>
                    <w:t>Industry</w:t>
                  </w:r>
                </w:p>
              </w:tc>
              <w:tc>
                <w:tcPr>
                  <w:tcW w:w="1132" w:type="pct"/>
                  <w:tcBorders>
                    <w:top w:val="single" w:sz="6" w:space="0" w:color="BFBFBF"/>
                    <w:bottom w:val="single" w:sz="6" w:space="0" w:color="BFBFBF"/>
                  </w:tcBorders>
                </w:tcPr>
                <w:p w14:paraId="6207AC44" w14:textId="215FAB4C" w:rsidR="00534098" w:rsidRDefault="00534098" w:rsidP="00BD4D68">
                  <w:pPr>
                    <w:pStyle w:val="TableColumnHeading"/>
                    <w:spacing w:after="40"/>
                  </w:pPr>
                  <w:r>
                    <w:t xml:space="preserve">Gross labour productivity </w:t>
                  </w:r>
                  <w:r w:rsidR="005079F3">
                    <w:br/>
                  </w:r>
                  <w:r>
                    <w:t>growth</w:t>
                  </w:r>
                </w:p>
              </w:tc>
              <w:tc>
                <w:tcPr>
                  <w:tcW w:w="1235" w:type="pct"/>
                  <w:tcBorders>
                    <w:top w:val="single" w:sz="6" w:space="0" w:color="BFBFBF"/>
                    <w:bottom w:val="single" w:sz="6" w:space="0" w:color="BFBFBF"/>
                  </w:tcBorders>
                </w:tcPr>
                <w:p w14:paraId="5B68A590" w14:textId="77777777" w:rsidR="00534098" w:rsidDel="00EF62C3" w:rsidRDefault="00534098" w:rsidP="00BD4D68">
                  <w:pPr>
                    <w:pStyle w:val="TableColumnHeading"/>
                    <w:spacing w:after="40"/>
                  </w:pPr>
                  <w:r>
                    <w:t>Labour reallocation</w:t>
                  </w:r>
                </w:p>
              </w:tc>
              <w:tc>
                <w:tcPr>
                  <w:tcW w:w="969" w:type="pct"/>
                  <w:tcBorders>
                    <w:top w:val="single" w:sz="6" w:space="0" w:color="BFBFBF"/>
                    <w:bottom w:val="single" w:sz="6" w:space="0" w:color="BFBFBF"/>
                  </w:tcBorders>
                </w:tcPr>
                <w:p w14:paraId="34CF0DBF" w14:textId="62C6E041" w:rsidR="00534098" w:rsidRDefault="00534098" w:rsidP="00BD4D68">
                  <w:pPr>
                    <w:pStyle w:val="TableColumnHeading"/>
                    <w:spacing w:after="40"/>
                  </w:pPr>
                  <w:r>
                    <w:t>Total industry</w:t>
                  </w:r>
                  <w:r w:rsidR="005079F3">
                    <w:br/>
                  </w:r>
                  <w:r>
                    <w:t>contribution</w:t>
                  </w:r>
                </w:p>
              </w:tc>
            </w:tr>
            <w:tr w:rsidR="00534098" w14:paraId="1DDB4A25" w14:textId="77777777" w:rsidTr="00B64400">
              <w:trPr>
                <w:gridAfter w:val="1"/>
                <w:wAfter w:w="258" w:type="pct"/>
              </w:trPr>
              <w:tc>
                <w:tcPr>
                  <w:tcW w:w="1406" w:type="pct"/>
                  <w:tcBorders>
                    <w:top w:val="single" w:sz="6" w:space="0" w:color="BFBFBF"/>
                  </w:tcBorders>
                  <w:shd w:val="clear" w:color="auto" w:fill="F2F2F2" w:themeFill="background1" w:themeFillShade="F2"/>
                </w:tcPr>
                <w:p w14:paraId="25C85DF2" w14:textId="77777777" w:rsidR="00534098" w:rsidRPr="006C7CA3" w:rsidRDefault="00534098" w:rsidP="00BD4D68">
                  <w:pPr>
                    <w:spacing w:before="80" w:after="40"/>
                    <w:rPr>
                      <w:rFonts w:cs="Arial"/>
                      <w:color w:val="000000"/>
                      <w:szCs w:val="18"/>
                    </w:rPr>
                  </w:pPr>
                  <w:r w:rsidRPr="006C7CA3">
                    <w:rPr>
                      <w:rFonts w:ascii="Arial" w:hAnsi="Arial" w:cs="Arial"/>
                      <w:color w:val="000000"/>
                      <w:sz w:val="18"/>
                      <w:szCs w:val="18"/>
                    </w:rPr>
                    <w:t xml:space="preserve">Agriculture, </w:t>
                  </w:r>
                  <w:r>
                    <w:rPr>
                      <w:rFonts w:ascii="Arial" w:hAnsi="Arial" w:cs="Arial"/>
                      <w:color w:val="000000"/>
                      <w:sz w:val="18"/>
                      <w:szCs w:val="18"/>
                    </w:rPr>
                    <w:t>f</w:t>
                  </w:r>
                  <w:r w:rsidRPr="006C7CA3">
                    <w:rPr>
                      <w:rFonts w:ascii="Arial" w:hAnsi="Arial" w:cs="Arial"/>
                      <w:color w:val="000000"/>
                      <w:sz w:val="18"/>
                      <w:szCs w:val="18"/>
                    </w:rPr>
                    <w:t xml:space="preserve">orestry and </w:t>
                  </w:r>
                  <w:r>
                    <w:rPr>
                      <w:rFonts w:ascii="Arial" w:hAnsi="Arial" w:cs="Arial"/>
                      <w:color w:val="000000"/>
                      <w:sz w:val="18"/>
                      <w:szCs w:val="18"/>
                    </w:rPr>
                    <w:t>f</w:t>
                  </w:r>
                  <w:r w:rsidRPr="006C7CA3">
                    <w:rPr>
                      <w:rFonts w:ascii="Arial" w:hAnsi="Arial" w:cs="Arial"/>
                      <w:color w:val="000000"/>
                      <w:sz w:val="18"/>
                      <w:szCs w:val="18"/>
                    </w:rPr>
                    <w:t>ishing</w:t>
                  </w:r>
                </w:p>
              </w:tc>
              <w:tc>
                <w:tcPr>
                  <w:tcW w:w="1132" w:type="pct"/>
                  <w:tcBorders>
                    <w:top w:val="nil"/>
                    <w:left w:val="nil"/>
                    <w:bottom w:val="nil"/>
                    <w:right w:val="nil"/>
                  </w:tcBorders>
                  <w:shd w:val="clear" w:color="auto" w:fill="F2F2F2" w:themeFill="background1" w:themeFillShade="F2"/>
                </w:tcPr>
                <w:p w14:paraId="12C8CAF5" w14:textId="77777777" w:rsidR="00534098" w:rsidRDefault="00534098" w:rsidP="00BD4D68">
                  <w:pPr>
                    <w:pStyle w:val="TableBodyText"/>
                    <w:spacing w:before="80"/>
                  </w:pPr>
                  <w:r>
                    <w:noBreakHyphen/>
                  </w:r>
                  <w:r w:rsidRPr="007B3D12">
                    <w:t>0.33</w:t>
                  </w:r>
                </w:p>
              </w:tc>
              <w:tc>
                <w:tcPr>
                  <w:tcW w:w="1235" w:type="pct"/>
                  <w:tcBorders>
                    <w:top w:val="nil"/>
                    <w:left w:val="nil"/>
                    <w:bottom w:val="nil"/>
                    <w:right w:val="nil"/>
                  </w:tcBorders>
                  <w:shd w:val="clear" w:color="auto" w:fill="F2F2F2" w:themeFill="background1" w:themeFillShade="F2"/>
                </w:tcPr>
                <w:p w14:paraId="3C1EDBC4" w14:textId="77777777" w:rsidR="00534098" w:rsidRDefault="00534098" w:rsidP="00BD4D68">
                  <w:pPr>
                    <w:pStyle w:val="TableBodyText"/>
                    <w:spacing w:before="80"/>
                  </w:pPr>
                  <w:r>
                    <w:noBreakHyphen/>
                    <w:t>0.04</w:t>
                  </w:r>
                </w:p>
              </w:tc>
              <w:tc>
                <w:tcPr>
                  <w:tcW w:w="969" w:type="pct"/>
                  <w:tcBorders>
                    <w:top w:val="nil"/>
                    <w:left w:val="nil"/>
                    <w:bottom w:val="nil"/>
                    <w:right w:val="nil"/>
                  </w:tcBorders>
                  <w:shd w:val="clear" w:color="auto" w:fill="F2F2F2" w:themeFill="background1" w:themeFillShade="F2"/>
                </w:tcPr>
                <w:p w14:paraId="06E1C1FA" w14:textId="77777777" w:rsidR="00534098" w:rsidRDefault="00534098" w:rsidP="00BD4D68">
                  <w:pPr>
                    <w:pStyle w:val="TableBodyText"/>
                    <w:spacing w:before="80"/>
                  </w:pPr>
                  <w:r>
                    <w:noBreakHyphen/>
                  </w:r>
                  <w:r w:rsidRPr="00372D1F">
                    <w:t>0.37</w:t>
                  </w:r>
                </w:p>
              </w:tc>
            </w:tr>
            <w:tr w:rsidR="00534098" w14:paraId="0C468106" w14:textId="77777777" w:rsidTr="00B64400">
              <w:trPr>
                <w:gridAfter w:val="1"/>
                <w:wAfter w:w="258" w:type="pct"/>
              </w:trPr>
              <w:tc>
                <w:tcPr>
                  <w:tcW w:w="1406" w:type="pct"/>
                </w:tcPr>
                <w:p w14:paraId="00B83B5F"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Mining</w:t>
                  </w:r>
                </w:p>
              </w:tc>
              <w:tc>
                <w:tcPr>
                  <w:tcW w:w="1132" w:type="pct"/>
                  <w:tcBorders>
                    <w:top w:val="nil"/>
                    <w:left w:val="nil"/>
                    <w:bottom w:val="nil"/>
                    <w:right w:val="nil"/>
                  </w:tcBorders>
                  <w:shd w:val="clear" w:color="auto" w:fill="auto"/>
                </w:tcPr>
                <w:p w14:paraId="36CA5B64" w14:textId="77777777" w:rsidR="00534098" w:rsidRDefault="00534098" w:rsidP="00BD4D68">
                  <w:pPr>
                    <w:pStyle w:val="TableBodyText"/>
                  </w:pPr>
                  <w:r w:rsidRPr="007B3D12">
                    <w:t>0.46</w:t>
                  </w:r>
                </w:p>
              </w:tc>
              <w:tc>
                <w:tcPr>
                  <w:tcW w:w="1235" w:type="pct"/>
                  <w:tcBorders>
                    <w:top w:val="nil"/>
                    <w:left w:val="nil"/>
                    <w:bottom w:val="nil"/>
                    <w:right w:val="nil"/>
                  </w:tcBorders>
                </w:tcPr>
                <w:p w14:paraId="0C20E7CB" w14:textId="77777777" w:rsidR="00534098" w:rsidRDefault="00534098" w:rsidP="00BD4D68">
                  <w:pPr>
                    <w:pStyle w:val="TableBodyText"/>
                  </w:pPr>
                  <w:r>
                    <w:t>0.19</w:t>
                  </w:r>
                </w:p>
              </w:tc>
              <w:tc>
                <w:tcPr>
                  <w:tcW w:w="969" w:type="pct"/>
                  <w:tcBorders>
                    <w:top w:val="nil"/>
                    <w:left w:val="nil"/>
                    <w:bottom w:val="nil"/>
                    <w:right w:val="nil"/>
                  </w:tcBorders>
                  <w:shd w:val="clear" w:color="auto" w:fill="auto"/>
                </w:tcPr>
                <w:p w14:paraId="65691B3B" w14:textId="77777777" w:rsidR="00534098" w:rsidRDefault="00534098" w:rsidP="00BD4D68">
                  <w:pPr>
                    <w:pStyle w:val="TableBodyText"/>
                  </w:pPr>
                  <w:r w:rsidRPr="00372D1F">
                    <w:t>0.65</w:t>
                  </w:r>
                </w:p>
              </w:tc>
            </w:tr>
            <w:tr w:rsidR="00534098" w14:paraId="4A66BAE0" w14:textId="77777777" w:rsidTr="00B64400">
              <w:trPr>
                <w:gridAfter w:val="1"/>
                <w:wAfter w:w="258" w:type="pct"/>
              </w:trPr>
              <w:tc>
                <w:tcPr>
                  <w:tcW w:w="1406" w:type="pct"/>
                  <w:shd w:val="clear" w:color="auto" w:fill="F2F2F2" w:themeFill="background1" w:themeFillShade="F2"/>
                </w:tcPr>
                <w:p w14:paraId="07D08DD0"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Manufacturing</w:t>
                  </w:r>
                </w:p>
              </w:tc>
              <w:tc>
                <w:tcPr>
                  <w:tcW w:w="1132" w:type="pct"/>
                  <w:tcBorders>
                    <w:top w:val="nil"/>
                    <w:left w:val="nil"/>
                    <w:bottom w:val="nil"/>
                    <w:right w:val="nil"/>
                  </w:tcBorders>
                  <w:shd w:val="clear" w:color="auto" w:fill="F2F2F2" w:themeFill="background1" w:themeFillShade="F2"/>
                </w:tcPr>
                <w:p w14:paraId="66DD14BD" w14:textId="77777777" w:rsidR="00534098" w:rsidRDefault="00534098" w:rsidP="00BD4D68">
                  <w:pPr>
                    <w:pStyle w:val="TableBodyText"/>
                  </w:pPr>
                  <w:r>
                    <w:noBreakHyphen/>
                  </w:r>
                  <w:r w:rsidRPr="007B3D12">
                    <w:t>0.33</w:t>
                  </w:r>
                </w:p>
              </w:tc>
              <w:tc>
                <w:tcPr>
                  <w:tcW w:w="1235" w:type="pct"/>
                  <w:tcBorders>
                    <w:top w:val="nil"/>
                    <w:left w:val="nil"/>
                    <w:bottom w:val="nil"/>
                    <w:right w:val="nil"/>
                  </w:tcBorders>
                  <w:shd w:val="clear" w:color="auto" w:fill="F2F2F2" w:themeFill="background1" w:themeFillShade="F2"/>
                </w:tcPr>
                <w:p w14:paraId="4A718EFF" w14:textId="77777777" w:rsidR="00534098" w:rsidRDefault="00534098" w:rsidP="00BD4D68">
                  <w:pPr>
                    <w:pStyle w:val="TableBodyText"/>
                  </w:pPr>
                  <w:r>
                    <w:noBreakHyphen/>
                    <w:t>0.05</w:t>
                  </w:r>
                </w:p>
              </w:tc>
              <w:tc>
                <w:tcPr>
                  <w:tcW w:w="969" w:type="pct"/>
                  <w:tcBorders>
                    <w:top w:val="nil"/>
                    <w:left w:val="nil"/>
                    <w:bottom w:val="nil"/>
                    <w:right w:val="nil"/>
                  </w:tcBorders>
                  <w:shd w:val="clear" w:color="auto" w:fill="F2F2F2" w:themeFill="background1" w:themeFillShade="F2"/>
                </w:tcPr>
                <w:p w14:paraId="01879B8A" w14:textId="77777777" w:rsidR="00534098" w:rsidRDefault="00534098" w:rsidP="00BD4D68">
                  <w:pPr>
                    <w:pStyle w:val="TableBodyText"/>
                  </w:pPr>
                  <w:r>
                    <w:noBreakHyphen/>
                  </w:r>
                  <w:r w:rsidRPr="00372D1F">
                    <w:t>0.38</w:t>
                  </w:r>
                </w:p>
              </w:tc>
            </w:tr>
            <w:tr w:rsidR="00534098" w14:paraId="057DC2A3" w14:textId="77777777" w:rsidTr="00B64400">
              <w:trPr>
                <w:gridAfter w:val="1"/>
                <w:wAfter w:w="258" w:type="pct"/>
              </w:trPr>
              <w:tc>
                <w:tcPr>
                  <w:tcW w:w="1406" w:type="pct"/>
                  <w:shd w:val="clear" w:color="auto" w:fill="auto"/>
                </w:tcPr>
                <w:p w14:paraId="621BF0A0"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Electricity, </w:t>
                  </w:r>
                  <w:r>
                    <w:rPr>
                      <w:rFonts w:ascii="Arial" w:hAnsi="Arial" w:cs="Arial"/>
                      <w:color w:val="000000"/>
                      <w:sz w:val="18"/>
                      <w:szCs w:val="18"/>
                    </w:rPr>
                    <w:t>g</w:t>
                  </w:r>
                  <w:r w:rsidRPr="006C7CA3">
                    <w:rPr>
                      <w:rFonts w:ascii="Arial" w:hAnsi="Arial" w:cs="Arial"/>
                      <w:color w:val="000000"/>
                      <w:sz w:val="18"/>
                      <w:szCs w:val="18"/>
                    </w:rPr>
                    <w:t xml:space="preserve">as, </w:t>
                  </w:r>
                  <w:r>
                    <w:rPr>
                      <w:rFonts w:ascii="Arial" w:hAnsi="Arial" w:cs="Arial"/>
                      <w:color w:val="000000"/>
                      <w:sz w:val="18"/>
                      <w:szCs w:val="18"/>
                    </w:rPr>
                    <w:t>w</w:t>
                  </w:r>
                  <w:r w:rsidRPr="006C7CA3">
                    <w:rPr>
                      <w:rFonts w:ascii="Arial" w:hAnsi="Arial" w:cs="Arial"/>
                      <w:color w:val="000000"/>
                      <w:sz w:val="18"/>
                      <w:szCs w:val="18"/>
                    </w:rPr>
                    <w:t xml:space="preserve">ater and </w:t>
                  </w:r>
                  <w:r>
                    <w:rPr>
                      <w:rFonts w:ascii="Arial" w:hAnsi="Arial" w:cs="Arial"/>
                      <w:color w:val="000000"/>
                      <w:sz w:val="18"/>
                      <w:szCs w:val="18"/>
                    </w:rPr>
                    <w:t>w</w:t>
                  </w:r>
                  <w:r w:rsidRPr="006C7CA3">
                    <w:rPr>
                      <w:rFonts w:ascii="Arial" w:hAnsi="Arial" w:cs="Arial"/>
                      <w:color w:val="000000"/>
                      <w:sz w:val="18"/>
                      <w:szCs w:val="18"/>
                    </w:rPr>
                    <w:t xml:space="preserve">aste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auto"/>
                </w:tcPr>
                <w:p w14:paraId="64EB19D7" w14:textId="77777777" w:rsidR="00534098" w:rsidRDefault="00534098" w:rsidP="00BD4D68">
                  <w:pPr>
                    <w:pStyle w:val="TableBodyText"/>
                  </w:pPr>
                  <w:r>
                    <w:noBreakHyphen/>
                  </w:r>
                  <w:r w:rsidRPr="00387984">
                    <w:t>0.08</w:t>
                  </w:r>
                </w:p>
              </w:tc>
              <w:tc>
                <w:tcPr>
                  <w:tcW w:w="1235" w:type="pct"/>
                  <w:tcBorders>
                    <w:top w:val="nil"/>
                    <w:left w:val="nil"/>
                    <w:bottom w:val="nil"/>
                    <w:right w:val="nil"/>
                  </w:tcBorders>
                </w:tcPr>
                <w:p w14:paraId="2A4B46A4" w14:textId="77777777" w:rsidR="00534098" w:rsidRPr="003B4047" w:rsidRDefault="00534098" w:rsidP="00BD4D68">
                  <w:pPr>
                    <w:pStyle w:val="TableBodyText"/>
                  </w:pPr>
                  <w:r w:rsidRPr="00CA6A7D">
                    <w:t>0.01</w:t>
                  </w:r>
                </w:p>
              </w:tc>
              <w:tc>
                <w:tcPr>
                  <w:tcW w:w="969" w:type="pct"/>
                  <w:tcBorders>
                    <w:top w:val="nil"/>
                    <w:left w:val="nil"/>
                    <w:bottom w:val="nil"/>
                    <w:right w:val="nil"/>
                  </w:tcBorders>
                  <w:shd w:val="clear" w:color="auto" w:fill="auto"/>
                </w:tcPr>
                <w:p w14:paraId="24E1CCE2" w14:textId="77777777" w:rsidR="00534098" w:rsidRPr="00CA6A7D" w:rsidRDefault="00534098" w:rsidP="00BD4D68">
                  <w:pPr>
                    <w:pStyle w:val="TableBodyText"/>
                  </w:pPr>
                  <w:r>
                    <w:noBreakHyphen/>
                  </w:r>
                  <w:r w:rsidRPr="00372D1F">
                    <w:t>0.07</w:t>
                  </w:r>
                </w:p>
              </w:tc>
            </w:tr>
            <w:tr w:rsidR="00534098" w14:paraId="4505C7BB" w14:textId="77777777" w:rsidTr="00B64400">
              <w:trPr>
                <w:gridAfter w:val="1"/>
                <w:wAfter w:w="258" w:type="pct"/>
              </w:trPr>
              <w:tc>
                <w:tcPr>
                  <w:tcW w:w="1406" w:type="pct"/>
                  <w:shd w:val="clear" w:color="auto" w:fill="F2F2F2" w:themeFill="background1" w:themeFillShade="F2"/>
                </w:tcPr>
                <w:p w14:paraId="44A09419"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Construction</w:t>
                  </w:r>
                </w:p>
              </w:tc>
              <w:tc>
                <w:tcPr>
                  <w:tcW w:w="1132" w:type="pct"/>
                  <w:tcBorders>
                    <w:top w:val="nil"/>
                    <w:left w:val="nil"/>
                    <w:bottom w:val="nil"/>
                    <w:right w:val="nil"/>
                  </w:tcBorders>
                  <w:shd w:val="clear" w:color="auto" w:fill="F2F2F2" w:themeFill="background1" w:themeFillShade="F2"/>
                </w:tcPr>
                <w:p w14:paraId="5F5E555A" w14:textId="77777777" w:rsidR="00534098" w:rsidRDefault="00534098" w:rsidP="00BD4D68">
                  <w:pPr>
                    <w:pStyle w:val="TableBodyText"/>
                  </w:pPr>
                  <w:r>
                    <w:noBreakHyphen/>
                  </w:r>
                  <w:r w:rsidRPr="00387984">
                    <w:t>0.28</w:t>
                  </w:r>
                </w:p>
              </w:tc>
              <w:tc>
                <w:tcPr>
                  <w:tcW w:w="1235" w:type="pct"/>
                  <w:tcBorders>
                    <w:top w:val="nil"/>
                    <w:left w:val="nil"/>
                    <w:bottom w:val="nil"/>
                    <w:right w:val="nil"/>
                  </w:tcBorders>
                  <w:shd w:val="clear" w:color="auto" w:fill="F2F2F2" w:themeFill="background1" w:themeFillShade="F2"/>
                </w:tcPr>
                <w:p w14:paraId="40FD4878" w14:textId="77777777" w:rsidR="00534098" w:rsidRPr="003B4047" w:rsidRDefault="00534098" w:rsidP="00BD4D68">
                  <w:pPr>
                    <w:pStyle w:val="TableBodyText"/>
                  </w:pPr>
                  <w:r w:rsidRPr="00CA6A7D">
                    <w:t>0.07</w:t>
                  </w:r>
                </w:p>
              </w:tc>
              <w:tc>
                <w:tcPr>
                  <w:tcW w:w="969" w:type="pct"/>
                  <w:tcBorders>
                    <w:top w:val="nil"/>
                    <w:left w:val="nil"/>
                    <w:bottom w:val="nil"/>
                    <w:right w:val="nil"/>
                  </w:tcBorders>
                  <w:shd w:val="clear" w:color="auto" w:fill="F2F2F2" w:themeFill="background1" w:themeFillShade="F2"/>
                </w:tcPr>
                <w:p w14:paraId="4FD1F737" w14:textId="77777777" w:rsidR="00534098" w:rsidRPr="00CA6A7D" w:rsidRDefault="00534098" w:rsidP="00BD4D68">
                  <w:pPr>
                    <w:pStyle w:val="TableBodyText"/>
                  </w:pPr>
                  <w:r>
                    <w:noBreakHyphen/>
                  </w:r>
                  <w:r w:rsidRPr="00372D1F">
                    <w:t>0.21</w:t>
                  </w:r>
                </w:p>
              </w:tc>
            </w:tr>
            <w:tr w:rsidR="00534098" w14:paraId="4C2FAB57" w14:textId="77777777" w:rsidTr="00B64400">
              <w:trPr>
                <w:gridAfter w:val="1"/>
                <w:wAfter w:w="258" w:type="pct"/>
              </w:trPr>
              <w:tc>
                <w:tcPr>
                  <w:tcW w:w="1406" w:type="pct"/>
                  <w:shd w:val="clear" w:color="auto" w:fill="auto"/>
                </w:tcPr>
                <w:p w14:paraId="09CC271B"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Wholesale </w:t>
                  </w:r>
                  <w:r>
                    <w:rPr>
                      <w:rFonts w:ascii="Arial" w:hAnsi="Arial" w:cs="Arial"/>
                      <w:color w:val="000000"/>
                      <w:sz w:val="18"/>
                      <w:szCs w:val="18"/>
                    </w:rPr>
                    <w:t>t</w:t>
                  </w:r>
                  <w:r w:rsidRPr="006C7CA3">
                    <w:rPr>
                      <w:rFonts w:ascii="Arial" w:hAnsi="Arial" w:cs="Arial"/>
                      <w:color w:val="000000"/>
                      <w:sz w:val="18"/>
                      <w:szCs w:val="18"/>
                    </w:rPr>
                    <w:t>rade</w:t>
                  </w:r>
                </w:p>
              </w:tc>
              <w:tc>
                <w:tcPr>
                  <w:tcW w:w="1132" w:type="pct"/>
                  <w:tcBorders>
                    <w:top w:val="nil"/>
                    <w:left w:val="nil"/>
                    <w:bottom w:val="nil"/>
                    <w:right w:val="nil"/>
                  </w:tcBorders>
                  <w:shd w:val="clear" w:color="auto" w:fill="auto"/>
                </w:tcPr>
                <w:p w14:paraId="7804E5EF" w14:textId="77777777" w:rsidR="00534098" w:rsidRDefault="00534098" w:rsidP="00BD4D68">
                  <w:pPr>
                    <w:pStyle w:val="TableBodyText"/>
                  </w:pPr>
                  <w:r>
                    <w:noBreakHyphen/>
                  </w:r>
                  <w:r w:rsidRPr="00387984">
                    <w:t>0.04</w:t>
                  </w:r>
                </w:p>
              </w:tc>
              <w:tc>
                <w:tcPr>
                  <w:tcW w:w="1235" w:type="pct"/>
                  <w:tcBorders>
                    <w:top w:val="nil"/>
                    <w:left w:val="nil"/>
                    <w:bottom w:val="nil"/>
                    <w:right w:val="nil"/>
                  </w:tcBorders>
                </w:tcPr>
                <w:p w14:paraId="6EF60BB1" w14:textId="77777777" w:rsidR="00534098" w:rsidRPr="003B4047" w:rsidRDefault="00534098" w:rsidP="00BD4D68">
                  <w:pPr>
                    <w:pStyle w:val="TableBodyText"/>
                  </w:pPr>
                  <w:r>
                    <w:noBreakHyphen/>
                  </w:r>
                  <w:r w:rsidRPr="00CA6A7D">
                    <w:t>0.01</w:t>
                  </w:r>
                </w:p>
              </w:tc>
              <w:tc>
                <w:tcPr>
                  <w:tcW w:w="969" w:type="pct"/>
                  <w:tcBorders>
                    <w:top w:val="nil"/>
                    <w:left w:val="nil"/>
                    <w:bottom w:val="nil"/>
                    <w:right w:val="nil"/>
                  </w:tcBorders>
                  <w:shd w:val="clear" w:color="auto" w:fill="auto"/>
                </w:tcPr>
                <w:p w14:paraId="702B6787" w14:textId="77777777" w:rsidR="00534098" w:rsidRPr="00CA6A7D" w:rsidRDefault="00534098" w:rsidP="00BD4D68">
                  <w:pPr>
                    <w:pStyle w:val="TableBodyText"/>
                  </w:pPr>
                  <w:r>
                    <w:noBreakHyphen/>
                  </w:r>
                  <w:r w:rsidRPr="00372D1F">
                    <w:t>0.05</w:t>
                  </w:r>
                </w:p>
              </w:tc>
            </w:tr>
            <w:tr w:rsidR="00534098" w14:paraId="232BBE57" w14:textId="77777777" w:rsidTr="00B64400">
              <w:trPr>
                <w:gridAfter w:val="1"/>
                <w:wAfter w:w="258" w:type="pct"/>
              </w:trPr>
              <w:tc>
                <w:tcPr>
                  <w:tcW w:w="1406" w:type="pct"/>
                  <w:shd w:val="clear" w:color="auto" w:fill="F2F2F2" w:themeFill="background1" w:themeFillShade="F2"/>
                </w:tcPr>
                <w:p w14:paraId="5BCD07D7"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Retail </w:t>
                  </w:r>
                  <w:r>
                    <w:rPr>
                      <w:rFonts w:ascii="Arial" w:hAnsi="Arial" w:cs="Arial"/>
                      <w:color w:val="000000"/>
                      <w:sz w:val="18"/>
                      <w:szCs w:val="18"/>
                    </w:rPr>
                    <w:t>t</w:t>
                  </w:r>
                  <w:r w:rsidRPr="006C7CA3">
                    <w:rPr>
                      <w:rFonts w:ascii="Arial" w:hAnsi="Arial" w:cs="Arial"/>
                      <w:color w:val="000000"/>
                      <w:sz w:val="18"/>
                      <w:szCs w:val="18"/>
                    </w:rPr>
                    <w:t>rade</w:t>
                  </w:r>
                </w:p>
              </w:tc>
              <w:tc>
                <w:tcPr>
                  <w:tcW w:w="1132" w:type="pct"/>
                  <w:tcBorders>
                    <w:top w:val="nil"/>
                    <w:left w:val="nil"/>
                    <w:bottom w:val="nil"/>
                    <w:right w:val="nil"/>
                  </w:tcBorders>
                  <w:shd w:val="clear" w:color="auto" w:fill="F2F2F2" w:themeFill="background1" w:themeFillShade="F2"/>
                </w:tcPr>
                <w:p w14:paraId="63B297C6" w14:textId="77777777" w:rsidR="00534098" w:rsidRDefault="00534098" w:rsidP="00BD4D68">
                  <w:pPr>
                    <w:pStyle w:val="TableBodyText"/>
                  </w:pPr>
                  <w:r w:rsidRPr="00387984">
                    <w:t>0.30</w:t>
                  </w:r>
                </w:p>
              </w:tc>
              <w:tc>
                <w:tcPr>
                  <w:tcW w:w="1235" w:type="pct"/>
                  <w:tcBorders>
                    <w:top w:val="nil"/>
                    <w:left w:val="nil"/>
                    <w:bottom w:val="nil"/>
                    <w:right w:val="nil"/>
                  </w:tcBorders>
                  <w:shd w:val="clear" w:color="auto" w:fill="F2F2F2" w:themeFill="background1" w:themeFillShade="F2"/>
                </w:tcPr>
                <w:p w14:paraId="55756A82" w14:textId="77777777" w:rsidR="00534098" w:rsidRPr="003B4047" w:rsidRDefault="00534098" w:rsidP="00BD4D68">
                  <w:pPr>
                    <w:pStyle w:val="TableBodyText"/>
                  </w:pPr>
                  <w:r w:rsidRPr="00CA6A7D">
                    <w:t>0.29</w:t>
                  </w:r>
                </w:p>
              </w:tc>
              <w:tc>
                <w:tcPr>
                  <w:tcW w:w="969" w:type="pct"/>
                  <w:tcBorders>
                    <w:top w:val="nil"/>
                    <w:left w:val="nil"/>
                    <w:bottom w:val="nil"/>
                    <w:right w:val="nil"/>
                  </w:tcBorders>
                  <w:shd w:val="clear" w:color="auto" w:fill="F2F2F2" w:themeFill="background1" w:themeFillShade="F2"/>
                </w:tcPr>
                <w:p w14:paraId="1483E66E" w14:textId="77777777" w:rsidR="00534098" w:rsidRPr="00CA6A7D" w:rsidRDefault="00534098" w:rsidP="00BD4D68">
                  <w:pPr>
                    <w:pStyle w:val="TableBodyText"/>
                  </w:pPr>
                  <w:r w:rsidRPr="00372D1F">
                    <w:t>0.59</w:t>
                  </w:r>
                </w:p>
              </w:tc>
            </w:tr>
            <w:tr w:rsidR="00534098" w14:paraId="22E3B892" w14:textId="77777777" w:rsidTr="00B64400">
              <w:trPr>
                <w:gridAfter w:val="1"/>
                <w:wAfter w:w="258" w:type="pct"/>
              </w:trPr>
              <w:tc>
                <w:tcPr>
                  <w:tcW w:w="1406" w:type="pct"/>
                  <w:shd w:val="clear" w:color="auto" w:fill="auto"/>
                </w:tcPr>
                <w:p w14:paraId="6031C1CE"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Accommodation and </w:t>
                  </w:r>
                  <w:r>
                    <w:rPr>
                      <w:rFonts w:ascii="Arial" w:hAnsi="Arial" w:cs="Arial"/>
                      <w:color w:val="000000"/>
                      <w:sz w:val="18"/>
                      <w:szCs w:val="18"/>
                    </w:rPr>
                    <w:t>f</w:t>
                  </w:r>
                  <w:r w:rsidRPr="006C7CA3">
                    <w:rPr>
                      <w:rFonts w:ascii="Arial" w:hAnsi="Arial" w:cs="Arial"/>
                      <w:color w:val="000000"/>
                      <w:sz w:val="18"/>
                      <w:szCs w:val="18"/>
                    </w:rPr>
                    <w:t xml:space="preserve">ood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auto"/>
                </w:tcPr>
                <w:p w14:paraId="6FE4F07F" w14:textId="77777777" w:rsidR="00534098" w:rsidRDefault="00534098" w:rsidP="00BD4D68">
                  <w:pPr>
                    <w:pStyle w:val="TableBodyText"/>
                  </w:pPr>
                  <w:r>
                    <w:noBreakHyphen/>
                  </w:r>
                  <w:r w:rsidRPr="00387984">
                    <w:t>0.01</w:t>
                  </w:r>
                </w:p>
              </w:tc>
              <w:tc>
                <w:tcPr>
                  <w:tcW w:w="1235" w:type="pct"/>
                  <w:tcBorders>
                    <w:top w:val="nil"/>
                    <w:left w:val="nil"/>
                    <w:bottom w:val="nil"/>
                    <w:right w:val="nil"/>
                  </w:tcBorders>
                </w:tcPr>
                <w:p w14:paraId="3CEB3139" w14:textId="77777777" w:rsidR="00534098" w:rsidRPr="003B4047" w:rsidRDefault="00534098" w:rsidP="00BD4D68">
                  <w:pPr>
                    <w:pStyle w:val="TableBodyText"/>
                  </w:pPr>
                  <w:r w:rsidRPr="00CA6A7D">
                    <w:t>0.50</w:t>
                  </w:r>
                </w:p>
              </w:tc>
              <w:tc>
                <w:tcPr>
                  <w:tcW w:w="969" w:type="pct"/>
                  <w:tcBorders>
                    <w:top w:val="nil"/>
                    <w:left w:val="nil"/>
                    <w:bottom w:val="nil"/>
                    <w:right w:val="nil"/>
                  </w:tcBorders>
                  <w:shd w:val="clear" w:color="auto" w:fill="auto"/>
                </w:tcPr>
                <w:p w14:paraId="25CC1F91" w14:textId="77777777" w:rsidR="00534098" w:rsidRPr="00CA6A7D" w:rsidRDefault="00534098" w:rsidP="00BD4D68">
                  <w:pPr>
                    <w:pStyle w:val="TableBodyText"/>
                  </w:pPr>
                  <w:r w:rsidRPr="00372D1F">
                    <w:t>0.49</w:t>
                  </w:r>
                </w:p>
              </w:tc>
            </w:tr>
            <w:tr w:rsidR="00534098" w14:paraId="2F4D79D9" w14:textId="77777777" w:rsidTr="00B64400">
              <w:trPr>
                <w:gridAfter w:val="1"/>
                <w:wAfter w:w="258" w:type="pct"/>
              </w:trPr>
              <w:tc>
                <w:tcPr>
                  <w:tcW w:w="1406" w:type="pct"/>
                  <w:shd w:val="clear" w:color="auto" w:fill="F2F2F2" w:themeFill="background1" w:themeFillShade="F2"/>
                </w:tcPr>
                <w:p w14:paraId="152C8A0A"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Transport, </w:t>
                  </w:r>
                  <w:r>
                    <w:rPr>
                      <w:rFonts w:ascii="Arial" w:hAnsi="Arial" w:cs="Arial"/>
                      <w:color w:val="000000"/>
                      <w:sz w:val="18"/>
                      <w:szCs w:val="18"/>
                    </w:rPr>
                    <w:t>p</w:t>
                  </w:r>
                  <w:r w:rsidRPr="006C7CA3">
                    <w:rPr>
                      <w:rFonts w:ascii="Arial" w:hAnsi="Arial" w:cs="Arial"/>
                      <w:color w:val="000000"/>
                      <w:sz w:val="18"/>
                      <w:szCs w:val="18"/>
                    </w:rPr>
                    <w:t xml:space="preserve">ostal and </w:t>
                  </w:r>
                  <w:r>
                    <w:rPr>
                      <w:rFonts w:ascii="Arial" w:hAnsi="Arial" w:cs="Arial"/>
                      <w:color w:val="000000"/>
                      <w:sz w:val="18"/>
                      <w:szCs w:val="18"/>
                    </w:rPr>
                    <w:t>w</w:t>
                  </w:r>
                  <w:r w:rsidRPr="006C7CA3">
                    <w:rPr>
                      <w:rFonts w:ascii="Arial" w:hAnsi="Arial" w:cs="Arial"/>
                      <w:color w:val="000000"/>
                      <w:sz w:val="18"/>
                      <w:szCs w:val="18"/>
                    </w:rPr>
                    <w:t>arehousing</w:t>
                  </w:r>
                </w:p>
              </w:tc>
              <w:tc>
                <w:tcPr>
                  <w:tcW w:w="1132" w:type="pct"/>
                  <w:tcBorders>
                    <w:top w:val="nil"/>
                    <w:left w:val="nil"/>
                    <w:bottom w:val="nil"/>
                    <w:right w:val="nil"/>
                  </w:tcBorders>
                  <w:shd w:val="clear" w:color="auto" w:fill="F2F2F2" w:themeFill="background1" w:themeFillShade="F2"/>
                </w:tcPr>
                <w:p w14:paraId="68B862AB" w14:textId="77777777" w:rsidR="00534098" w:rsidRDefault="00534098" w:rsidP="00BD4D68">
                  <w:pPr>
                    <w:pStyle w:val="TableBodyText"/>
                  </w:pPr>
                  <w:r w:rsidRPr="00387984">
                    <w:t>0.00</w:t>
                  </w:r>
                </w:p>
              </w:tc>
              <w:tc>
                <w:tcPr>
                  <w:tcW w:w="1235" w:type="pct"/>
                  <w:tcBorders>
                    <w:top w:val="nil"/>
                    <w:left w:val="nil"/>
                    <w:bottom w:val="nil"/>
                    <w:right w:val="nil"/>
                  </w:tcBorders>
                  <w:shd w:val="clear" w:color="auto" w:fill="F2F2F2" w:themeFill="background1" w:themeFillShade="F2"/>
                </w:tcPr>
                <w:p w14:paraId="04AE2D71" w14:textId="77777777" w:rsidR="00534098" w:rsidRPr="003B4047" w:rsidRDefault="00534098" w:rsidP="00BD4D68">
                  <w:pPr>
                    <w:pStyle w:val="TableBodyText"/>
                  </w:pPr>
                  <w:r w:rsidRPr="00CA6A7D">
                    <w:t>0.06</w:t>
                  </w:r>
                </w:p>
              </w:tc>
              <w:tc>
                <w:tcPr>
                  <w:tcW w:w="969" w:type="pct"/>
                  <w:tcBorders>
                    <w:top w:val="nil"/>
                    <w:left w:val="nil"/>
                    <w:bottom w:val="nil"/>
                    <w:right w:val="nil"/>
                  </w:tcBorders>
                  <w:shd w:val="clear" w:color="auto" w:fill="F2F2F2" w:themeFill="background1" w:themeFillShade="F2"/>
                </w:tcPr>
                <w:p w14:paraId="2911EA12" w14:textId="77777777" w:rsidR="00534098" w:rsidRPr="00CA6A7D" w:rsidRDefault="00534098" w:rsidP="00BD4D68">
                  <w:pPr>
                    <w:pStyle w:val="TableBodyText"/>
                  </w:pPr>
                  <w:r w:rsidRPr="00372D1F">
                    <w:t>0.06</w:t>
                  </w:r>
                </w:p>
              </w:tc>
            </w:tr>
            <w:tr w:rsidR="00534098" w14:paraId="06326472" w14:textId="77777777" w:rsidTr="00B64400">
              <w:trPr>
                <w:gridAfter w:val="1"/>
                <w:wAfter w:w="258" w:type="pct"/>
              </w:trPr>
              <w:tc>
                <w:tcPr>
                  <w:tcW w:w="1406" w:type="pct"/>
                  <w:shd w:val="clear" w:color="auto" w:fill="auto"/>
                </w:tcPr>
                <w:p w14:paraId="4A485458"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Information </w:t>
                  </w:r>
                  <w:r>
                    <w:rPr>
                      <w:rFonts w:ascii="Arial" w:hAnsi="Arial" w:cs="Arial"/>
                      <w:color w:val="000000"/>
                      <w:sz w:val="18"/>
                      <w:szCs w:val="18"/>
                    </w:rPr>
                    <w:t>m</w:t>
                  </w:r>
                  <w:r w:rsidRPr="006C7CA3">
                    <w:rPr>
                      <w:rFonts w:ascii="Arial" w:hAnsi="Arial" w:cs="Arial"/>
                      <w:color w:val="000000"/>
                      <w:sz w:val="18"/>
                      <w:szCs w:val="18"/>
                    </w:rPr>
                    <w:t xml:space="preserve">edia and </w:t>
                  </w:r>
                  <w:r>
                    <w:rPr>
                      <w:rFonts w:ascii="Arial" w:hAnsi="Arial" w:cs="Arial"/>
                      <w:color w:val="000000"/>
                      <w:sz w:val="18"/>
                      <w:szCs w:val="18"/>
                    </w:rPr>
                    <w:t>t</w:t>
                  </w:r>
                  <w:r w:rsidRPr="006C7CA3">
                    <w:rPr>
                      <w:rFonts w:ascii="Arial" w:hAnsi="Arial" w:cs="Arial"/>
                      <w:color w:val="000000"/>
                      <w:sz w:val="18"/>
                      <w:szCs w:val="18"/>
                    </w:rPr>
                    <w:t>elecommunications</w:t>
                  </w:r>
                </w:p>
              </w:tc>
              <w:tc>
                <w:tcPr>
                  <w:tcW w:w="1132" w:type="pct"/>
                  <w:tcBorders>
                    <w:top w:val="nil"/>
                    <w:left w:val="nil"/>
                    <w:bottom w:val="nil"/>
                    <w:right w:val="nil"/>
                  </w:tcBorders>
                  <w:shd w:val="clear" w:color="auto" w:fill="auto"/>
                </w:tcPr>
                <w:p w14:paraId="53D89DFE" w14:textId="77777777" w:rsidR="00534098" w:rsidRDefault="00534098" w:rsidP="00BD4D68">
                  <w:pPr>
                    <w:pStyle w:val="TableBodyText"/>
                  </w:pPr>
                  <w:r w:rsidRPr="00387984">
                    <w:t>0.23</w:t>
                  </w:r>
                </w:p>
              </w:tc>
              <w:tc>
                <w:tcPr>
                  <w:tcW w:w="1235" w:type="pct"/>
                  <w:tcBorders>
                    <w:top w:val="nil"/>
                    <w:left w:val="nil"/>
                    <w:bottom w:val="nil"/>
                    <w:right w:val="nil"/>
                  </w:tcBorders>
                </w:tcPr>
                <w:p w14:paraId="3831F3F0" w14:textId="77777777" w:rsidR="00534098" w:rsidRPr="003B4047" w:rsidRDefault="00534098" w:rsidP="00BD4D68">
                  <w:pPr>
                    <w:pStyle w:val="TableBodyText"/>
                  </w:pPr>
                  <w:r>
                    <w:noBreakHyphen/>
                  </w:r>
                  <w:r w:rsidRPr="00CA6A7D">
                    <w:t>0.05</w:t>
                  </w:r>
                </w:p>
              </w:tc>
              <w:tc>
                <w:tcPr>
                  <w:tcW w:w="969" w:type="pct"/>
                  <w:tcBorders>
                    <w:top w:val="nil"/>
                    <w:left w:val="nil"/>
                    <w:bottom w:val="nil"/>
                    <w:right w:val="nil"/>
                  </w:tcBorders>
                  <w:shd w:val="clear" w:color="auto" w:fill="auto"/>
                </w:tcPr>
                <w:p w14:paraId="6F680FC8" w14:textId="77777777" w:rsidR="00534098" w:rsidRPr="00CA6A7D" w:rsidRDefault="00534098" w:rsidP="00BD4D68">
                  <w:pPr>
                    <w:pStyle w:val="TableBodyText"/>
                  </w:pPr>
                  <w:r w:rsidRPr="00372D1F">
                    <w:t>0.18</w:t>
                  </w:r>
                </w:p>
              </w:tc>
            </w:tr>
            <w:tr w:rsidR="00534098" w14:paraId="4D3B7FF0" w14:textId="77777777" w:rsidTr="00B64400">
              <w:trPr>
                <w:gridAfter w:val="1"/>
                <w:wAfter w:w="258" w:type="pct"/>
              </w:trPr>
              <w:tc>
                <w:tcPr>
                  <w:tcW w:w="1406" w:type="pct"/>
                  <w:shd w:val="clear" w:color="auto" w:fill="F2F2F2" w:themeFill="background1" w:themeFillShade="F2"/>
                </w:tcPr>
                <w:p w14:paraId="56441565"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Financial and </w:t>
                  </w:r>
                  <w:r>
                    <w:rPr>
                      <w:rFonts w:ascii="Arial" w:hAnsi="Arial" w:cs="Arial"/>
                      <w:color w:val="000000"/>
                      <w:sz w:val="18"/>
                      <w:szCs w:val="18"/>
                    </w:rPr>
                    <w:t>i</w:t>
                  </w:r>
                  <w:r w:rsidRPr="006C7CA3">
                    <w:rPr>
                      <w:rFonts w:ascii="Arial" w:hAnsi="Arial" w:cs="Arial"/>
                      <w:color w:val="000000"/>
                      <w:sz w:val="18"/>
                      <w:szCs w:val="18"/>
                    </w:rPr>
                    <w:t xml:space="preserve">nsurance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F2F2F2" w:themeFill="background1" w:themeFillShade="F2"/>
                </w:tcPr>
                <w:p w14:paraId="0CF5B570" w14:textId="77777777" w:rsidR="00534098" w:rsidRDefault="00534098" w:rsidP="00BD4D68">
                  <w:pPr>
                    <w:pStyle w:val="TableBodyText"/>
                  </w:pPr>
                  <w:r>
                    <w:noBreakHyphen/>
                  </w:r>
                  <w:r w:rsidRPr="00387984">
                    <w:t>0.09</w:t>
                  </w:r>
                </w:p>
              </w:tc>
              <w:tc>
                <w:tcPr>
                  <w:tcW w:w="1235" w:type="pct"/>
                  <w:tcBorders>
                    <w:top w:val="nil"/>
                    <w:left w:val="nil"/>
                    <w:bottom w:val="nil"/>
                    <w:right w:val="nil"/>
                  </w:tcBorders>
                  <w:shd w:val="clear" w:color="auto" w:fill="F2F2F2" w:themeFill="background1" w:themeFillShade="F2"/>
                </w:tcPr>
                <w:p w14:paraId="493E32D3" w14:textId="77777777" w:rsidR="00534098" w:rsidRPr="003B4047" w:rsidRDefault="00534098" w:rsidP="00BD4D68">
                  <w:pPr>
                    <w:pStyle w:val="TableBodyText"/>
                  </w:pPr>
                  <w:r w:rsidRPr="00CA6A7D">
                    <w:t>0.18</w:t>
                  </w:r>
                </w:p>
              </w:tc>
              <w:tc>
                <w:tcPr>
                  <w:tcW w:w="969" w:type="pct"/>
                  <w:tcBorders>
                    <w:top w:val="nil"/>
                    <w:left w:val="nil"/>
                    <w:bottom w:val="nil"/>
                    <w:right w:val="nil"/>
                  </w:tcBorders>
                  <w:shd w:val="clear" w:color="auto" w:fill="F2F2F2" w:themeFill="background1" w:themeFillShade="F2"/>
                </w:tcPr>
                <w:p w14:paraId="723097C6" w14:textId="77777777" w:rsidR="00534098" w:rsidRPr="00CA6A7D" w:rsidRDefault="00534098" w:rsidP="00BD4D68">
                  <w:pPr>
                    <w:pStyle w:val="TableBodyText"/>
                  </w:pPr>
                  <w:r w:rsidRPr="00372D1F">
                    <w:t>0.09</w:t>
                  </w:r>
                </w:p>
              </w:tc>
            </w:tr>
            <w:tr w:rsidR="00534098" w14:paraId="4CA59B9D" w14:textId="77777777" w:rsidTr="00B64400">
              <w:trPr>
                <w:gridAfter w:val="1"/>
                <w:wAfter w:w="258" w:type="pct"/>
              </w:trPr>
              <w:tc>
                <w:tcPr>
                  <w:tcW w:w="1406" w:type="pct"/>
                  <w:shd w:val="clear" w:color="auto" w:fill="auto"/>
                </w:tcPr>
                <w:p w14:paraId="7EA80183"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Rental, </w:t>
                  </w:r>
                  <w:r>
                    <w:rPr>
                      <w:rFonts w:ascii="Arial" w:hAnsi="Arial" w:cs="Arial"/>
                      <w:color w:val="000000"/>
                      <w:sz w:val="18"/>
                      <w:szCs w:val="18"/>
                    </w:rPr>
                    <w:t>h</w:t>
                  </w:r>
                  <w:r w:rsidRPr="006C7CA3">
                    <w:rPr>
                      <w:rFonts w:ascii="Arial" w:hAnsi="Arial" w:cs="Arial"/>
                      <w:color w:val="000000"/>
                      <w:sz w:val="18"/>
                      <w:szCs w:val="18"/>
                    </w:rPr>
                    <w:t xml:space="preserve">iring and </w:t>
                  </w:r>
                  <w:r>
                    <w:rPr>
                      <w:rFonts w:ascii="Arial" w:hAnsi="Arial" w:cs="Arial"/>
                      <w:color w:val="000000"/>
                      <w:sz w:val="18"/>
                      <w:szCs w:val="18"/>
                    </w:rPr>
                    <w:t>r</w:t>
                  </w:r>
                  <w:r w:rsidRPr="006C7CA3">
                    <w:rPr>
                      <w:rFonts w:ascii="Arial" w:hAnsi="Arial" w:cs="Arial"/>
                      <w:color w:val="000000"/>
                      <w:sz w:val="18"/>
                      <w:szCs w:val="18"/>
                    </w:rPr>
                    <w:t xml:space="preserve">eal </w:t>
                  </w:r>
                  <w:r>
                    <w:rPr>
                      <w:rFonts w:ascii="Arial" w:hAnsi="Arial" w:cs="Arial"/>
                      <w:color w:val="000000"/>
                      <w:sz w:val="18"/>
                      <w:szCs w:val="18"/>
                    </w:rPr>
                    <w:t>e</w:t>
                  </w:r>
                  <w:r w:rsidRPr="006C7CA3">
                    <w:rPr>
                      <w:rFonts w:ascii="Arial" w:hAnsi="Arial" w:cs="Arial"/>
                      <w:color w:val="000000"/>
                      <w:sz w:val="18"/>
                      <w:szCs w:val="18"/>
                    </w:rPr>
                    <w:t xml:space="preserve">state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auto"/>
                </w:tcPr>
                <w:p w14:paraId="0E4EEAF1" w14:textId="77777777" w:rsidR="00534098" w:rsidRDefault="00534098" w:rsidP="00BD4D68">
                  <w:pPr>
                    <w:pStyle w:val="TableBodyText"/>
                  </w:pPr>
                  <w:r>
                    <w:noBreakHyphen/>
                  </w:r>
                  <w:r w:rsidRPr="00387984">
                    <w:t>0.17</w:t>
                  </w:r>
                </w:p>
              </w:tc>
              <w:tc>
                <w:tcPr>
                  <w:tcW w:w="1235" w:type="pct"/>
                  <w:tcBorders>
                    <w:top w:val="nil"/>
                    <w:left w:val="nil"/>
                    <w:bottom w:val="nil"/>
                    <w:right w:val="nil"/>
                  </w:tcBorders>
                </w:tcPr>
                <w:p w14:paraId="0497C5D8" w14:textId="77777777" w:rsidR="00534098" w:rsidRPr="003B4047" w:rsidRDefault="00534098" w:rsidP="00BD4D68">
                  <w:pPr>
                    <w:pStyle w:val="TableBodyText"/>
                  </w:pPr>
                  <w:r w:rsidRPr="00CA6A7D">
                    <w:t>0.03</w:t>
                  </w:r>
                </w:p>
              </w:tc>
              <w:tc>
                <w:tcPr>
                  <w:tcW w:w="969" w:type="pct"/>
                  <w:tcBorders>
                    <w:top w:val="nil"/>
                    <w:left w:val="nil"/>
                    <w:bottom w:val="nil"/>
                    <w:right w:val="nil"/>
                  </w:tcBorders>
                  <w:shd w:val="clear" w:color="auto" w:fill="auto"/>
                </w:tcPr>
                <w:p w14:paraId="4D8D9BFA" w14:textId="77777777" w:rsidR="00534098" w:rsidRPr="00CA6A7D" w:rsidRDefault="00534098" w:rsidP="00BD4D68">
                  <w:pPr>
                    <w:pStyle w:val="TableBodyText"/>
                  </w:pPr>
                  <w:r>
                    <w:noBreakHyphen/>
                  </w:r>
                  <w:r w:rsidRPr="00372D1F">
                    <w:t>0.14</w:t>
                  </w:r>
                </w:p>
              </w:tc>
            </w:tr>
            <w:tr w:rsidR="00534098" w14:paraId="1C428342" w14:textId="77777777" w:rsidTr="00B64400">
              <w:trPr>
                <w:gridAfter w:val="1"/>
                <w:wAfter w:w="258" w:type="pct"/>
              </w:trPr>
              <w:tc>
                <w:tcPr>
                  <w:tcW w:w="1406" w:type="pct"/>
                  <w:shd w:val="clear" w:color="auto" w:fill="F2F2F2" w:themeFill="background1" w:themeFillShade="F2"/>
                </w:tcPr>
                <w:p w14:paraId="084FAF0E"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Professional, </w:t>
                  </w:r>
                  <w:r>
                    <w:rPr>
                      <w:rFonts w:ascii="Arial" w:hAnsi="Arial" w:cs="Arial"/>
                      <w:color w:val="000000"/>
                      <w:sz w:val="18"/>
                      <w:szCs w:val="18"/>
                    </w:rPr>
                    <w:t>s</w:t>
                  </w:r>
                  <w:r w:rsidRPr="006C7CA3">
                    <w:rPr>
                      <w:rFonts w:ascii="Arial" w:hAnsi="Arial" w:cs="Arial"/>
                      <w:color w:val="000000"/>
                      <w:sz w:val="18"/>
                      <w:szCs w:val="18"/>
                    </w:rPr>
                    <w:t xml:space="preserve">cientific and </w:t>
                  </w:r>
                  <w:r>
                    <w:rPr>
                      <w:rFonts w:ascii="Arial" w:hAnsi="Arial" w:cs="Arial"/>
                      <w:color w:val="000000"/>
                      <w:sz w:val="18"/>
                      <w:szCs w:val="18"/>
                    </w:rPr>
                    <w:t>t</w:t>
                  </w:r>
                  <w:r w:rsidRPr="006C7CA3">
                    <w:rPr>
                      <w:rFonts w:ascii="Arial" w:hAnsi="Arial" w:cs="Arial"/>
                      <w:color w:val="000000"/>
                      <w:sz w:val="18"/>
                      <w:szCs w:val="18"/>
                    </w:rPr>
                    <w:t xml:space="preserve">echnical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F2F2F2" w:themeFill="background1" w:themeFillShade="F2"/>
                </w:tcPr>
                <w:p w14:paraId="73FB5777" w14:textId="77777777" w:rsidR="00534098" w:rsidRDefault="00534098" w:rsidP="00BD4D68">
                  <w:pPr>
                    <w:pStyle w:val="TableBodyText"/>
                  </w:pPr>
                  <w:r>
                    <w:noBreakHyphen/>
                  </w:r>
                  <w:r w:rsidRPr="00387984">
                    <w:t>0.07</w:t>
                  </w:r>
                </w:p>
              </w:tc>
              <w:tc>
                <w:tcPr>
                  <w:tcW w:w="1235" w:type="pct"/>
                  <w:tcBorders>
                    <w:top w:val="nil"/>
                    <w:left w:val="nil"/>
                    <w:bottom w:val="nil"/>
                    <w:right w:val="nil"/>
                  </w:tcBorders>
                  <w:shd w:val="clear" w:color="auto" w:fill="F2F2F2" w:themeFill="background1" w:themeFillShade="F2"/>
                </w:tcPr>
                <w:p w14:paraId="0C5776F4" w14:textId="77777777" w:rsidR="00534098" w:rsidRPr="003B4047" w:rsidRDefault="00534098" w:rsidP="00BD4D68">
                  <w:pPr>
                    <w:pStyle w:val="TableBodyText"/>
                  </w:pPr>
                  <w:r>
                    <w:noBreakHyphen/>
                  </w:r>
                  <w:r w:rsidRPr="00CA6A7D">
                    <w:t>0.07</w:t>
                  </w:r>
                </w:p>
              </w:tc>
              <w:tc>
                <w:tcPr>
                  <w:tcW w:w="969" w:type="pct"/>
                  <w:tcBorders>
                    <w:top w:val="nil"/>
                    <w:left w:val="nil"/>
                    <w:bottom w:val="nil"/>
                    <w:right w:val="nil"/>
                  </w:tcBorders>
                  <w:shd w:val="clear" w:color="auto" w:fill="F2F2F2" w:themeFill="background1" w:themeFillShade="F2"/>
                </w:tcPr>
                <w:p w14:paraId="127B38E6" w14:textId="77777777" w:rsidR="00534098" w:rsidRPr="00CA6A7D" w:rsidRDefault="00534098" w:rsidP="00BD4D68">
                  <w:pPr>
                    <w:pStyle w:val="TableBodyText"/>
                  </w:pPr>
                  <w:r>
                    <w:noBreakHyphen/>
                  </w:r>
                  <w:r w:rsidRPr="00372D1F">
                    <w:t>0.14</w:t>
                  </w:r>
                </w:p>
              </w:tc>
            </w:tr>
            <w:tr w:rsidR="00534098" w14:paraId="4FCBEC21" w14:textId="77777777" w:rsidTr="00B64400">
              <w:trPr>
                <w:gridAfter w:val="1"/>
                <w:wAfter w:w="258" w:type="pct"/>
              </w:trPr>
              <w:tc>
                <w:tcPr>
                  <w:tcW w:w="1406" w:type="pct"/>
                  <w:shd w:val="clear" w:color="auto" w:fill="auto"/>
                </w:tcPr>
                <w:p w14:paraId="3EB23B31" w14:textId="77777777" w:rsidR="00534098" w:rsidRPr="006C7CA3" w:rsidRDefault="00534098" w:rsidP="00BD4D68">
                  <w:pPr>
                    <w:spacing w:after="40"/>
                    <w:rPr>
                      <w:rFonts w:cs="Arial"/>
                      <w:color w:val="000000"/>
                      <w:szCs w:val="18"/>
                    </w:rPr>
                  </w:pPr>
                  <w:r w:rsidRPr="006C7CA3">
                    <w:rPr>
                      <w:rFonts w:ascii="Arial" w:hAnsi="Arial" w:cs="Arial"/>
                      <w:color w:val="000000"/>
                      <w:sz w:val="18"/>
                      <w:szCs w:val="18"/>
                    </w:rPr>
                    <w:t xml:space="preserve">Administrative and </w:t>
                  </w:r>
                  <w:r>
                    <w:rPr>
                      <w:rFonts w:ascii="Arial" w:hAnsi="Arial" w:cs="Arial"/>
                      <w:color w:val="000000"/>
                      <w:sz w:val="18"/>
                      <w:szCs w:val="18"/>
                    </w:rPr>
                    <w:t>s</w:t>
                  </w:r>
                  <w:r w:rsidRPr="006C7CA3">
                    <w:rPr>
                      <w:rFonts w:ascii="Arial" w:hAnsi="Arial" w:cs="Arial"/>
                      <w:color w:val="000000"/>
                      <w:sz w:val="18"/>
                      <w:szCs w:val="18"/>
                    </w:rPr>
                    <w:t xml:space="preserve">upport </w:t>
                  </w:r>
                  <w:r>
                    <w:rPr>
                      <w:rFonts w:ascii="Arial" w:hAnsi="Arial" w:cs="Arial"/>
                      <w:color w:val="000000"/>
                      <w:sz w:val="18"/>
                      <w:szCs w:val="18"/>
                    </w:rPr>
                    <w:t>s</w:t>
                  </w:r>
                  <w:r w:rsidRPr="006C7CA3">
                    <w:rPr>
                      <w:rFonts w:ascii="Arial" w:hAnsi="Arial" w:cs="Arial"/>
                      <w:color w:val="000000"/>
                      <w:sz w:val="18"/>
                      <w:szCs w:val="18"/>
                    </w:rPr>
                    <w:t>ervices</w:t>
                  </w:r>
                </w:p>
              </w:tc>
              <w:tc>
                <w:tcPr>
                  <w:tcW w:w="1132" w:type="pct"/>
                  <w:tcBorders>
                    <w:top w:val="nil"/>
                    <w:left w:val="nil"/>
                    <w:bottom w:val="nil"/>
                    <w:right w:val="nil"/>
                  </w:tcBorders>
                  <w:shd w:val="clear" w:color="auto" w:fill="auto"/>
                </w:tcPr>
                <w:p w14:paraId="569593D3" w14:textId="77777777" w:rsidR="00534098" w:rsidRDefault="00534098" w:rsidP="00BD4D68">
                  <w:pPr>
                    <w:pStyle w:val="TableBodyText"/>
                  </w:pPr>
                  <w:r>
                    <w:noBreakHyphen/>
                  </w:r>
                  <w:r w:rsidRPr="00387984">
                    <w:t>0.42</w:t>
                  </w:r>
                </w:p>
              </w:tc>
              <w:tc>
                <w:tcPr>
                  <w:tcW w:w="1235" w:type="pct"/>
                  <w:tcBorders>
                    <w:top w:val="nil"/>
                    <w:left w:val="nil"/>
                    <w:bottom w:val="nil"/>
                    <w:right w:val="nil"/>
                  </w:tcBorders>
                </w:tcPr>
                <w:p w14:paraId="4354FB5D" w14:textId="77777777" w:rsidR="00534098" w:rsidRPr="003B4047" w:rsidRDefault="00534098" w:rsidP="00BD4D68">
                  <w:pPr>
                    <w:pStyle w:val="TableBodyText"/>
                  </w:pPr>
                  <w:r w:rsidRPr="00CA6A7D">
                    <w:t>0.03</w:t>
                  </w:r>
                </w:p>
              </w:tc>
              <w:tc>
                <w:tcPr>
                  <w:tcW w:w="969" w:type="pct"/>
                  <w:tcBorders>
                    <w:top w:val="nil"/>
                    <w:left w:val="nil"/>
                    <w:bottom w:val="nil"/>
                    <w:right w:val="nil"/>
                  </w:tcBorders>
                  <w:shd w:val="clear" w:color="auto" w:fill="auto"/>
                </w:tcPr>
                <w:p w14:paraId="2E3C0656" w14:textId="77777777" w:rsidR="00534098" w:rsidRPr="00CA6A7D" w:rsidRDefault="00534098" w:rsidP="00BD4D68">
                  <w:pPr>
                    <w:pStyle w:val="TableBodyText"/>
                  </w:pPr>
                  <w:r>
                    <w:noBreakHyphen/>
                  </w:r>
                  <w:r w:rsidRPr="00372D1F">
                    <w:t>0.39</w:t>
                  </w:r>
                </w:p>
              </w:tc>
            </w:tr>
            <w:tr w:rsidR="00534098" w14:paraId="10A5AC24" w14:textId="77777777" w:rsidTr="00B64400">
              <w:trPr>
                <w:gridAfter w:val="1"/>
                <w:wAfter w:w="258" w:type="pct"/>
              </w:trPr>
              <w:tc>
                <w:tcPr>
                  <w:tcW w:w="1406" w:type="pct"/>
                  <w:shd w:val="clear" w:color="auto" w:fill="F2F2F2" w:themeFill="background1" w:themeFillShade="F2"/>
                </w:tcPr>
                <w:p w14:paraId="5D2E947D" w14:textId="77777777" w:rsidR="00534098" w:rsidRDefault="00534098" w:rsidP="00BD4D68">
                  <w:pPr>
                    <w:pStyle w:val="TableBodyText"/>
                    <w:jc w:val="left"/>
                  </w:pPr>
                  <w:r w:rsidRPr="0098531A">
                    <w:t xml:space="preserve">Arts and </w:t>
                  </w:r>
                  <w:r>
                    <w:t>r</w:t>
                  </w:r>
                  <w:r w:rsidRPr="0098531A">
                    <w:t xml:space="preserve">ecreation </w:t>
                  </w:r>
                  <w:r>
                    <w:t>s</w:t>
                  </w:r>
                  <w:r w:rsidRPr="0098531A">
                    <w:t>ervices</w:t>
                  </w:r>
                </w:p>
              </w:tc>
              <w:tc>
                <w:tcPr>
                  <w:tcW w:w="1132" w:type="pct"/>
                  <w:tcBorders>
                    <w:top w:val="nil"/>
                    <w:left w:val="nil"/>
                    <w:bottom w:val="nil"/>
                    <w:right w:val="nil"/>
                  </w:tcBorders>
                  <w:shd w:val="clear" w:color="auto" w:fill="F2F2F2" w:themeFill="background1" w:themeFillShade="F2"/>
                </w:tcPr>
                <w:p w14:paraId="5F036BD4" w14:textId="77777777" w:rsidR="00534098" w:rsidRDefault="00534098" w:rsidP="00BD4D68">
                  <w:pPr>
                    <w:pStyle w:val="TableBodyText"/>
                  </w:pPr>
                  <w:r w:rsidRPr="00387984">
                    <w:t>0.46</w:t>
                  </w:r>
                </w:p>
              </w:tc>
              <w:tc>
                <w:tcPr>
                  <w:tcW w:w="1235" w:type="pct"/>
                  <w:tcBorders>
                    <w:top w:val="nil"/>
                    <w:left w:val="nil"/>
                    <w:bottom w:val="nil"/>
                    <w:right w:val="nil"/>
                  </w:tcBorders>
                  <w:shd w:val="clear" w:color="auto" w:fill="F2F2F2" w:themeFill="background1" w:themeFillShade="F2"/>
                </w:tcPr>
                <w:p w14:paraId="214C9DDA" w14:textId="77777777" w:rsidR="00534098" w:rsidRPr="003B4047" w:rsidRDefault="00534098" w:rsidP="00BD4D68">
                  <w:pPr>
                    <w:pStyle w:val="TableBodyText"/>
                  </w:pPr>
                  <w:r w:rsidRPr="00CA6A7D">
                    <w:t>0.07</w:t>
                  </w:r>
                </w:p>
              </w:tc>
              <w:tc>
                <w:tcPr>
                  <w:tcW w:w="969" w:type="pct"/>
                  <w:tcBorders>
                    <w:top w:val="nil"/>
                    <w:left w:val="nil"/>
                    <w:bottom w:val="nil"/>
                    <w:right w:val="nil"/>
                  </w:tcBorders>
                  <w:shd w:val="clear" w:color="auto" w:fill="F2F2F2" w:themeFill="background1" w:themeFillShade="F2"/>
                </w:tcPr>
                <w:p w14:paraId="13507503" w14:textId="77777777" w:rsidR="00534098" w:rsidRPr="00CA6A7D" w:rsidRDefault="00534098" w:rsidP="00BD4D68">
                  <w:pPr>
                    <w:pStyle w:val="TableBodyText"/>
                  </w:pPr>
                  <w:r w:rsidRPr="00372D1F">
                    <w:t>0.29</w:t>
                  </w:r>
                </w:p>
              </w:tc>
            </w:tr>
            <w:tr w:rsidR="00534098" w14:paraId="63B28389" w14:textId="77777777" w:rsidTr="00B64400">
              <w:trPr>
                <w:gridAfter w:val="1"/>
                <w:wAfter w:w="258" w:type="pct"/>
              </w:trPr>
              <w:tc>
                <w:tcPr>
                  <w:tcW w:w="1406" w:type="pct"/>
                  <w:shd w:val="clear" w:color="auto" w:fill="auto"/>
                </w:tcPr>
                <w:p w14:paraId="3EC98F76" w14:textId="77777777" w:rsidR="00534098" w:rsidRPr="006C7CA3" w:rsidRDefault="00534098" w:rsidP="00BD4D68">
                  <w:pPr>
                    <w:pStyle w:val="TableBodyText"/>
                    <w:jc w:val="left"/>
                    <w:rPr>
                      <w:rFonts w:cs="Arial"/>
                      <w:color w:val="000000"/>
                      <w:szCs w:val="18"/>
                    </w:rPr>
                  </w:pPr>
                  <w:r w:rsidRPr="006C7CA3">
                    <w:rPr>
                      <w:rFonts w:cs="Arial"/>
                      <w:color w:val="000000"/>
                      <w:szCs w:val="18"/>
                    </w:rPr>
                    <w:t xml:space="preserve">Other </w:t>
                  </w:r>
                  <w:r>
                    <w:rPr>
                      <w:szCs w:val="18"/>
                    </w:rPr>
                    <w:t>s</w:t>
                  </w:r>
                  <w:r w:rsidRPr="006C7CA3">
                    <w:rPr>
                      <w:szCs w:val="18"/>
                    </w:rPr>
                    <w:t>ervices</w:t>
                  </w:r>
                </w:p>
              </w:tc>
              <w:tc>
                <w:tcPr>
                  <w:tcW w:w="1132" w:type="pct"/>
                  <w:tcBorders>
                    <w:top w:val="nil"/>
                    <w:left w:val="nil"/>
                    <w:right w:val="nil"/>
                  </w:tcBorders>
                  <w:shd w:val="clear" w:color="auto" w:fill="auto"/>
                </w:tcPr>
                <w:p w14:paraId="5591660D" w14:textId="77777777" w:rsidR="00534098" w:rsidRDefault="00534098" w:rsidP="00BD4D68">
                  <w:pPr>
                    <w:pStyle w:val="TableBodyText"/>
                  </w:pPr>
                  <w:r>
                    <w:noBreakHyphen/>
                  </w:r>
                  <w:r w:rsidRPr="00387984">
                    <w:t>0.33</w:t>
                  </w:r>
                </w:p>
              </w:tc>
              <w:tc>
                <w:tcPr>
                  <w:tcW w:w="1235" w:type="pct"/>
                  <w:tcBorders>
                    <w:top w:val="nil"/>
                    <w:left w:val="nil"/>
                    <w:right w:val="nil"/>
                  </w:tcBorders>
                </w:tcPr>
                <w:p w14:paraId="4604E5CD" w14:textId="77777777" w:rsidR="00534098" w:rsidRPr="003B4047" w:rsidRDefault="00534098" w:rsidP="00BD4D68">
                  <w:pPr>
                    <w:pStyle w:val="TableBodyText"/>
                  </w:pPr>
                  <w:r>
                    <w:noBreakHyphen/>
                  </w:r>
                  <w:r w:rsidRPr="00CA6A7D">
                    <w:t>0.01</w:t>
                  </w:r>
                </w:p>
              </w:tc>
              <w:tc>
                <w:tcPr>
                  <w:tcW w:w="969" w:type="pct"/>
                  <w:tcBorders>
                    <w:top w:val="nil"/>
                    <w:left w:val="nil"/>
                    <w:right w:val="nil"/>
                  </w:tcBorders>
                  <w:shd w:val="clear" w:color="auto" w:fill="auto"/>
                </w:tcPr>
                <w:p w14:paraId="44F0C496" w14:textId="77777777" w:rsidR="00534098" w:rsidRPr="00CA6A7D" w:rsidRDefault="00534098" w:rsidP="00BD4D68">
                  <w:pPr>
                    <w:pStyle w:val="TableBodyText"/>
                  </w:pPr>
                  <w:r w:rsidRPr="00372D1F">
                    <w:t>0.33</w:t>
                  </w:r>
                </w:p>
              </w:tc>
            </w:tr>
            <w:tr w:rsidR="00534098" w14:paraId="6AF7DDAE" w14:textId="77777777" w:rsidTr="00B64400">
              <w:trPr>
                <w:gridAfter w:val="1"/>
                <w:wAfter w:w="258" w:type="pct"/>
              </w:trPr>
              <w:tc>
                <w:tcPr>
                  <w:tcW w:w="1406" w:type="pct"/>
                  <w:tcBorders>
                    <w:bottom w:val="single" w:sz="4" w:space="0" w:color="BFBFBF"/>
                  </w:tcBorders>
                  <w:shd w:val="clear" w:color="auto" w:fill="F2F2F2" w:themeFill="background1" w:themeFillShade="F2"/>
                </w:tcPr>
                <w:p w14:paraId="526CFED4" w14:textId="77777777" w:rsidR="00534098" w:rsidRPr="006C7CA3" w:rsidRDefault="00534098" w:rsidP="00BD4D68">
                  <w:pPr>
                    <w:pStyle w:val="TableBodyText"/>
                    <w:jc w:val="left"/>
                    <w:rPr>
                      <w:rFonts w:cs="Arial"/>
                      <w:color w:val="000000"/>
                      <w:szCs w:val="18"/>
                    </w:rPr>
                  </w:pPr>
                  <w:r>
                    <w:rPr>
                      <w:rFonts w:cs="Arial"/>
                      <w:color w:val="000000"/>
                      <w:szCs w:val="18"/>
                    </w:rPr>
                    <w:t xml:space="preserve">Market sector </w:t>
                  </w:r>
                </w:p>
              </w:tc>
              <w:tc>
                <w:tcPr>
                  <w:tcW w:w="1132" w:type="pct"/>
                  <w:tcBorders>
                    <w:top w:val="nil"/>
                    <w:left w:val="nil"/>
                    <w:bottom w:val="single" w:sz="4" w:space="0" w:color="BFBFBF"/>
                    <w:right w:val="nil"/>
                  </w:tcBorders>
                  <w:shd w:val="clear" w:color="auto" w:fill="F2F2F2" w:themeFill="background1" w:themeFillShade="F2"/>
                </w:tcPr>
                <w:p w14:paraId="3A78DF9C" w14:textId="77777777" w:rsidR="00534098" w:rsidRPr="00E7440B" w:rsidRDefault="00534098" w:rsidP="00BD4D68">
                  <w:pPr>
                    <w:pStyle w:val="TableBodyText"/>
                  </w:pPr>
                  <w:r>
                    <w:noBreakHyphen/>
                    <w:t>0.62</w:t>
                  </w:r>
                </w:p>
              </w:tc>
              <w:tc>
                <w:tcPr>
                  <w:tcW w:w="1235" w:type="pct"/>
                  <w:tcBorders>
                    <w:top w:val="nil"/>
                    <w:left w:val="nil"/>
                    <w:bottom w:val="single" w:sz="4" w:space="0" w:color="BFBFBF"/>
                    <w:right w:val="nil"/>
                  </w:tcBorders>
                  <w:shd w:val="clear" w:color="auto" w:fill="F2F2F2" w:themeFill="background1" w:themeFillShade="F2"/>
                </w:tcPr>
                <w:p w14:paraId="4A274048" w14:textId="77777777" w:rsidR="00534098" w:rsidRPr="00CA6A7D" w:rsidRDefault="00534098" w:rsidP="00BD4D68">
                  <w:pPr>
                    <w:pStyle w:val="TableBodyText"/>
                  </w:pPr>
                  <w:r>
                    <w:t>1.57</w:t>
                  </w:r>
                </w:p>
              </w:tc>
              <w:tc>
                <w:tcPr>
                  <w:tcW w:w="969" w:type="pct"/>
                  <w:tcBorders>
                    <w:top w:val="nil"/>
                    <w:left w:val="nil"/>
                    <w:bottom w:val="single" w:sz="4" w:space="0" w:color="BFBFBF"/>
                    <w:right w:val="nil"/>
                  </w:tcBorders>
                  <w:shd w:val="clear" w:color="auto" w:fill="F2F2F2" w:themeFill="background1" w:themeFillShade="F2"/>
                </w:tcPr>
                <w:p w14:paraId="5ED9F77A" w14:textId="77777777" w:rsidR="00534098" w:rsidRPr="00CA6A7D" w:rsidRDefault="00534098" w:rsidP="00BD4D68">
                  <w:pPr>
                    <w:pStyle w:val="TableBodyText"/>
                  </w:pPr>
                  <w:r>
                    <w:t>0.95</w:t>
                  </w:r>
                </w:p>
              </w:tc>
            </w:tr>
          </w:tbl>
          <w:p w14:paraId="42005EA9" w14:textId="77777777" w:rsidR="00534098" w:rsidRDefault="00534098" w:rsidP="00BD4D68">
            <w:pPr>
              <w:pStyle w:val="Box"/>
              <w:spacing w:after="40"/>
            </w:pPr>
          </w:p>
        </w:tc>
      </w:tr>
      <w:tr w:rsidR="00534098" w14:paraId="5CF7A9A5" w14:textId="77777777" w:rsidTr="007A39EB">
        <w:tc>
          <w:tcPr>
            <w:tcW w:w="5000" w:type="pct"/>
            <w:tcBorders>
              <w:top w:val="nil"/>
              <w:left w:val="nil"/>
              <w:bottom w:val="nil"/>
              <w:right w:val="nil"/>
            </w:tcBorders>
            <w:shd w:val="clear" w:color="auto" w:fill="auto"/>
          </w:tcPr>
          <w:p w14:paraId="5DB0A6B1" w14:textId="77777777" w:rsidR="00534098" w:rsidRDefault="00534098" w:rsidP="00C338A7">
            <w:pPr>
              <w:pStyle w:val="Source"/>
              <w:spacing w:before="120"/>
            </w:pPr>
            <w:r>
              <w:rPr>
                <w:i/>
              </w:rPr>
              <w:t>Source</w:t>
            </w:r>
            <w:r w:rsidRPr="00176D3F">
              <w:t xml:space="preserve">: </w:t>
            </w:r>
            <w:r>
              <w:t>ABS (</w:t>
            </w:r>
            <w:r>
              <w:rPr>
                <w:i/>
                <w:iCs/>
              </w:rPr>
              <w:t xml:space="preserve">Estimates of Industry Multifactor Productivity, </w:t>
            </w:r>
            <w:r>
              <w:t>table 22.</w:t>
            </w:r>
          </w:p>
        </w:tc>
      </w:tr>
      <w:tr w:rsidR="00534098" w14:paraId="783809B2" w14:textId="77777777" w:rsidTr="007A39EB">
        <w:tc>
          <w:tcPr>
            <w:tcW w:w="5000" w:type="pct"/>
            <w:tcBorders>
              <w:top w:val="nil"/>
              <w:left w:val="nil"/>
              <w:bottom w:val="single" w:sz="6" w:space="0" w:color="78A22F"/>
              <w:right w:val="nil"/>
            </w:tcBorders>
            <w:shd w:val="clear" w:color="auto" w:fill="auto"/>
          </w:tcPr>
          <w:p w14:paraId="2433F483" w14:textId="77777777" w:rsidR="00534098" w:rsidRDefault="00534098" w:rsidP="007A39EB">
            <w:pPr>
              <w:pStyle w:val="Box"/>
              <w:spacing w:before="0" w:line="120" w:lineRule="exact"/>
            </w:pPr>
          </w:p>
        </w:tc>
      </w:tr>
      <w:tr w:rsidR="00534098" w:rsidRPr="000863A5" w14:paraId="56677BF3" w14:textId="77777777" w:rsidTr="007A39EB">
        <w:tc>
          <w:tcPr>
            <w:tcW w:w="5000" w:type="pct"/>
            <w:tcBorders>
              <w:top w:val="single" w:sz="6" w:space="0" w:color="78A22F"/>
              <w:left w:val="nil"/>
              <w:bottom w:val="nil"/>
              <w:right w:val="nil"/>
            </w:tcBorders>
          </w:tcPr>
          <w:p w14:paraId="18D8F624" w14:textId="59DAD74C" w:rsidR="00534098" w:rsidRPr="00626D32" w:rsidRDefault="00534098" w:rsidP="007A39EB">
            <w:pPr>
              <w:pStyle w:val="BoxSpaceBelow"/>
            </w:pPr>
          </w:p>
        </w:tc>
      </w:tr>
    </w:tbl>
    <w:p w14:paraId="5B0AEDF2" w14:textId="15902289"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17BCD33" w14:textId="77777777" w:rsidTr="007A39EB">
        <w:trPr>
          <w:tblHeader/>
        </w:trPr>
        <w:tc>
          <w:tcPr>
            <w:tcW w:w="5000" w:type="pct"/>
            <w:tcBorders>
              <w:top w:val="single" w:sz="6" w:space="0" w:color="78A22F"/>
              <w:left w:val="nil"/>
              <w:bottom w:val="nil"/>
              <w:right w:val="nil"/>
            </w:tcBorders>
            <w:shd w:val="clear" w:color="auto" w:fill="auto"/>
          </w:tcPr>
          <w:p w14:paraId="4D57407E" w14:textId="3A26931C" w:rsidR="00534098" w:rsidRDefault="00534098" w:rsidP="007A39EB">
            <w:pPr>
              <w:pStyle w:val="FigureTitle"/>
            </w:pPr>
            <w:r w:rsidRPr="00D506D4">
              <w:rPr>
                <w:rFonts w:cs="Arial"/>
                <w:b w:val="0"/>
              </w:rPr>
              <w:t>Figure 22</w:t>
            </w:r>
            <w:r>
              <w:tab/>
              <w:t>Lower productivity industries experienced more contraction in their workforces than higher productivity industries</w:t>
            </w:r>
          </w:p>
          <w:p w14:paraId="27520AF9" w14:textId="77777777" w:rsidR="00534098" w:rsidRPr="00176D3F" w:rsidRDefault="00534098" w:rsidP="007A39EB">
            <w:pPr>
              <w:pStyle w:val="Subtitle"/>
            </w:pPr>
            <w:r>
              <w:t>Change in hours worked in 2019</w:t>
            </w:r>
            <w:r>
              <w:noBreakHyphen/>
              <w:t>20 by industry, with industries ordered (descending) by their relative labour productivity</w:t>
            </w:r>
            <w:r w:rsidRPr="009F20D9">
              <w:rPr>
                <w:rStyle w:val="NoteLabel"/>
              </w:rPr>
              <w:t>a</w:t>
            </w:r>
          </w:p>
        </w:tc>
      </w:tr>
      <w:tr w:rsidR="00534098" w14:paraId="54A2C52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09DD073D" w14:textId="77777777" w:rsidTr="007A39EB">
              <w:trPr>
                <w:tblHeader/>
                <w:jc w:val="center"/>
              </w:trPr>
              <w:tc>
                <w:tcPr>
                  <w:tcW w:w="8504" w:type="dxa"/>
                  <w:tcBorders>
                    <w:top w:val="nil"/>
                    <w:bottom w:val="nil"/>
                  </w:tcBorders>
                </w:tcPr>
                <w:p w14:paraId="557BCFBA" w14:textId="4BC2899E" w:rsidR="00534098" w:rsidRPr="00B1465D" w:rsidRDefault="00915503" w:rsidP="00AA1CC8">
                  <w:pPr>
                    <w:pStyle w:val="Figure"/>
                    <w:spacing w:before="0" w:after="0"/>
                    <w:rPr>
                      <w:rFonts w:ascii="Arial" w:hAnsi="Arial" w:cs="Arial"/>
                      <w:sz w:val="18"/>
                      <w:szCs w:val="18"/>
                    </w:rPr>
                  </w:pPr>
                  <w:r w:rsidRPr="00915503">
                    <w:rPr>
                      <w:noProof/>
                    </w:rPr>
                    <w:drawing>
                      <wp:inline distT="0" distB="0" distL="0" distR="0" wp14:anchorId="2A0100F9" wp14:editId="4DF504B6">
                        <wp:extent cx="5400675" cy="3000375"/>
                        <wp:effectExtent l="0" t="0" r="9525" b="9525"/>
                        <wp:docPr id="29" name="Picture 29" descr="In this chart it can be seen that higher productivity firms such as Mining and Finance and insurance services increased their hours worked during 2019-20 while lower productivity firms such as Arts and recreation services and Accommodation and food services decreased their hours worked in 2019-20. Ultimately this led to higher aggregate productivity as labour moved from low to high productivity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 this chart it can be seen that higher productivity firms such as Mining and Finance and insurance services increased their hours worked during 2019-20 while lower productivity firms such as Arts and recreation services and Accommodation and food services decreased their hours worked in 2019-20. Ultimately this led to higher aggregate productivity as labour moved from low to high productivity industrie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r w:rsidR="00534098">
                    <w:rPr>
                      <w:noProof/>
                    </w:rPr>
                    <w:t xml:space="preserve"> </w:t>
                  </w:r>
                </w:p>
              </w:tc>
            </w:tr>
          </w:tbl>
          <w:p w14:paraId="7F6B5B84" w14:textId="77777777" w:rsidR="00534098" w:rsidRDefault="00534098" w:rsidP="007A39EB">
            <w:pPr>
              <w:pStyle w:val="Figure"/>
            </w:pPr>
          </w:p>
        </w:tc>
      </w:tr>
      <w:tr w:rsidR="00534098" w:rsidRPr="00176D3F" w14:paraId="6F5F9D64" w14:textId="77777777" w:rsidTr="007A39EB">
        <w:tc>
          <w:tcPr>
            <w:tcW w:w="5000" w:type="pct"/>
            <w:tcBorders>
              <w:top w:val="nil"/>
              <w:left w:val="nil"/>
              <w:bottom w:val="nil"/>
              <w:right w:val="nil"/>
            </w:tcBorders>
            <w:shd w:val="clear" w:color="auto" w:fill="auto"/>
          </w:tcPr>
          <w:p w14:paraId="03730A52" w14:textId="77777777" w:rsidR="00534098" w:rsidRPr="00176D3F" w:rsidRDefault="00534098" w:rsidP="007A39EB">
            <w:pPr>
              <w:pStyle w:val="Note"/>
            </w:pPr>
            <w:r>
              <w:rPr>
                <w:rStyle w:val="NoteLabel"/>
              </w:rPr>
              <w:t>a</w:t>
            </w:r>
            <w:r>
              <w:t xml:space="preserve"> Relative labour productivity for an industry was estimated as the ratio of the two year average share of gross value added from the </w:t>
            </w:r>
            <w:r w:rsidRPr="00C66FD7">
              <w:rPr>
                <w:i/>
                <w:iCs/>
              </w:rPr>
              <w:t>Australian</w:t>
            </w:r>
            <w:r>
              <w:t xml:space="preserve"> </w:t>
            </w:r>
            <w:r>
              <w:rPr>
                <w:i/>
                <w:iCs/>
              </w:rPr>
              <w:t>System of National Accounts</w:t>
            </w:r>
            <w:r>
              <w:t xml:space="preserve"> to the two year average share in hours worked in the </w:t>
            </w:r>
            <w:r>
              <w:rPr>
                <w:i/>
                <w:iCs/>
              </w:rPr>
              <w:t xml:space="preserve">Labour Account </w:t>
            </w:r>
            <w:r>
              <w:t xml:space="preserve">(this is mathematically equivalent to ranking industries by their two year average labour productivity). </w:t>
            </w:r>
          </w:p>
        </w:tc>
      </w:tr>
      <w:tr w:rsidR="00534098" w:rsidRPr="00176D3F" w14:paraId="43597613" w14:textId="77777777" w:rsidTr="007A39EB">
        <w:tc>
          <w:tcPr>
            <w:tcW w:w="5000" w:type="pct"/>
            <w:tcBorders>
              <w:top w:val="nil"/>
              <w:left w:val="nil"/>
              <w:bottom w:val="nil"/>
              <w:right w:val="nil"/>
            </w:tcBorders>
            <w:shd w:val="clear" w:color="auto" w:fill="auto"/>
          </w:tcPr>
          <w:p w14:paraId="4225E89C" w14:textId="77777777" w:rsidR="00534098" w:rsidRPr="008A0CCC" w:rsidRDefault="00534098" w:rsidP="007A39EB">
            <w:pPr>
              <w:pStyle w:val="Source"/>
              <w:rPr>
                <w:rFonts w:cs="Arial"/>
                <w:spacing w:val="-4"/>
              </w:rPr>
            </w:pPr>
            <w:r w:rsidRPr="008A0CCC">
              <w:rPr>
                <w:rFonts w:cs="Arial"/>
                <w:i/>
                <w:spacing w:val="-4"/>
              </w:rPr>
              <w:t>Sources</w:t>
            </w:r>
            <w:r w:rsidRPr="008A0CCC">
              <w:rPr>
                <w:rFonts w:cs="Arial"/>
                <w:spacing w:val="-4"/>
              </w:rPr>
              <w:t>: Commission estimates using ABS (</w:t>
            </w:r>
            <w:r w:rsidRPr="008A0CCC">
              <w:rPr>
                <w:rFonts w:cs="Arial"/>
                <w:i/>
                <w:iCs/>
                <w:spacing w:val="-4"/>
              </w:rPr>
              <w:t>Australian System of National Accounts, 2019</w:t>
            </w:r>
            <w:r w:rsidRPr="008A0CCC">
              <w:rPr>
                <w:rFonts w:cs="Arial"/>
                <w:i/>
                <w:iCs/>
                <w:spacing w:val="-4"/>
              </w:rPr>
              <w:noBreakHyphen/>
              <w:t>20</w:t>
            </w:r>
            <w:r w:rsidRPr="008A0CCC">
              <w:rPr>
                <w:rFonts w:cs="Arial"/>
                <w:spacing w:val="-4"/>
              </w:rPr>
              <w:t>, Cat. no. </w:t>
            </w:r>
            <w:r w:rsidRPr="008A0CCC">
              <w:rPr>
                <w:rFonts w:cs="Arial"/>
                <w:color w:val="000000"/>
                <w:spacing w:val="-4"/>
                <w:shd w:val="clear" w:color="auto" w:fill="FFFFFF"/>
              </w:rPr>
              <w:t>5204.0.</w:t>
            </w:r>
            <w:r w:rsidRPr="008A0CCC">
              <w:rPr>
                <w:rFonts w:cs="Arial"/>
                <w:spacing w:val="-4"/>
              </w:rPr>
              <w:t xml:space="preserve">, table 5; </w:t>
            </w:r>
            <w:r w:rsidRPr="008A0CCC">
              <w:rPr>
                <w:rFonts w:cs="Arial"/>
                <w:i/>
                <w:iCs/>
                <w:spacing w:val="-4"/>
              </w:rPr>
              <w:t>Estimates of Industry Multifactor Productivity, 2019</w:t>
            </w:r>
            <w:r w:rsidRPr="008A0CCC">
              <w:rPr>
                <w:rFonts w:cs="Arial"/>
                <w:i/>
                <w:iCs/>
                <w:spacing w:val="-4"/>
              </w:rPr>
              <w:noBreakHyphen/>
              <w:t>20</w:t>
            </w:r>
            <w:r w:rsidRPr="008A0CCC">
              <w:rPr>
                <w:rFonts w:cs="Arial"/>
                <w:spacing w:val="-4"/>
              </w:rPr>
              <w:t>, Cat. no. </w:t>
            </w:r>
            <w:r w:rsidRPr="008A0CCC">
              <w:rPr>
                <w:rFonts w:cs="Arial"/>
                <w:color w:val="000000"/>
                <w:spacing w:val="-4"/>
                <w:shd w:val="clear" w:color="auto" w:fill="FFFFFF"/>
              </w:rPr>
              <w:t>5260.0.55.002.</w:t>
            </w:r>
            <w:r w:rsidRPr="008A0CCC">
              <w:rPr>
                <w:rFonts w:cs="Arial"/>
                <w:spacing w:val="-4"/>
              </w:rPr>
              <w:t xml:space="preserve">, tables 1–19; </w:t>
            </w:r>
            <w:r w:rsidRPr="008A0CCC">
              <w:rPr>
                <w:rFonts w:cs="Arial"/>
                <w:i/>
                <w:iCs/>
                <w:spacing w:val="-4"/>
              </w:rPr>
              <w:t>Labour Account Australia, December 2020</w:t>
            </w:r>
            <w:r w:rsidRPr="008A0CCC">
              <w:rPr>
                <w:rFonts w:cs="Arial"/>
                <w:spacing w:val="-4"/>
              </w:rPr>
              <w:t>, Cat no. </w:t>
            </w:r>
            <w:r w:rsidRPr="008A0CCC">
              <w:rPr>
                <w:rFonts w:cs="Arial"/>
                <w:color w:val="000000"/>
                <w:spacing w:val="-4"/>
                <w:shd w:val="clear" w:color="auto" w:fill="FFFFFF"/>
              </w:rPr>
              <w:t>6150.0.55.003.</w:t>
            </w:r>
            <w:r w:rsidRPr="008A0CCC">
              <w:rPr>
                <w:rFonts w:cs="Arial"/>
                <w:spacing w:val="-4"/>
              </w:rPr>
              <w:t>, tables 2–20.</w:t>
            </w:r>
          </w:p>
        </w:tc>
      </w:tr>
      <w:tr w:rsidR="00534098" w14:paraId="398B12E1" w14:textId="77777777" w:rsidTr="007A39EB">
        <w:tc>
          <w:tcPr>
            <w:tcW w:w="5000" w:type="pct"/>
            <w:tcBorders>
              <w:top w:val="nil"/>
              <w:left w:val="nil"/>
              <w:bottom w:val="single" w:sz="6" w:space="0" w:color="78A22F"/>
              <w:right w:val="nil"/>
            </w:tcBorders>
            <w:shd w:val="clear" w:color="auto" w:fill="auto"/>
          </w:tcPr>
          <w:p w14:paraId="5A1382BA" w14:textId="77777777" w:rsidR="00534098" w:rsidRDefault="00534098" w:rsidP="007A39EB">
            <w:pPr>
              <w:pStyle w:val="Figurespace"/>
            </w:pPr>
          </w:p>
        </w:tc>
      </w:tr>
      <w:tr w:rsidR="00534098" w:rsidRPr="000863A5" w14:paraId="2D7EE965" w14:textId="77777777" w:rsidTr="007A39EB">
        <w:tc>
          <w:tcPr>
            <w:tcW w:w="5000" w:type="pct"/>
            <w:tcBorders>
              <w:top w:val="single" w:sz="6" w:space="0" w:color="78A22F"/>
              <w:left w:val="nil"/>
              <w:bottom w:val="nil"/>
              <w:right w:val="nil"/>
            </w:tcBorders>
          </w:tcPr>
          <w:p w14:paraId="27601E80" w14:textId="558994A5" w:rsidR="00534098" w:rsidRPr="00626D32" w:rsidRDefault="00534098" w:rsidP="007A39EB">
            <w:pPr>
              <w:pStyle w:val="BoxSpaceBelow"/>
            </w:pPr>
          </w:p>
        </w:tc>
      </w:tr>
    </w:tbl>
    <w:p w14:paraId="78CC99CF" w14:textId="77777777" w:rsidR="00534098" w:rsidRPr="00266FC5" w:rsidRDefault="00534098" w:rsidP="00534098">
      <w:pPr>
        <w:pStyle w:val="Heading2"/>
      </w:pPr>
      <w:bookmarkStart w:id="14" w:name="_Toc74138579"/>
      <w:r>
        <w:t>3</w:t>
      </w:r>
      <w:r>
        <w:tab/>
        <w:t>Structural effects of COVID</w:t>
      </w:r>
      <w:r>
        <w:noBreakHyphen/>
        <w:t>19</w:t>
      </w:r>
      <w:bookmarkEnd w:id="14"/>
    </w:p>
    <w:p w14:paraId="5C359D66" w14:textId="77777777" w:rsidR="00534098" w:rsidRPr="0029598C" w:rsidRDefault="00534098" w:rsidP="00534098">
      <w:pPr>
        <w:pStyle w:val="BodyText"/>
        <w:rPr>
          <w:spacing w:val="-6"/>
        </w:rPr>
      </w:pPr>
      <w:r w:rsidRPr="0029598C">
        <w:rPr>
          <w:spacing w:val="-6"/>
        </w:rPr>
        <w:t>COVID</w:t>
      </w:r>
      <w:r w:rsidRPr="0029598C">
        <w:rPr>
          <w:spacing w:val="-6"/>
        </w:rPr>
        <w:noBreakHyphen/>
        <w:t>19 caused a number of structural changes that may have permanent productivity implications. For example, it forced consumers and businesses to experiment with virtual transactions such as online shopping, working from home and video link delivery of services (such as telehealth). COVID</w:t>
      </w:r>
      <w:r w:rsidRPr="0029598C">
        <w:rPr>
          <w:spacing w:val="-6"/>
        </w:rPr>
        <w:noBreakHyphen/>
        <w:t>19 also resulted in a number of policy changes that may have long</w:t>
      </w:r>
      <w:r w:rsidRPr="0029598C">
        <w:rPr>
          <w:spacing w:val="-6"/>
        </w:rPr>
        <w:noBreakHyphen/>
        <w:t xml:space="preserve">term structural effects including the JobKeeper program and temporary changes to insolvency laws. </w:t>
      </w:r>
    </w:p>
    <w:p w14:paraId="0FE42DFF" w14:textId="4C3AE0D9" w:rsidR="00534098" w:rsidRDefault="00534098" w:rsidP="00534098">
      <w:pPr>
        <w:pStyle w:val="BodyText"/>
      </w:pPr>
      <w:r>
        <w:t>Determining the degree to which economic trends observed during COVID</w:t>
      </w:r>
      <w:r>
        <w:noBreakHyphen/>
        <w:t>19 are transitory or permanent depends upon the effect of this recession on skills, consumer preferences, capital and regulatory frameworks. For example, it is possible that the increase in online shopping that occurred during COVID</w:t>
      </w:r>
      <w:r>
        <w:noBreakHyphen/>
        <w:t xml:space="preserve">19 will have a lasting effect on preferences between online and in person products, or between goods from different industries. This would likely have downstream effects on the composition of labour, output, and capital, as well as the investment firms make in developing new practices and products. Telehealth and other innovations could provide a productivity boost, and improve </w:t>
      </w:r>
      <w:r w:rsidR="00A93706">
        <w:t>access to health care.</w:t>
      </w:r>
    </w:p>
    <w:p w14:paraId="3FC53E3E" w14:textId="77777777" w:rsidR="00534098" w:rsidRDefault="00534098" w:rsidP="00534098">
      <w:pPr>
        <w:pStyle w:val="BodyText"/>
      </w:pPr>
      <w:r>
        <w:t>Some of the structural impacts evident during COVID</w:t>
      </w:r>
      <w:r>
        <w:noBreakHyphen/>
        <w:t xml:space="preserve">19 are examined below, particularly whether they are likely to persist and their possible effects on productivity. </w:t>
      </w:r>
    </w:p>
    <w:p w14:paraId="0CF1A99E" w14:textId="77777777" w:rsidR="00534098" w:rsidRPr="00DE48FA" w:rsidRDefault="00534098" w:rsidP="00534098">
      <w:pPr>
        <w:pStyle w:val="Heading3"/>
      </w:pPr>
      <w:r>
        <w:t xml:space="preserve">Will labour reallocation have a lasting impact on productivity? </w:t>
      </w:r>
    </w:p>
    <w:p w14:paraId="2E04C4C0" w14:textId="77777777" w:rsidR="00534098" w:rsidRPr="008E1F02" w:rsidRDefault="00534098" w:rsidP="00534098">
      <w:pPr>
        <w:pStyle w:val="BodyText"/>
        <w:rPr>
          <w:spacing w:val="-2"/>
        </w:rPr>
      </w:pPr>
      <w:r w:rsidRPr="008E1F02">
        <w:rPr>
          <w:spacing w:val="-2"/>
        </w:rPr>
        <w:t>As discussed above, over 2019</w:t>
      </w:r>
      <w:r w:rsidRPr="008E1F02">
        <w:rPr>
          <w:spacing w:val="-2"/>
        </w:rPr>
        <w:noBreakHyphen/>
        <w:t>20 there was a reallocation of labour away from some relatively low labour productivity industries to those with higher productivity. However, under the broadest definition of industry, by February 2021, employment in most industries had moved close to their pre</w:t>
      </w:r>
      <w:r w:rsidRPr="008E1F02">
        <w:rPr>
          <w:spacing w:val="-2"/>
        </w:rPr>
        <w:noBreakHyphen/>
        <w:t xml:space="preserve">COVID levels. For example, the </w:t>
      </w:r>
      <w:r w:rsidRPr="008E1F02">
        <w:rPr>
          <w:i/>
          <w:iCs/>
          <w:spacing w:val="-2"/>
        </w:rPr>
        <w:t>arts and recreation services</w:t>
      </w:r>
      <w:r w:rsidRPr="008E1F02">
        <w:rPr>
          <w:spacing w:val="-2"/>
        </w:rPr>
        <w:t xml:space="preserve">, and </w:t>
      </w:r>
      <w:r w:rsidRPr="008E1F02">
        <w:rPr>
          <w:i/>
          <w:iCs/>
          <w:spacing w:val="-2"/>
        </w:rPr>
        <w:t>food and accommodation services</w:t>
      </w:r>
      <w:r w:rsidRPr="008E1F02">
        <w:rPr>
          <w:spacing w:val="-2"/>
        </w:rPr>
        <w:t xml:space="preserve"> industries, which experienced the largest falls in employment between February and May 2020 (36 per cent and 31 per cent respectively), are now only a little below their pre</w:t>
      </w:r>
      <w:r w:rsidRPr="008E1F02">
        <w:rPr>
          <w:spacing w:val="-2"/>
        </w:rPr>
        <w:noBreakHyphen/>
        <w:t xml:space="preserve">COVID levels of employment (2 per cent and 7 per cent respectively) (figure 23). Some industries, such as </w:t>
      </w:r>
      <w:r w:rsidRPr="008E1F02">
        <w:rPr>
          <w:i/>
          <w:iCs/>
          <w:spacing w:val="-2"/>
        </w:rPr>
        <w:t>electricity, gas, waste and water services</w:t>
      </w:r>
      <w:r w:rsidRPr="008E1F02">
        <w:rPr>
          <w:spacing w:val="-2"/>
        </w:rPr>
        <w:t xml:space="preserve"> and </w:t>
      </w:r>
      <w:r w:rsidRPr="008E1F02">
        <w:rPr>
          <w:i/>
          <w:iCs/>
          <w:spacing w:val="-2"/>
        </w:rPr>
        <w:t>retail trade</w:t>
      </w:r>
      <w:r w:rsidRPr="008E1F02">
        <w:rPr>
          <w:spacing w:val="-2"/>
        </w:rPr>
        <w:t xml:space="preserve"> are above their pre</w:t>
      </w:r>
      <w:r w:rsidRPr="008E1F02">
        <w:rPr>
          <w:spacing w:val="-2"/>
        </w:rPr>
        <w:noBreakHyphen/>
        <w:t xml:space="preserve">COVID levels of employment (14 per cent and 6 per cent respectively). </w:t>
      </w:r>
    </w:p>
    <w:p w14:paraId="07FCD5FE" w14:textId="77777777" w:rsidR="00534098" w:rsidRPr="004D0C5A" w:rsidRDefault="00534098" w:rsidP="00534098">
      <w:pPr>
        <w:pStyle w:val="BodyText"/>
      </w:pPr>
      <w:r>
        <w:t xml:space="preserve">The subdivision, </w:t>
      </w:r>
      <w:r w:rsidRPr="00942745">
        <w:t>Australian and New Zealand Standard Industrial Classification</w:t>
      </w:r>
      <w:r>
        <w:t xml:space="preserve"> (ANZSIC 2 digit) industry numbers show similar patterns, though some industries are still far from complete recovery. For example, while </w:t>
      </w:r>
      <w:r w:rsidRPr="00B42A96">
        <w:rPr>
          <w:i/>
          <w:iCs/>
        </w:rPr>
        <w:t>air and space transpor</w:t>
      </w:r>
      <w:r>
        <w:t>t lost about 34 per cent of its workforce between February and May 2020, as at February 2021, it was still 22 per cent below its pre</w:t>
      </w:r>
      <w:r>
        <w:noBreakHyphen/>
        <w:t xml:space="preserve">COVID level (not seasonally adjusted, appendix A). Likewise, while the </w:t>
      </w:r>
      <w:r>
        <w:rPr>
          <w:i/>
          <w:iCs/>
        </w:rPr>
        <w:t xml:space="preserve">food and beverage services </w:t>
      </w:r>
      <w:r>
        <w:t xml:space="preserve">component of the </w:t>
      </w:r>
      <w:r>
        <w:rPr>
          <w:i/>
          <w:iCs/>
        </w:rPr>
        <w:t>accommodation and food services</w:t>
      </w:r>
      <w:r>
        <w:t xml:space="preserve"> industry has recovered to being only 7 per cent below its pre</w:t>
      </w:r>
      <w:r>
        <w:noBreakHyphen/>
        <w:t xml:space="preserve">COVID levels, the </w:t>
      </w:r>
      <w:r>
        <w:rPr>
          <w:i/>
          <w:iCs/>
        </w:rPr>
        <w:t>accommodation</w:t>
      </w:r>
      <w:r>
        <w:t xml:space="preserve"> component is 24 per cent below its February 2020 level (appendix A).</w:t>
      </w:r>
    </w:p>
    <w:p w14:paraId="09AA1564" w14:textId="77777777" w:rsidR="00534098" w:rsidRDefault="00534098" w:rsidP="00534098">
      <w:pPr>
        <w:pStyle w:val="BodyText"/>
      </w:pPr>
      <w:r>
        <w:t>It remains unclear whether the workforce will return to its pre</w:t>
      </w:r>
      <w:r>
        <w:noBreakHyphen/>
        <w:t>COVID structure, or whether its composition will be permanently altered.</w:t>
      </w:r>
    </w:p>
    <w:p w14:paraId="5D0365EF" w14:textId="77777777" w:rsidR="00534098" w:rsidRDefault="00534098" w:rsidP="00534098">
      <w:pPr>
        <w:pStyle w:val="BodyText"/>
      </w:pPr>
      <w:r>
        <w:t>One factor that may encourage the composition of labour to return to its pre</w:t>
      </w:r>
      <w:r>
        <w:noBreakHyphen/>
        <w:t>COVID pattern is the apparent stickiness of capital. During the COVID</w:t>
      </w:r>
      <w:r>
        <w:noBreakHyphen/>
        <w:t>19 induced recession, labour plummeted while capital services grew (figure 1 above), both in aggregate and for 12 different industries. Many of the industries that shed the most labour were the industries that experienced the most capital service growth in 2019</w:t>
      </w:r>
      <w:r>
        <w:noBreakHyphen/>
        <w:t xml:space="preserve">20. For example, </w:t>
      </w:r>
      <w:r w:rsidRPr="00575EC4">
        <w:rPr>
          <w:i/>
          <w:iCs/>
        </w:rPr>
        <w:t>arts and recreation</w:t>
      </w:r>
      <w:r>
        <w:t xml:space="preserve"> decreased its labour by about 15 per cent while increasing its capital services by approximately 3 per cent (figure 20). </w:t>
      </w:r>
    </w:p>
    <w:p w14:paraId="666A5C09" w14:textId="77777777" w:rsidR="00534098" w:rsidRDefault="00534098" w:rsidP="00534098">
      <w:pPr>
        <w:pStyle w:val="BodyText"/>
      </w:pPr>
      <w:r>
        <w:t>As a result, industries that shed labour during 2019</w:t>
      </w:r>
      <w:r>
        <w:noBreakHyphen/>
        <w:t>20</w:t>
      </w:r>
      <w:r w:rsidDel="00FE1409">
        <w:t xml:space="preserve"> </w:t>
      </w:r>
      <w:r>
        <w:t>are likely to have underutilised capital on hand. This means there are fewer obstacles to them expanding their workforce if consumer demand returns to pre</w:t>
      </w:r>
      <w:r>
        <w:noBreakHyphen/>
        <w:t xml:space="preserve">COVID levels and if workers wish to return (and continue to have the relevant skills). </w:t>
      </w:r>
    </w:p>
    <w:p w14:paraId="1959B9C9" w14:textId="77777777" w:rsidR="00534098" w:rsidRDefault="00534098" w:rsidP="00534098">
      <w:pPr>
        <w:pStyle w:val="BodyText"/>
      </w:pPr>
      <w:r>
        <w:t>However, several other structural changes may hinder this process. For example, consumers may have discovered a preference for online delivery of goods and services (below) that limits the bounce back of brick and motor mortar stores. And workers who have been out of an industry for a significant period of time may have reskilled for a different role and not want to return. And if increased capacity to work remotely and more online shopping persist (below), then more jobs could be offshored, changing the structure of industry.</w:t>
      </w:r>
    </w:p>
    <w:p w14:paraId="223918CE" w14:textId="1A186499"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AAEF7EC" w14:textId="77777777" w:rsidTr="007A39EB">
        <w:trPr>
          <w:tblHeader/>
        </w:trPr>
        <w:tc>
          <w:tcPr>
            <w:tcW w:w="5000" w:type="pct"/>
            <w:tcBorders>
              <w:top w:val="single" w:sz="6" w:space="0" w:color="78A22F"/>
              <w:left w:val="nil"/>
              <w:bottom w:val="nil"/>
              <w:right w:val="nil"/>
            </w:tcBorders>
            <w:shd w:val="clear" w:color="auto" w:fill="auto"/>
          </w:tcPr>
          <w:p w14:paraId="037966F0" w14:textId="1AAB569D" w:rsidR="00534098" w:rsidRDefault="00534098" w:rsidP="007A39EB">
            <w:pPr>
              <w:pStyle w:val="FigureTitle"/>
            </w:pPr>
            <w:r w:rsidRPr="00784A05">
              <w:rPr>
                <w:b w:val="0"/>
              </w:rPr>
              <w:t xml:space="preserve">Figure </w:t>
            </w:r>
            <w:r>
              <w:rPr>
                <w:b w:val="0"/>
              </w:rPr>
              <w:t>23</w:t>
            </w:r>
            <w:r>
              <w:tab/>
              <w:t>At the broadest level of aggregation, employment in most industries is close to pre</w:t>
            </w:r>
            <w:r>
              <w:noBreakHyphen/>
              <w:t>COVID levels</w:t>
            </w:r>
          </w:p>
          <w:p w14:paraId="636EBF54" w14:textId="77777777" w:rsidR="00534098" w:rsidRPr="00176D3F" w:rsidRDefault="00534098" w:rsidP="007A39EB">
            <w:pPr>
              <w:pStyle w:val="Subtitle"/>
            </w:pPr>
            <w:r>
              <w:t>Employment (seasonally adjusted) by industry division as a proportion (%) of February 2020 (pre</w:t>
            </w:r>
            <w:r>
              <w:noBreakHyphen/>
              <w:t>COVID) levels in May 2020 and February 2021</w:t>
            </w:r>
          </w:p>
        </w:tc>
      </w:tr>
      <w:tr w:rsidR="00534098" w14:paraId="1393051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194188F8" w14:textId="77777777" w:rsidTr="007A39EB">
              <w:trPr>
                <w:tblHeader/>
                <w:jc w:val="center"/>
              </w:trPr>
              <w:tc>
                <w:tcPr>
                  <w:tcW w:w="5000" w:type="pct"/>
                  <w:tcBorders>
                    <w:top w:val="nil"/>
                    <w:bottom w:val="nil"/>
                  </w:tcBorders>
                </w:tcPr>
                <w:p w14:paraId="1569DC9F" w14:textId="23A13BE2" w:rsidR="00534098" w:rsidRPr="00B1465D" w:rsidRDefault="00123CD5" w:rsidP="007A39EB">
                  <w:pPr>
                    <w:pStyle w:val="Figure"/>
                    <w:spacing w:before="60" w:after="60"/>
                    <w:rPr>
                      <w:rFonts w:ascii="Arial" w:hAnsi="Arial" w:cs="Arial"/>
                      <w:sz w:val="18"/>
                      <w:szCs w:val="18"/>
                    </w:rPr>
                  </w:pPr>
                  <w:r w:rsidRPr="00123CD5">
                    <w:rPr>
                      <w:rFonts w:ascii="Arial" w:hAnsi="Arial" w:cs="Arial"/>
                      <w:noProof/>
                      <w:sz w:val="18"/>
                      <w:szCs w:val="18"/>
                    </w:rPr>
                    <w:drawing>
                      <wp:inline distT="0" distB="0" distL="0" distR="0" wp14:anchorId="5DA582E1" wp14:editId="16B472B5">
                        <wp:extent cx="5438775" cy="4219575"/>
                        <wp:effectExtent l="0" t="0" r="9525" b="9525"/>
                        <wp:docPr id="34" name="Picture 34" descr="In this chart it can be seen that employment as a proportion of February 2020 levels (before COVID) was significantly higher in most industries in February 2021 than in May 2020. Electricity, Agriculture, Finance, Construction, Admin and real estate are exceptions to this trend. However,  the industry’s worst effected by COVID (retail, arts and rec and accommodation and food) have rebounded impressively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 this chart it can be seen that employment as a proportion of February 2020 levels (before COVID) was significantly higher in most industries in February 2021 than in May 2020. Electricity, Agriculture, Finance, Construction, Admin and real estate are exceptions to this trend. However,  the industry’s worst effected by COVID (retail, arts and rec and accommodation and food) have rebounded impressively well.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8775" cy="4219575"/>
                                </a:xfrm>
                                <a:prstGeom prst="rect">
                                  <a:avLst/>
                                </a:prstGeom>
                                <a:noFill/>
                                <a:ln>
                                  <a:noFill/>
                                </a:ln>
                              </pic:spPr>
                            </pic:pic>
                          </a:graphicData>
                        </a:graphic>
                      </wp:inline>
                    </w:drawing>
                  </w:r>
                </w:p>
              </w:tc>
            </w:tr>
          </w:tbl>
          <w:p w14:paraId="02305755" w14:textId="77777777" w:rsidR="00534098" w:rsidRDefault="00534098" w:rsidP="007A39EB">
            <w:pPr>
              <w:pStyle w:val="Figure"/>
            </w:pPr>
          </w:p>
        </w:tc>
      </w:tr>
      <w:tr w:rsidR="00534098" w:rsidRPr="00176D3F" w14:paraId="5474FE82" w14:textId="77777777" w:rsidTr="007A39EB">
        <w:tc>
          <w:tcPr>
            <w:tcW w:w="5000" w:type="pct"/>
            <w:tcBorders>
              <w:top w:val="nil"/>
              <w:left w:val="nil"/>
              <w:bottom w:val="nil"/>
              <w:right w:val="nil"/>
            </w:tcBorders>
            <w:shd w:val="clear" w:color="auto" w:fill="auto"/>
          </w:tcPr>
          <w:p w14:paraId="0A35FE9A" w14:textId="77777777" w:rsidR="00534098" w:rsidRPr="00176D3F" w:rsidRDefault="00534098" w:rsidP="007A39EB">
            <w:pPr>
              <w:pStyle w:val="Source"/>
            </w:pPr>
            <w:r>
              <w:rPr>
                <w:i/>
              </w:rPr>
              <w:t>S</w:t>
            </w:r>
            <w:r w:rsidRPr="00784A05">
              <w:rPr>
                <w:i/>
              </w:rPr>
              <w:t>ource</w:t>
            </w:r>
            <w:r w:rsidRPr="00176D3F">
              <w:t xml:space="preserve">: </w:t>
            </w:r>
            <w:r>
              <w:t>ABS (</w:t>
            </w:r>
            <w:r w:rsidRPr="00F039FA">
              <w:rPr>
                <w:i/>
                <w:iCs/>
              </w:rPr>
              <w:t>Labour Force, Australia, Detailed, February 2021</w:t>
            </w:r>
            <w:r w:rsidRPr="00F039FA">
              <w:t>,</w:t>
            </w:r>
            <w:r w:rsidRPr="00C00AAA">
              <w:t xml:space="preserve"> </w:t>
            </w:r>
            <w:r>
              <w:t>Cat. no. </w:t>
            </w:r>
            <w:r w:rsidRPr="00701AF5">
              <w:t>6291.0.55.001</w:t>
            </w:r>
            <w:r>
              <w:t>, table 04).</w:t>
            </w:r>
          </w:p>
        </w:tc>
      </w:tr>
      <w:tr w:rsidR="00534098" w14:paraId="777C826D" w14:textId="77777777" w:rsidTr="007A39EB">
        <w:tc>
          <w:tcPr>
            <w:tcW w:w="5000" w:type="pct"/>
            <w:tcBorders>
              <w:top w:val="nil"/>
              <w:left w:val="nil"/>
              <w:bottom w:val="single" w:sz="6" w:space="0" w:color="78A22F"/>
              <w:right w:val="nil"/>
            </w:tcBorders>
            <w:shd w:val="clear" w:color="auto" w:fill="auto"/>
          </w:tcPr>
          <w:p w14:paraId="2754B3A5" w14:textId="77777777" w:rsidR="00534098" w:rsidRDefault="00534098" w:rsidP="007A39EB">
            <w:pPr>
              <w:pStyle w:val="Figurespace"/>
            </w:pPr>
          </w:p>
        </w:tc>
      </w:tr>
      <w:tr w:rsidR="00534098" w:rsidRPr="000863A5" w14:paraId="08C34D85" w14:textId="77777777" w:rsidTr="007A39EB">
        <w:tc>
          <w:tcPr>
            <w:tcW w:w="5000" w:type="pct"/>
            <w:tcBorders>
              <w:top w:val="single" w:sz="6" w:space="0" w:color="78A22F"/>
              <w:left w:val="nil"/>
              <w:bottom w:val="nil"/>
              <w:right w:val="nil"/>
            </w:tcBorders>
          </w:tcPr>
          <w:p w14:paraId="7EA4865B" w14:textId="34D7EF37" w:rsidR="00534098" w:rsidRPr="00626D32" w:rsidRDefault="00534098" w:rsidP="007A39EB">
            <w:pPr>
              <w:pStyle w:val="BoxSpaceBelow"/>
            </w:pPr>
          </w:p>
        </w:tc>
      </w:tr>
    </w:tbl>
    <w:p w14:paraId="47818F8E" w14:textId="77777777" w:rsidR="00534098" w:rsidRDefault="00534098" w:rsidP="00534098">
      <w:pPr>
        <w:pStyle w:val="Heading3"/>
      </w:pPr>
      <w:r>
        <w:t>Working from home</w:t>
      </w:r>
    </w:p>
    <w:p w14:paraId="506D02D1" w14:textId="77777777" w:rsidR="00534098" w:rsidRPr="00E43B2E" w:rsidRDefault="00534098" w:rsidP="00534098">
      <w:pPr>
        <w:pStyle w:val="BodyText"/>
      </w:pPr>
      <w:r>
        <w:t>In perhaps the most transformative economic change of 2020, the proportion of Australians working from home was higher than ever before (figure 24). Recent survey estimates are only available for September 2020 onwards and not on the proportion of people who worked from home during the period April</w:t>
      </w:r>
      <w:r>
        <w:noBreakHyphen/>
        <w:t xml:space="preserve">May 2020 (when most of the country was in lockdown), which was presumably a higher proportion of the workforce. Census and </w:t>
      </w:r>
      <w:r w:rsidRPr="00FA5F03">
        <w:t>Household, Income and Labour Dynamics in Australia (</w:t>
      </w:r>
      <w:r>
        <w:t>HILDA</w:t>
      </w:r>
      <w:r w:rsidRPr="00FA5F03">
        <w:t>)</w:t>
      </w:r>
      <w:r>
        <w:t xml:space="preserve"> data tend to indicate the proportion of the workforce working from home was negligible prior to the pandemic.</w:t>
      </w:r>
    </w:p>
    <w:p w14:paraId="0111E9AA" w14:textId="5B00DC35"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3142E7A" w14:textId="77777777" w:rsidTr="007A39EB">
        <w:trPr>
          <w:tblHeader/>
        </w:trPr>
        <w:tc>
          <w:tcPr>
            <w:tcW w:w="5000" w:type="pct"/>
            <w:tcBorders>
              <w:top w:val="single" w:sz="6" w:space="0" w:color="78A22F"/>
              <w:left w:val="nil"/>
              <w:bottom w:val="nil"/>
              <w:right w:val="nil"/>
            </w:tcBorders>
            <w:shd w:val="clear" w:color="auto" w:fill="auto"/>
          </w:tcPr>
          <w:p w14:paraId="273DDB27" w14:textId="388D2AAF" w:rsidR="00534098" w:rsidRDefault="00534098" w:rsidP="007A39EB">
            <w:pPr>
              <w:pStyle w:val="FigureTitle"/>
            </w:pPr>
            <w:r w:rsidRPr="00784A05">
              <w:rPr>
                <w:b w:val="0"/>
              </w:rPr>
              <w:t xml:space="preserve">Figure </w:t>
            </w:r>
            <w:r>
              <w:rPr>
                <w:b w:val="0"/>
              </w:rPr>
              <w:t>24</w:t>
            </w:r>
            <w:r>
              <w:tab/>
              <w:t>The proportion of individuals working from home increased markedly in 2020 and 2021</w:t>
            </w:r>
          </w:p>
          <w:p w14:paraId="0B0D2A15" w14:textId="77777777" w:rsidR="00534098" w:rsidRPr="00176D3F" w:rsidRDefault="00534098" w:rsidP="007A39EB">
            <w:pPr>
              <w:pStyle w:val="Subtitle"/>
            </w:pPr>
            <w:r>
              <w:t>Proportion of people working from home</w:t>
            </w:r>
            <w:r>
              <w:rPr>
                <w:rStyle w:val="NoteLabel"/>
              </w:rPr>
              <w:t>a</w:t>
            </w:r>
          </w:p>
        </w:tc>
      </w:tr>
      <w:tr w:rsidR="00534098" w14:paraId="74EFC5A9"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42DFB0CF" w14:textId="77777777" w:rsidTr="007A39EB">
              <w:trPr>
                <w:tblHeader/>
                <w:jc w:val="center"/>
              </w:trPr>
              <w:tc>
                <w:tcPr>
                  <w:tcW w:w="5000" w:type="pct"/>
                  <w:tcBorders>
                    <w:top w:val="nil"/>
                    <w:bottom w:val="nil"/>
                  </w:tcBorders>
                </w:tcPr>
                <w:p w14:paraId="0847BB0E" w14:textId="2C65F7CF" w:rsidR="00534098" w:rsidRPr="00B1465D" w:rsidRDefault="00AF3652" w:rsidP="007A39EB">
                  <w:pPr>
                    <w:pStyle w:val="Figure"/>
                    <w:spacing w:before="60" w:after="60"/>
                    <w:rPr>
                      <w:rFonts w:ascii="Arial" w:hAnsi="Arial" w:cs="Arial"/>
                      <w:sz w:val="18"/>
                      <w:szCs w:val="18"/>
                    </w:rPr>
                  </w:pPr>
                  <w:r w:rsidRPr="00AF3652">
                    <w:rPr>
                      <w:rFonts w:ascii="Arial" w:hAnsi="Arial" w:cs="Arial"/>
                      <w:noProof/>
                      <w:sz w:val="18"/>
                      <w:szCs w:val="18"/>
                    </w:rPr>
                    <w:drawing>
                      <wp:inline distT="0" distB="0" distL="0" distR="0" wp14:anchorId="30612C62" wp14:editId="2257CD09">
                        <wp:extent cx="5220000" cy="3027388"/>
                        <wp:effectExtent l="0" t="0" r="0" b="0"/>
                        <wp:docPr id="25" name="Picture 25" descr="In this chart it can be seen that the proportion of individuals working from home increased substantially in 2020 and 2021. Before 2020 the proportion of individuals working from home never exceeded 10 per cent (in 2020 and 2021 it was about 4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 this chart it can be seen that the proportion of individuals working from home increased substantially in 2020 and 2021. Before 2020 the proportion of individuals working from home never exceeded 10 per cent (in 2020 and 2021 it was about 40 per cen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000" cy="3027388"/>
                                </a:xfrm>
                                <a:prstGeom prst="rect">
                                  <a:avLst/>
                                </a:prstGeom>
                                <a:noFill/>
                                <a:ln>
                                  <a:noFill/>
                                </a:ln>
                              </pic:spPr>
                            </pic:pic>
                          </a:graphicData>
                        </a:graphic>
                      </wp:inline>
                    </w:drawing>
                  </w:r>
                </w:p>
              </w:tc>
            </w:tr>
          </w:tbl>
          <w:p w14:paraId="1A8ED78C" w14:textId="77777777" w:rsidR="00534098" w:rsidRDefault="00534098" w:rsidP="007A39EB">
            <w:pPr>
              <w:pStyle w:val="Figure"/>
            </w:pPr>
          </w:p>
        </w:tc>
      </w:tr>
      <w:tr w:rsidR="00534098" w:rsidRPr="00176D3F" w14:paraId="776DDAD4" w14:textId="77777777" w:rsidTr="007A39EB">
        <w:tc>
          <w:tcPr>
            <w:tcW w:w="5000" w:type="pct"/>
            <w:tcBorders>
              <w:top w:val="nil"/>
              <w:left w:val="nil"/>
              <w:bottom w:val="nil"/>
              <w:right w:val="nil"/>
            </w:tcBorders>
            <w:shd w:val="clear" w:color="auto" w:fill="auto"/>
          </w:tcPr>
          <w:p w14:paraId="2D7EE041" w14:textId="2716DD07" w:rsidR="00534098" w:rsidRPr="00176D3F" w:rsidRDefault="00534098" w:rsidP="007A39EB">
            <w:pPr>
              <w:pStyle w:val="Note"/>
            </w:pPr>
            <w:r>
              <w:rPr>
                <w:rStyle w:val="NoteLabel"/>
              </w:rPr>
              <w:t>a</w:t>
            </w:r>
            <w:r>
              <w:t xml:space="preserve"> </w:t>
            </w:r>
            <w:r w:rsidRPr="001C1921">
              <w:t>Data from HILDA shows the percentage of people who have a formal agreement to work from home. Census data shows the percentage who responded that they worked from home — rather than an alternative mode of commuting to work — on the day of the Census. Household impacts of C</w:t>
            </w:r>
            <w:r w:rsidR="00B57FAB">
              <w:t>OVID-</w:t>
            </w:r>
            <w:r w:rsidRPr="001C1921">
              <w:t>19 survey data shows</w:t>
            </w:r>
            <w:r w:rsidR="001E0379">
              <w:t xml:space="preserve"> </w:t>
            </w:r>
            <w:r w:rsidR="00424E17">
              <w:t>the percentage of respondents who worked from home in the last four weeks before the interview</w:t>
            </w:r>
            <w:r>
              <w:t xml:space="preserve">. </w:t>
            </w:r>
          </w:p>
        </w:tc>
      </w:tr>
      <w:tr w:rsidR="00534098" w:rsidRPr="00176D3F" w14:paraId="215678B9" w14:textId="77777777" w:rsidTr="007A39EB">
        <w:tc>
          <w:tcPr>
            <w:tcW w:w="5000" w:type="pct"/>
            <w:tcBorders>
              <w:top w:val="nil"/>
              <w:left w:val="nil"/>
              <w:bottom w:val="nil"/>
              <w:right w:val="nil"/>
            </w:tcBorders>
            <w:shd w:val="clear" w:color="auto" w:fill="auto"/>
          </w:tcPr>
          <w:p w14:paraId="4C70E037" w14:textId="77777777" w:rsidR="00534098" w:rsidRPr="00176D3F" w:rsidRDefault="00534098" w:rsidP="007A39EB">
            <w:pPr>
              <w:pStyle w:val="Source"/>
            </w:pPr>
            <w:r>
              <w:rPr>
                <w:i/>
              </w:rPr>
              <w:t>S</w:t>
            </w:r>
            <w:r w:rsidRPr="00784A05">
              <w:rPr>
                <w:i/>
              </w:rPr>
              <w:t>ource</w:t>
            </w:r>
            <w:r>
              <w:rPr>
                <w:i/>
              </w:rPr>
              <w:t>s</w:t>
            </w:r>
            <w:r w:rsidRPr="00176D3F">
              <w:t xml:space="preserve">: </w:t>
            </w:r>
            <w:r w:rsidRPr="00213068">
              <w:t>ABS (Selected Living Cost Indexes, Feb. 2021, Cat. no. 6467.0</w:t>
            </w:r>
            <w:r>
              <w:t xml:space="preserve">, </w:t>
            </w:r>
            <w:r w:rsidRPr="00213068">
              <w:t>Internet Activity, Australia, 2018, Cat. no. 8153.0</w:t>
            </w:r>
            <w:r>
              <w:t xml:space="preserve">, </w:t>
            </w:r>
            <w:r w:rsidRPr="00213068">
              <w:t>Census of Population and Housing, 2001, 2006, 2006, 2016, Cat. no. 2037.0.30.001</w:t>
            </w:r>
            <w:r>
              <w:t xml:space="preserve">, </w:t>
            </w:r>
            <w:r w:rsidRPr="00213068">
              <w:t>Household impacts of Covid</w:t>
            </w:r>
            <w:r>
              <w:noBreakHyphen/>
            </w:r>
            <w:r w:rsidRPr="00213068">
              <w:t>19 survey, 2021, Cat. no. 4940.0)</w:t>
            </w:r>
            <w:r>
              <w:t>.</w:t>
            </w:r>
          </w:p>
        </w:tc>
      </w:tr>
      <w:tr w:rsidR="00534098" w14:paraId="0429A173" w14:textId="77777777" w:rsidTr="007A39EB">
        <w:tc>
          <w:tcPr>
            <w:tcW w:w="5000" w:type="pct"/>
            <w:tcBorders>
              <w:top w:val="nil"/>
              <w:left w:val="nil"/>
              <w:bottom w:val="single" w:sz="6" w:space="0" w:color="78A22F"/>
              <w:right w:val="nil"/>
            </w:tcBorders>
            <w:shd w:val="clear" w:color="auto" w:fill="auto"/>
          </w:tcPr>
          <w:p w14:paraId="0D62036A" w14:textId="77777777" w:rsidR="00534098" w:rsidRDefault="00534098" w:rsidP="007A39EB">
            <w:pPr>
              <w:pStyle w:val="Figurespace"/>
            </w:pPr>
          </w:p>
        </w:tc>
      </w:tr>
      <w:tr w:rsidR="00534098" w:rsidRPr="000863A5" w14:paraId="04EBB793" w14:textId="77777777" w:rsidTr="007A39EB">
        <w:tc>
          <w:tcPr>
            <w:tcW w:w="5000" w:type="pct"/>
            <w:tcBorders>
              <w:top w:val="single" w:sz="6" w:space="0" w:color="78A22F"/>
              <w:left w:val="nil"/>
              <w:bottom w:val="nil"/>
              <w:right w:val="nil"/>
            </w:tcBorders>
          </w:tcPr>
          <w:p w14:paraId="4C236522" w14:textId="4B0CC52E" w:rsidR="00534098" w:rsidRPr="00626D32" w:rsidRDefault="00534098" w:rsidP="007A39EB">
            <w:pPr>
              <w:pStyle w:val="BoxSpaceBelow"/>
            </w:pPr>
          </w:p>
        </w:tc>
      </w:tr>
    </w:tbl>
    <w:p w14:paraId="61EE3D4B" w14:textId="7C969989" w:rsidR="00534098" w:rsidRDefault="00534098" w:rsidP="00534098">
      <w:pPr>
        <w:pStyle w:val="BodyText"/>
      </w:pPr>
      <w:r>
        <w:t>The available evidence indicates that working from home is likely to be higher post</w:t>
      </w:r>
      <w:r>
        <w:noBreakHyphen/>
        <w:t>COVID than it was pre</w:t>
      </w:r>
      <w:r>
        <w:noBreakHyphen/>
        <w:t xml:space="preserve">COVID, and that this is preferred by both employees and employers. Australian survey data in Beck and Hensher </w:t>
      </w:r>
      <w:r w:rsidRPr="008D6078">
        <w:t>(2020)</w:t>
      </w:r>
      <w:r>
        <w:t xml:space="preserve"> indicate that both Australian workers and managers would prefer employees to continue working from home to a greater extent than pre</w:t>
      </w:r>
      <w:r>
        <w:noBreakHyphen/>
        <w:t xml:space="preserve">COVID, but the preferred number of days employees want to work from home is </w:t>
      </w:r>
      <w:r w:rsidRPr="008A58C4">
        <w:rPr>
          <w:i/>
        </w:rPr>
        <w:t>less</w:t>
      </w:r>
      <w:r>
        <w:t xml:space="preserve"> than managers would prefer. This in contrast to a US survey by Barrero, Bloom and Davis </w:t>
      </w:r>
      <w:r w:rsidRPr="00891C4B">
        <w:t>(2020)</w:t>
      </w:r>
      <w:r>
        <w:t xml:space="preserve"> that found employees desired to work from home </w:t>
      </w:r>
      <w:r w:rsidRPr="00FA5B71">
        <w:rPr>
          <w:i/>
        </w:rPr>
        <w:t>more</w:t>
      </w:r>
      <w:r>
        <w:t xml:space="preserve"> than their employers were planning to allow post</w:t>
      </w:r>
      <w:r>
        <w:noBreakHyphen/>
        <w:t>COVID (though both the preferences of employees and stated plans of employers indicated a desire for greater working from home than pre</w:t>
      </w:r>
      <w:r>
        <w:noBreakHyphen/>
        <w:t xml:space="preserve">COVID). </w:t>
      </w:r>
    </w:p>
    <w:p w14:paraId="0BB25D9C" w14:textId="3F3FFCCA" w:rsidR="00534098" w:rsidRDefault="00534098" w:rsidP="00534098">
      <w:pPr>
        <w:pStyle w:val="BodyText"/>
      </w:pPr>
      <w:r>
        <w:t>If working from home does increase significantly post</w:t>
      </w:r>
      <w:r>
        <w:noBreakHyphen/>
        <w:t>COVID</w:t>
      </w:r>
      <w:r>
        <w:noBreakHyphen/>
        <w:t xml:space="preserve">19, the overall effect on productivity and welfare is unclear. On the one hand, employees regain the time that would have been spent in transit in additional </w:t>
      </w:r>
      <w:r w:rsidR="00520DB2">
        <w:t>time outside of work</w:t>
      </w:r>
      <w:r>
        <w:t>. If as a back of the envelop estimate, one takes the average travel time of 56 minutes per day and multiplies by the median wage</w:t>
      </w:r>
      <w:r>
        <w:rPr>
          <w:rStyle w:val="FootnoteReference"/>
        </w:rPr>
        <w:footnoteReference w:id="12"/>
      </w:r>
      <w:r>
        <w:t xml:space="preserve">, this equates to $34 worth of </w:t>
      </w:r>
      <w:r w:rsidR="005736D5">
        <w:t>additional time</w:t>
      </w:r>
      <w:r>
        <w:t xml:space="preserve"> per employee per day </w:t>
      </w:r>
      <w:r w:rsidRPr="0014722B">
        <w:rPr>
          <w:szCs w:val="24"/>
        </w:rPr>
        <w:t>(Melbourne Institute 2021)</w:t>
      </w:r>
      <w:r>
        <w:t xml:space="preserve">. This would lead to much higher wellbeing but no measured productivity improvement. Alternatively, if it leads to additional hours of work, output will grow; the effects on productivity are still unclear. And if fully remote working persists for many jobs, there is potential for better matching between employers and employees as neither will be restricted by geography. </w:t>
      </w:r>
    </w:p>
    <w:p w14:paraId="54BDEAB5" w14:textId="7E9248AC" w:rsidR="00534098" w:rsidRDefault="00534098" w:rsidP="00534098">
      <w:pPr>
        <w:pStyle w:val="BodyText"/>
      </w:pPr>
      <w:r>
        <w:t>On the other hand, working from home can have some downsides. Some managers may also struggle to adjust to long</w:t>
      </w:r>
      <w:r>
        <w:noBreakHyphen/>
        <w:t>term working from home due to historical reliance on in</w:t>
      </w:r>
      <w:r>
        <w:noBreakHyphen/>
        <w:t xml:space="preserve">person monitoring of their employees’ activities. And it is also possible that prolonged working from home reduces opportunities for the serendipitous exchange of ideas that can often only occur in person. Finally, the little survey data that exists suggests that most employees would prefer a mixed arrangement of working both in the office and at home some of the time </w:t>
      </w:r>
      <w:r w:rsidRPr="0048695C">
        <w:rPr>
          <w:szCs w:val="24"/>
        </w:rPr>
        <w:t>(Barrero, Bloom and Davis 2020; Beck and Hensher 2020)</w:t>
      </w:r>
      <w:r>
        <w:t xml:space="preserve">. </w:t>
      </w:r>
    </w:p>
    <w:p w14:paraId="14E21512" w14:textId="77777777" w:rsidR="00534098" w:rsidRDefault="00534098" w:rsidP="00534098">
      <w:pPr>
        <w:pStyle w:val="BodyText"/>
      </w:pPr>
      <w:r>
        <w:t>COVID</w:t>
      </w:r>
      <w:r>
        <w:noBreakHyphen/>
        <w:t>19 forced investment, both tangible (computers and home office equipment) and intangible (new systems and employee capability), in working from home capacity. This investment revealed new information to both employees and employers about the benefits and costs of working from home arrangements. So long as employees and employers are free to bargain under fair conditions, the welfare implications of this forced investment will likely positive, even if the productivity implications are (ex</w:t>
      </w:r>
      <w:r>
        <w:noBreakHyphen/>
        <w:t xml:space="preserve">ante) more ambiguous. </w:t>
      </w:r>
    </w:p>
    <w:p w14:paraId="404F1BEC" w14:textId="77777777" w:rsidR="00534098" w:rsidRDefault="00534098" w:rsidP="00534098">
      <w:pPr>
        <w:pStyle w:val="Heading3"/>
      </w:pPr>
      <w:r>
        <w:t xml:space="preserve">Acceleration in the transition to online retail </w:t>
      </w:r>
    </w:p>
    <w:p w14:paraId="35EEF20B" w14:textId="77777777" w:rsidR="00534098" w:rsidRDefault="00534098" w:rsidP="00534098">
      <w:pPr>
        <w:pStyle w:val="BodyText"/>
      </w:pPr>
      <w:r>
        <w:t>The move towards online sales had begun long before COVID</w:t>
      </w:r>
      <w:r>
        <w:noBreakHyphen/>
        <w:t>19 but in April 2021, due to the loss of in</w:t>
      </w:r>
      <w:r>
        <w:noBreakHyphen/>
        <w:t>person shopping (or the ability to leave the house more generally), consumers significantly increased their relative consumption of online goods (figure 25). Online sales have since fallen as a proportion of retail but still remain above pre</w:t>
      </w:r>
      <w:r>
        <w:noBreakHyphen/>
        <w:t xml:space="preserve">COVID levels. Whether or not this acceleration of the move to online shopping proves to be permanent is uncertain. </w:t>
      </w:r>
    </w:p>
    <w:p w14:paraId="2AC86A83" w14:textId="26BC79AA" w:rsidR="00534098" w:rsidRPr="00761E30" w:rsidRDefault="00534098" w:rsidP="00534098">
      <w:pPr>
        <w:pStyle w:val="BodyText"/>
        <w:rPr>
          <w:spacing w:val="-4"/>
        </w:rPr>
      </w:pPr>
      <w:r w:rsidRPr="00761E30">
        <w:rPr>
          <w:spacing w:val="-4"/>
        </w:rPr>
        <w:t>To the extent that COVID</w:t>
      </w:r>
      <w:r w:rsidRPr="00761E30">
        <w:rPr>
          <w:spacing w:val="-4"/>
        </w:rPr>
        <w:noBreakHyphen/>
        <w:t>19 has hastened the longer</w:t>
      </w:r>
      <w:r w:rsidRPr="00761E30">
        <w:rPr>
          <w:spacing w:val="-4"/>
        </w:rPr>
        <w:noBreakHyphen/>
        <w:t xml:space="preserve">term structural shift towards online sales, this is likely to have beneficial effects on productivity. The Commission (2021) has previously discussed how online delivery of services (such as retail) increase the scope for innovation and productivity improvement by increasing the scale of operations, intensifying competitive pressures and increasing the size of markets from particular localities to most of the world. </w:t>
      </w:r>
    </w:p>
    <w:p w14:paraId="65AAE740" w14:textId="43F54D14"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1EF62BB" w14:textId="77777777" w:rsidTr="007A39EB">
        <w:trPr>
          <w:tblHeader/>
        </w:trPr>
        <w:tc>
          <w:tcPr>
            <w:tcW w:w="5000" w:type="pct"/>
            <w:tcBorders>
              <w:top w:val="single" w:sz="6" w:space="0" w:color="78A22F"/>
              <w:left w:val="nil"/>
              <w:bottom w:val="nil"/>
              <w:right w:val="nil"/>
            </w:tcBorders>
            <w:shd w:val="clear" w:color="auto" w:fill="auto"/>
          </w:tcPr>
          <w:p w14:paraId="68765CE9" w14:textId="566CB5FC" w:rsidR="00534098" w:rsidRDefault="00534098" w:rsidP="007A39EB">
            <w:pPr>
              <w:pStyle w:val="FigureTitle"/>
            </w:pPr>
            <w:r w:rsidRPr="00784A05">
              <w:rPr>
                <w:b w:val="0"/>
              </w:rPr>
              <w:t xml:space="preserve">Figure </w:t>
            </w:r>
            <w:r>
              <w:rPr>
                <w:b w:val="0"/>
              </w:rPr>
              <w:t>25</w:t>
            </w:r>
            <w:r>
              <w:tab/>
              <w:t>COVID</w:t>
            </w:r>
            <w:r>
              <w:noBreakHyphen/>
              <w:t>19 appears to have accelerated the move towards online retail but this might be transitory</w:t>
            </w:r>
          </w:p>
          <w:p w14:paraId="1FD74E9B" w14:textId="77777777" w:rsidR="00534098" w:rsidRPr="00176D3F" w:rsidRDefault="00534098" w:rsidP="007A39EB">
            <w:pPr>
              <w:pStyle w:val="Subtitle"/>
            </w:pPr>
            <w:r>
              <w:t>Proportion of retail sales (seasonally adjusted) that are made online, by food and non</w:t>
            </w:r>
            <w:r>
              <w:noBreakHyphen/>
              <w:t>food components by month between March 2015 and March 2021</w:t>
            </w:r>
          </w:p>
        </w:tc>
      </w:tr>
      <w:tr w:rsidR="00534098" w14:paraId="0011B7F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074BFF8A" w14:textId="77777777" w:rsidTr="007A39EB">
              <w:trPr>
                <w:tblHeader/>
                <w:jc w:val="center"/>
              </w:trPr>
              <w:tc>
                <w:tcPr>
                  <w:tcW w:w="5000" w:type="pct"/>
                  <w:tcBorders>
                    <w:top w:val="nil"/>
                    <w:bottom w:val="nil"/>
                  </w:tcBorders>
                </w:tcPr>
                <w:p w14:paraId="77AB7247" w14:textId="77777777" w:rsidR="00534098" w:rsidRPr="00B1465D" w:rsidRDefault="00534098" w:rsidP="007A39EB">
                  <w:pPr>
                    <w:pStyle w:val="Figure"/>
                    <w:spacing w:before="60" w:after="60"/>
                    <w:rPr>
                      <w:rFonts w:ascii="Arial" w:hAnsi="Arial" w:cs="Arial"/>
                      <w:sz w:val="18"/>
                      <w:szCs w:val="18"/>
                    </w:rPr>
                  </w:pPr>
                  <w:r w:rsidRPr="009E0583">
                    <w:rPr>
                      <w:noProof/>
                    </w:rPr>
                    <w:drawing>
                      <wp:inline distT="0" distB="0" distL="0" distR="0" wp14:anchorId="7D4CFDAD" wp14:editId="0DACDA40">
                        <wp:extent cx="5404485" cy="2854325"/>
                        <wp:effectExtent l="0" t="0" r="5715" b="3175"/>
                        <wp:docPr id="72" name="Picture 72" descr="In this chart it can be seen that online sales as a proportion of total retail sales increased in food, non-food and all retail after March 2020. Online sales spiked in March as the pandemic started before falling a little in subsequent quarters (but remaining higher than before CO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n this chart it can be seen that online sales as a proportion of total retail sales increased in food, non-food and all retail after March 2020. Online sales spiked in March as the pandemic started before falling a little in subsequent quarters (but remaining higher than before COVI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4485" cy="2854325"/>
                                </a:xfrm>
                                <a:prstGeom prst="rect">
                                  <a:avLst/>
                                </a:prstGeom>
                                <a:noFill/>
                                <a:ln>
                                  <a:noFill/>
                                </a:ln>
                              </pic:spPr>
                            </pic:pic>
                          </a:graphicData>
                        </a:graphic>
                      </wp:inline>
                    </w:drawing>
                  </w:r>
                </w:p>
              </w:tc>
            </w:tr>
          </w:tbl>
          <w:p w14:paraId="0996FA6C" w14:textId="77777777" w:rsidR="00534098" w:rsidRDefault="00534098" w:rsidP="007A39EB">
            <w:pPr>
              <w:pStyle w:val="Figure"/>
            </w:pPr>
          </w:p>
        </w:tc>
      </w:tr>
      <w:tr w:rsidR="00534098" w:rsidRPr="00176D3F" w14:paraId="5DC39712" w14:textId="77777777" w:rsidTr="007A39EB">
        <w:tc>
          <w:tcPr>
            <w:tcW w:w="5000" w:type="pct"/>
            <w:tcBorders>
              <w:top w:val="nil"/>
              <w:left w:val="nil"/>
              <w:bottom w:val="nil"/>
              <w:right w:val="nil"/>
            </w:tcBorders>
            <w:shd w:val="clear" w:color="auto" w:fill="auto"/>
          </w:tcPr>
          <w:p w14:paraId="42CA163A" w14:textId="77777777" w:rsidR="00534098" w:rsidRPr="00176D3F" w:rsidRDefault="00534098" w:rsidP="007A39EB">
            <w:pPr>
              <w:pStyle w:val="Source"/>
            </w:pPr>
            <w:r>
              <w:rPr>
                <w:i/>
              </w:rPr>
              <w:t>S</w:t>
            </w:r>
            <w:r w:rsidRPr="00784A05">
              <w:rPr>
                <w:i/>
              </w:rPr>
              <w:t>ource</w:t>
            </w:r>
            <w:r w:rsidRPr="00176D3F">
              <w:t xml:space="preserve">: </w:t>
            </w:r>
            <w:r>
              <w:t>ABS (</w:t>
            </w:r>
            <w:r w:rsidRPr="006C7CA3">
              <w:rPr>
                <w:i/>
              </w:rPr>
              <w:t xml:space="preserve">Retail Trade, Australia, </w:t>
            </w:r>
            <w:r>
              <w:rPr>
                <w:i/>
              </w:rPr>
              <w:t>March</w:t>
            </w:r>
            <w:r w:rsidRPr="006C7CA3">
              <w:rPr>
                <w:i/>
              </w:rPr>
              <w:t xml:space="preserve"> 2021</w:t>
            </w:r>
            <w:r>
              <w:t>, Cat. no. </w:t>
            </w:r>
            <w:r w:rsidRPr="00F8376C">
              <w:t>8501.0</w:t>
            </w:r>
            <w:r>
              <w:t>, table 23).</w:t>
            </w:r>
          </w:p>
        </w:tc>
      </w:tr>
      <w:tr w:rsidR="00534098" w14:paraId="6F4D669C" w14:textId="77777777" w:rsidTr="007A39EB">
        <w:tc>
          <w:tcPr>
            <w:tcW w:w="5000" w:type="pct"/>
            <w:tcBorders>
              <w:top w:val="nil"/>
              <w:left w:val="nil"/>
              <w:bottom w:val="single" w:sz="6" w:space="0" w:color="78A22F"/>
              <w:right w:val="nil"/>
            </w:tcBorders>
            <w:shd w:val="clear" w:color="auto" w:fill="auto"/>
          </w:tcPr>
          <w:p w14:paraId="33877983" w14:textId="77777777" w:rsidR="00534098" w:rsidRDefault="00534098" w:rsidP="007A39EB">
            <w:pPr>
              <w:pStyle w:val="Figurespace"/>
            </w:pPr>
          </w:p>
        </w:tc>
      </w:tr>
      <w:tr w:rsidR="00534098" w:rsidRPr="000863A5" w14:paraId="7FACD9A3" w14:textId="77777777" w:rsidTr="007A39EB">
        <w:tc>
          <w:tcPr>
            <w:tcW w:w="5000" w:type="pct"/>
            <w:tcBorders>
              <w:top w:val="single" w:sz="6" w:space="0" w:color="78A22F"/>
              <w:left w:val="nil"/>
              <w:bottom w:val="nil"/>
              <w:right w:val="nil"/>
            </w:tcBorders>
          </w:tcPr>
          <w:p w14:paraId="07666E94" w14:textId="349ACA2A" w:rsidR="00534098" w:rsidRPr="00626D32" w:rsidRDefault="00534098" w:rsidP="007A39EB">
            <w:pPr>
              <w:pStyle w:val="BoxSpaceBelow"/>
            </w:pPr>
          </w:p>
        </w:tc>
      </w:tr>
    </w:tbl>
    <w:p w14:paraId="2526330F" w14:textId="77777777" w:rsidR="00534098" w:rsidRDefault="00534098" w:rsidP="00534098">
      <w:pPr>
        <w:pStyle w:val="Heading2"/>
      </w:pPr>
      <w:bookmarkStart w:id="15" w:name="_Toc74138580"/>
      <w:r>
        <w:t>4</w:t>
      </w:r>
      <w:r>
        <w:tab/>
        <w:t>Decade in review: slowest growth in 60 years</w:t>
      </w:r>
      <w:bookmarkEnd w:id="15"/>
    </w:p>
    <w:p w14:paraId="45818F34" w14:textId="77777777" w:rsidR="00534098" w:rsidRDefault="00534098" w:rsidP="00534098">
      <w:pPr>
        <w:pStyle w:val="BodyText"/>
      </w:pPr>
      <w:r>
        <w:t>The past decade of economic growth marks the slowest in at least 60 years on a per person basis (figure 26), both in output per person (GDP per capita) and income per person (gross national income, GNI, per capita). This is the case whether or not one includes the latest year of data</w:t>
      </w:r>
      <w:r>
        <w:rPr>
          <w:rStyle w:val="FootnoteReference"/>
        </w:rPr>
        <w:footnoteReference w:id="13"/>
      </w:r>
      <w:r>
        <w:t xml:space="preserve"> (which includes the effect of COVID</w:t>
      </w:r>
      <w:r>
        <w:noBreakHyphen/>
        <w:t>19). Examining the level of Australian incomes over the past few decades demonstrates the consequences of this slow growth on the typical household. In figure 27 it can be seen that GNI per capita grew strongly between 1999</w:t>
      </w:r>
      <w:r>
        <w:noBreakHyphen/>
        <w:t>00 to 2011</w:t>
      </w:r>
      <w:r>
        <w:noBreakHyphen/>
        <w:t>12 but then fell until 2015</w:t>
      </w:r>
      <w:r>
        <w:noBreakHyphen/>
        <w:t>16 before then growing (at a reduced rate) until 2018</w:t>
      </w:r>
      <w:r>
        <w:noBreakHyphen/>
        <w:t>19. If pre</w:t>
      </w:r>
      <w:r>
        <w:noBreakHyphen/>
        <w:t>2011</w:t>
      </w:r>
      <w:r>
        <w:noBreakHyphen/>
        <w:t>12 growth rates (1959-60 to 2011-12) had persisted until 2019</w:t>
      </w:r>
      <w:r>
        <w:noBreakHyphen/>
        <w:t>20 (‘counterfactual GNI’ in figure 26), then GNI would have been about $11 500 per person in 2019</w:t>
      </w:r>
      <w:r>
        <w:noBreakHyphen/>
        <w:t xml:space="preserve">20. That is, average incomes would have been about a tenth higher than they were had this faster growth persisted. </w:t>
      </w:r>
    </w:p>
    <w:p w14:paraId="165FA60B" w14:textId="314A7531"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DA620FB" w14:textId="77777777" w:rsidTr="007A39EB">
        <w:trPr>
          <w:tblHeader/>
        </w:trPr>
        <w:tc>
          <w:tcPr>
            <w:tcW w:w="5000" w:type="pct"/>
            <w:tcBorders>
              <w:top w:val="single" w:sz="6" w:space="0" w:color="78A22F"/>
              <w:left w:val="nil"/>
              <w:bottom w:val="nil"/>
              <w:right w:val="nil"/>
            </w:tcBorders>
            <w:shd w:val="clear" w:color="auto" w:fill="auto"/>
          </w:tcPr>
          <w:p w14:paraId="6E71B9E7" w14:textId="41EDAF59" w:rsidR="00534098" w:rsidRPr="004027F1" w:rsidRDefault="00534098" w:rsidP="007A39EB">
            <w:pPr>
              <w:pStyle w:val="FigureTitle"/>
            </w:pPr>
            <w:r w:rsidRPr="00784A05">
              <w:rPr>
                <w:b w:val="0"/>
              </w:rPr>
              <w:t xml:space="preserve">Figure </w:t>
            </w:r>
            <w:r>
              <w:rPr>
                <w:b w:val="0"/>
              </w:rPr>
              <w:t>26</w:t>
            </w:r>
            <w:r>
              <w:tab/>
              <w:t>The last decade had the slowest per capita growth of production and income in 60 years even before COVID</w:t>
            </w:r>
            <w:r>
              <w:noBreakHyphen/>
              <w:t>19</w:t>
            </w:r>
          </w:p>
          <w:p w14:paraId="1BF5BED1" w14:textId="77777777" w:rsidR="00534098" w:rsidRPr="00176D3F" w:rsidRDefault="00534098" w:rsidP="007A39EB">
            <w:pPr>
              <w:pStyle w:val="Subtitle"/>
            </w:pPr>
            <w:r>
              <w:t>Annual average growth in gross domestic product per capita and gross national income per capita by decade</w:t>
            </w:r>
          </w:p>
        </w:tc>
      </w:tr>
      <w:tr w:rsidR="00534098" w14:paraId="00CC5910"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67AEAC41" w14:textId="77777777" w:rsidTr="007A39EB">
              <w:trPr>
                <w:tblHeader/>
                <w:jc w:val="center"/>
              </w:trPr>
              <w:tc>
                <w:tcPr>
                  <w:tcW w:w="5000" w:type="pct"/>
                  <w:tcBorders>
                    <w:top w:val="nil"/>
                    <w:bottom w:val="nil"/>
                  </w:tcBorders>
                </w:tcPr>
                <w:p w14:paraId="294C1AD8" w14:textId="1788FB26" w:rsidR="00534098" w:rsidRPr="00B1465D" w:rsidRDefault="003E2E75" w:rsidP="007A39EB">
                  <w:pPr>
                    <w:pStyle w:val="Figure"/>
                    <w:spacing w:before="60" w:after="60"/>
                    <w:rPr>
                      <w:rFonts w:ascii="Arial" w:hAnsi="Arial" w:cs="Arial"/>
                      <w:sz w:val="18"/>
                      <w:szCs w:val="18"/>
                    </w:rPr>
                  </w:pPr>
                  <w:r w:rsidRPr="003E2E75">
                    <w:rPr>
                      <w:rFonts w:ascii="Arial" w:hAnsi="Arial" w:cs="Arial"/>
                      <w:noProof/>
                      <w:sz w:val="18"/>
                      <w:szCs w:val="18"/>
                    </w:rPr>
                    <w:drawing>
                      <wp:inline distT="0" distB="0" distL="0" distR="0" wp14:anchorId="7358F753" wp14:editId="0EE58E19">
                        <wp:extent cx="5467350" cy="2819400"/>
                        <wp:effectExtent l="0" t="0" r="0" b="0"/>
                        <wp:docPr id="35" name="Picture 35" descr="In this chart I can be seen that both GNI and GDP per capita was well below the long run average (60 year average ) in the 2010s (about 1 per cent compared to the long run average of about 2.2 per cent). In fact the 2010s have been the worst decade of income growth in the last 60 years even excluding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 this chart I can be seen that both GNI and GDP per capita was well below the long run average (60 year average ) in the 2010s (about 1 per cent compared to the long run average of about 2.2 per cent). In fact the 2010s have been the worst decade of income growth in the last 60 years even excluding 2019-20.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7350" cy="2819400"/>
                                </a:xfrm>
                                <a:prstGeom prst="rect">
                                  <a:avLst/>
                                </a:prstGeom>
                                <a:noFill/>
                                <a:ln>
                                  <a:noFill/>
                                </a:ln>
                              </pic:spPr>
                            </pic:pic>
                          </a:graphicData>
                        </a:graphic>
                      </wp:inline>
                    </w:drawing>
                  </w:r>
                </w:p>
              </w:tc>
            </w:tr>
          </w:tbl>
          <w:p w14:paraId="33132702" w14:textId="77777777" w:rsidR="00534098" w:rsidRDefault="00534098" w:rsidP="007A39EB">
            <w:pPr>
              <w:pStyle w:val="Figure"/>
            </w:pPr>
          </w:p>
        </w:tc>
      </w:tr>
      <w:tr w:rsidR="00534098" w:rsidRPr="00176D3F" w14:paraId="122901CB" w14:textId="77777777" w:rsidTr="007A39EB">
        <w:tc>
          <w:tcPr>
            <w:tcW w:w="5000" w:type="pct"/>
            <w:tcBorders>
              <w:top w:val="nil"/>
              <w:left w:val="nil"/>
              <w:bottom w:val="nil"/>
              <w:right w:val="nil"/>
            </w:tcBorders>
            <w:shd w:val="clear" w:color="auto" w:fill="auto"/>
          </w:tcPr>
          <w:p w14:paraId="3A816C6A" w14:textId="77777777" w:rsidR="00534098" w:rsidRPr="00176D3F" w:rsidRDefault="00534098" w:rsidP="007A39EB">
            <w:pPr>
              <w:pStyle w:val="Source"/>
            </w:pPr>
            <w:r>
              <w:rPr>
                <w:i/>
              </w:rPr>
              <w:t>S</w:t>
            </w:r>
            <w:r w:rsidRPr="00784A05">
              <w:rPr>
                <w:i/>
              </w:rPr>
              <w:t>ource</w:t>
            </w:r>
            <w:r w:rsidRPr="00176D3F">
              <w:t xml:space="preserve">: </w:t>
            </w:r>
            <w:r>
              <w:t>ABS(</w:t>
            </w:r>
            <w:r w:rsidRPr="00CF056A">
              <w:rPr>
                <w:i/>
                <w:iCs/>
              </w:rPr>
              <w:t>Australian System of National Accounts, 2019</w:t>
            </w:r>
            <w:r>
              <w:rPr>
                <w:i/>
                <w:iCs/>
              </w:rPr>
              <w:noBreakHyphen/>
            </w:r>
            <w:r w:rsidRPr="00CF056A">
              <w:rPr>
                <w:i/>
                <w:iCs/>
              </w:rPr>
              <w:t>20</w:t>
            </w:r>
            <w:r>
              <w:t>, Cat. no. </w:t>
            </w:r>
            <w:r w:rsidRPr="008D63F4">
              <w:t>5204.0</w:t>
            </w:r>
            <w:r>
              <w:t>, table 1).</w:t>
            </w:r>
          </w:p>
        </w:tc>
      </w:tr>
      <w:tr w:rsidR="00534098" w14:paraId="27202A31" w14:textId="77777777" w:rsidTr="007A39EB">
        <w:tc>
          <w:tcPr>
            <w:tcW w:w="5000" w:type="pct"/>
            <w:tcBorders>
              <w:top w:val="nil"/>
              <w:left w:val="nil"/>
              <w:bottom w:val="single" w:sz="6" w:space="0" w:color="78A22F"/>
              <w:right w:val="nil"/>
            </w:tcBorders>
            <w:shd w:val="clear" w:color="auto" w:fill="auto"/>
          </w:tcPr>
          <w:p w14:paraId="4A367B2C" w14:textId="77777777" w:rsidR="00534098" w:rsidRDefault="00534098" w:rsidP="007A39EB">
            <w:pPr>
              <w:pStyle w:val="Figurespace"/>
            </w:pPr>
          </w:p>
        </w:tc>
      </w:tr>
      <w:tr w:rsidR="00534098" w:rsidRPr="000863A5" w14:paraId="3B18CDE0" w14:textId="77777777" w:rsidTr="007A39EB">
        <w:tc>
          <w:tcPr>
            <w:tcW w:w="5000" w:type="pct"/>
            <w:tcBorders>
              <w:top w:val="single" w:sz="6" w:space="0" w:color="78A22F"/>
              <w:left w:val="nil"/>
              <w:bottom w:val="nil"/>
              <w:right w:val="nil"/>
            </w:tcBorders>
          </w:tcPr>
          <w:p w14:paraId="17FF6029" w14:textId="107E9AAA" w:rsidR="00534098" w:rsidRPr="00626D32" w:rsidRDefault="00534098" w:rsidP="007A39EB">
            <w:pPr>
              <w:pStyle w:val="BoxSpaceBelow"/>
            </w:pPr>
          </w:p>
        </w:tc>
      </w:tr>
    </w:tbl>
    <w:p w14:paraId="419EE111" w14:textId="778986A0"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63628028" w14:textId="77777777" w:rsidTr="007A39EB">
        <w:trPr>
          <w:tblHeader/>
        </w:trPr>
        <w:tc>
          <w:tcPr>
            <w:tcW w:w="5000" w:type="pct"/>
            <w:tcBorders>
              <w:top w:val="single" w:sz="6" w:space="0" w:color="78A22F"/>
              <w:left w:val="nil"/>
              <w:bottom w:val="nil"/>
              <w:right w:val="nil"/>
            </w:tcBorders>
            <w:shd w:val="clear" w:color="auto" w:fill="auto"/>
          </w:tcPr>
          <w:p w14:paraId="072D2916" w14:textId="66C580DE" w:rsidR="00534098" w:rsidRDefault="00534098" w:rsidP="007A39EB">
            <w:pPr>
              <w:pStyle w:val="FigureTitle"/>
            </w:pPr>
            <w:r w:rsidRPr="00784A05">
              <w:rPr>
                <w:b w:val="0"/>
              </w:rPr>
              <w:t xml:space="preserve">Figure </w:t>
            </w:r>
            <w:r>
              <w:rPr>
                <w:b w:val="0"/>
              </w:rPr>
              <w:t>27</w:t>
            </w:r>
            <w:r>
              <w:tab/>
              <w:t>Had growth continued at its pre</w:t>
            </w:r>
            <w:r>
              <w:noBreakHyphen/>
              <w:t>2012 rate, then average incomes would have been $11 500 higher in 2019</w:t>
            </w:r>
            <w:r>
              <w:noBreakHyphen/>
              <w:t>20</w:t>
            </w:r>
          </w:p>
          <w:p w14:paraId="6A8DF7A6" w14:textId="77777777" w:rsidR="00534098" w:rsidRPr="00176D3F" w:rsidRDefault="00534098" w:rsidP="007A39EB">
            <w:pPr>
              <w:pStyle w:val="Subtitle"/>
            </w:pPr>
            <w:r>
              <w:t>Actual GNI per capita (real) and counterfactual GNI per capita had pre</w:t>
            </w:r>
            <w:r>
              <w:noBreakHyphen/>
              <w:t>2011</w:t>
            </w:r>
            <w:r>
              <w:noBreakHyphen/>
              <w:t>12 growth rates persisted to 2019</w:t>
            </w:r>
            <w:r>
              <w:noBreakHyphen/>
              <w:t>20</w:t>
            </w:r>
          </w:p>
        </w:tc>
      </w:tr>
      <w:tr w:rsidR="00534098" w14:paraId="5E538026"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00A8A5DB" w14:textId="77777777" w:rsidTr="007A39EB">
              <w:trPr>
                <w:tblHeader/>
                <w:jc w:val="center"/>
              </w:trPr>
              <w:tc>
                <w:tcPr>
                  <w:tcW w:w="5000" w:type="pct"/>
                  <w:tcBorders>
                    <w:top w:val="nil"/>
                    <w:bottom w:val="nil"/>
                  </w:tcBorders>
                </w:tcPr>
                <w:p w14:paraId="54DB6B1A" w14:textId="43971E7A" w:rsidR="00534098" w:rsidRPr="00B1465D" w:rsidRDefault="009D29B2" w:rsidP="009D29B2">
                  <w:pPr>
                    <w:pStyle w:val="Figure"/>
                    <w:spacing w:before="0" w:after="0"/>
                    <w:rPr>
                      <w:rFonts w:ascii="Arial" w:hAnsi="Arial" w:cs="Arial"/>
                      <w:sz w:val="18"/>
                      <w:szCs w:val="18"/>
                    </w:rPr>
                  </w:pPr>
                  <w:r w:rsidRPr="009D29B2">
                    <w:rPr>
                      <w:rFonts w:ascii="Arial" w:hAnsi="Arial" w:cs="Arial"/>
                      <w:noProof/>
                      <w:sz w:val="18"/>
                      <w:szCs w:val="18"/>
                    </w:rPr>
                    <w:drawing>
                      <wp:inline distT="0" distB="0" distL="0" distR="0" wp14:anchorId="27E5B74A" wp14:editId="164A832D">
                        <wp:extent cx="5400675" cy="2800350"/>
                        <wp:effectExtent l="0" t="0" r="9525" b="0"/>
                        <wp:docPr id="30" name="Picture 30" descr="This figure plots GNI between 2000 and 2020 against a counterfactual GNI which represents what GNI would have been if annual growth between 2000 and 2012 continued (after 2012).  Had growth continued at its pre 2012 growth rate average incomes would have been $11,500 higher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plots GNI between 2000 and 2020 against a counterfactual GNI which represents what GNI would have been if annual growth between 2000 and 2012 continued (after 2012).  Had growth continued at its pre 2012 growth rate average incomes would have been $11,500 higher in 2019-20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800350"/>
                                </a:xfrm>
                                <a:prstGeom prst="rect">
                                  <a:avLst/>
                                </a:prstGeom>
                                <a:noFill/>
                                <a:ln>
                                  <a:noFill/>
                                </a:ln>
                              </pic:spPr>
                            </pic:pic>
                          </a:graphicData>
                        </a:graphic>
                      </wp:inline>
                    </w:drawing>
                  </w:r>
                </w:p>
              </w:tc>
            </w:tr>
          </w:tbl>
          <w:p w14:paraId="60EF7B21" w14:textId="77777777" w:rsidR="00534098" w:rsidRDefault="00534098" w:rsidP="007A39EB">
            <w:pPr>
              <w:pStyle w:val="Figure"/>
            </w:pPr>
          </w:p>
        </w:tc>
      </w:tr>
      <w:tr w:rsidR="00534098" w:rsidRPr="00176D3F" w14:paraId="6679ABC6" w14:textId="77777777" w:rsidTr="007A39EB">
        <w:tc>
          <w:tcPr>
            <w:tcW w:w="5000" w:type="pct"/>
            <w:tcBorders>
              <w:top w:val="nil"/>
              <w:left w:val="nil"/>
              <w:bottom w:val="nil"/>
              <w:right w:val="nil"/>
            </w:tcBorders>
            <w:shd w:val="clear" w:color="auto" w:fill="auto"/>
          </w:tcPr>
          <w:p w14:paraId="44680AF8" w14:textId="77777777" w:rsidR="00534098" w:rsidRPr="0029598C" w:rsidRDefault="00534098" w:rsidP="007A39EB">
            <w:pPr>
              <w:pStyle w:val="Source"/>
              <w:rPr>
                <w:spacing w:val="-8"/>
              </w:rPr>
            </w:pPr>
            <w:r w:rsidRPr="0029598C">
              <w:rPr>
                <w:i/>
                <w:spacing w:val="-8"/>
              </w:rPr>
              <w:t>Source</w:t>
            </w:r>
            <w:r w:rsidRPr="0029598C">
              <w:rPr>
                <w:spacing w:val="-8"/>
              </w:rPr>
              <w:t>: Commission estimates using ABS (</w:t>
            </w:r>
            <w:r w:rsidRPr="0029598C">
              <w:rPr>
                <w:i/>
                <w:iCs/>
                <w:spacing w:val="-8"/>
              </w:rPr>
              <w:t>Australian System of National Accounts, 2019</w:t>
            </w:r>
            <w:r w:rsidRPr="0029598C">
              <w:rPr>
                <w:i/>
                <w:iCs/>
                <w:spacing w:val="-8"/>
              </w:rPr>
              <w:noBreakHyphen/>
              <w:t>20</w:t>
            </w:r>
            <w:r w:rsidRPr="0029598C">
              <w:rPr>
                <w:spacing w:val="-8"/>
              </w:rPr>
              <w:t>, Cat. no. 5204.0, table 1).</w:t>
            </w:r>
          </w:p>
        </w:tc>
      </w:tr>
      <w:tr w:rsidR="00534098" w14:paraId="2C9E8C00" w14:textId="77777777" w:rsidTr="007A39EB">
        <w:tc>
          <w:tcPr>
            <w:tcW w:w="5000" w:type="pct"/>
            <w:tcBorders>
              <w:top w:val="nil"/>
              <w:left w:val="nil"/>
              <w:bottom w:val="single" w:sz="6" w:space="0" w:color="78A22F"/>
              <w:right w:val="nil"/>
            </w:tcBorders>
            <w:shd w:val="clear" w:color="auto" w:fill="auto"/>
          </w:tcPr>
          <w:p w14:paraId="64BFC968" w14:textId="77777777" w:rsidR="00534098" w:rsidRDefault="00534098" w:rsidP="007A39EB">
            <w:pPr>
              <w:pStyle w:val="Figurespace"/>
            </w:pPr>
          </w:p>
        </w:tc>
      </w:tr>
      <w:tr w:rsidR="00534098" w:rsidRPr="000863A5" w14:paraId="5DC98E99" w14:textId="77777777" w:rsidTr="007A39EB">
        <w:tc>
          <w:tcPr>
            <w:tcW w:w="5000" w:type="pct"/>
            <w:tcBorders>
              <w:top w:val="single" w:sz="6" w:space="0" w:color="78A22F"/>
              <w:left w:val="nil"/>
              <w:bottom w:val="nil"/>
              <w:right w:val="nil"/>
            </w:tcBorders>
          </w:tcPr>
          <w:p w14:paraId="596DA115" w14:textId="71FE97EA" w:rsidR="00534098" w:rsidRPr="00626D32" w:rsidRDefault="00534098" w:rsidP="007A39EB">
            <w:pPr>
              <w:pStyle w:val="BoxSpaceBelow"/>
            </w:pPr>
          </w:p>
        </w:tc>
      </w:tr>
    </w:tbl>
    <w:p w14:paraId="187079F9" w14:textId="77777777" w:rsidR="00534098" w:rsidRDefault="00534098" w:rsidP="00534098">
      <w:pPr>
        <w:pStyle w:val="BodyText"/>
      </w:pPr>
      <w:r>
        <w:t>Growth in incomes (GNI per capita) can be decomposed into the contributions from labour productivity (production per hour), labour utilisation the terms of trade (which boost the income from production) and the net flow of foreign income (the income from overseas assets owned by Australians minus the income paid to foreigners from domestic assets). Figure 27 indicates that that the first three factors were key to the slow growth seen in the decade 2009</w:t>
      </w:r>
      <w:r>
        <w:noBreakHyphen/>
        <w:t>10 to 2019</w:t>
      </w:r>
      <w:r>
        <w:noBreakHyphen/>
        <w:t xml:space="preserve">20 with net inflows of foreign income partially offsetting these in the beginning of the decade. In particular, a slowdown in productivity that began in the late 2000s appears to have been exacerbated by falling labour utilisation and falling terms of trade that dragged on growth. Figure 28 also indicates that growth in incomes has picked up since 2016, mainly due to improvements in the terms of trade and stable labour utilisation. </w:t>
      </w:r>
    </w:p>
    <w:p w14:paraId="2E03F8A2" w14:textId="4F16EC82"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A878F75" w14:textId="77777777" w:rsidTr="007A39EB">
        <w:trPr>
          <w:tblHeader/>
        </w:trPr>
        <w:tc>
          <w:tcPr>
            <w:tcW w:w="5000" w:type="pct"/>
            <w:tcBorders>
              <w:top w:val="single" w:sz="6" w:space="0" w:color="78A22F"/>
              <w:left w:val="nil"/>
              <w:bottom w:val="nil"/>
              <w:right w:val="nil"/>
            </w:tcBorders>
            <w:shd w:val="clear" w:color="auto" w:fill="auto"/>
          </w:tcPr>
          <w:p w14:paraId="69663B03" w14:textId="52C83C7E" w:rsidR="00534098" w:rsidRPr="008A0CCC" w:rsidRDefault="00534098" w:rsidP="007A39EB">
            <w:pPr>
              <w:pStyle w:val="FigureTitle"/>
              <w:rPr>
                <w:rFonts w:ascii="Arial Bold" w:hAnsi="Arial Bold"/>
                <w:spacing w:val="-4"/>
              </w:rPr>
            </w:pPr>
            <w:r w:rsidRPr="00784A05">
              <w:rPr>
                <w:b w:val="0"/>
              </w:rPr>
              <w:t xml:space="preserve">Figure </w:t>
            </w:r>
            <w:r>
              <w:rPr>
                <w:b w:val="0"/>
              </w:rPr>
              <w:t>28</w:t>
            </w:r>
            <w:r>
              <w:tab/>
            </w:r>
            <w:r w:rsidRPr="008A0CCC">
              <w:rPr>
                <w:rFonts w:ascii="Arial Bold" w:hAnsi="Arial Bold"/>
                <w:spacing w:val="-4"/>
              </w:rPr>
              <w:t>Slow income growth is due to slow labour productivity growth along with declining terms of trade and labour utilisation …</w:t>
            </w:r>
          </w:p>
          <w:p w14:paraId="11F2CBF7" w14:textId="77777777" w:rsidR="00534098" w:rsidRPr="00176D3F" w:rsidRDefault="00534098" w:rsidP="007A39EB">
            <w:pPr>
              <w:pStyle w:val="Subtitle"/>
            </w:pPr>
            <w:r>
              <w:t>Five year lagged average growth in gross domestic income and labour productivity, and the contributions from labour utilisation</w:t>
            </w:r>
            <w:r w:rsidRPr="00172F63">
              <w:rPr>
                <w:rStyle w:val="NoteLabel"/>
              </w:rPr>
              <w:t>a</w:t>
            </w:r>
            <w:r>
              <w:t xml:space="preserve"> the terms of trade</w:t>
            </w:r>
            <w:r w:rsidRPr="00172F63">
              <w:rPr>
                <w:rStyle w:val="NoteLabel"/>
              </w:rPr>
              <w:t>b</w:t>
            </w:r>
            <w:r>
              <w:rPr>
                <w:rStyle w:val="NoteLabel"/>
              </w:rPr>
              <w:t xml:space="preserve"> </w:t>
            </w:r>
            <w:r w:rsidRPr="00D13941">
              <w:t>and the net inflow of foreign income</w:t>
            </w:r>
            <w:r>
              <w:rPr>
                <w:rStyle w:val="NoteLabel"/>
              </w:rPr>
              <w:t>c</w:t>
            </w:r>
          </w:p>
        </w:tc>
      </w:tr>
      <w:tr w:rsidR="00534098" w14:paraId="6C56A651"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534098" w:rsidRPr="00B1465D" w14:paraId="21B1E2A5" w14:textId="77777777" w:rsidTr="007A39EB">
              <w:trPr>
                <w:tblHeader/>
                <w:jc w:val="center"/>
              </w:trPr>
              <w:tc>
                <w:tcPr>
                  <w:tcW w:w="8504" w:type="dxa"/>
                  <w:tcBorders>
                    <w:top w:val="nil"/>
                    <w:bottom w:val="nil"/>
                  </w:tcBorders>
                </w:tcPr>
                <w:p w14:paraId="2D975558" w14:textId="61345F89" w:rsidR="00534098" w:rsidRPr="00B1465D" w:rsidRDefault="004939B5" w:rsidP="007A39EB">
                  <w:pPr>
                    <w:pStyle w:val="Figure"/>
                    <w:spacing w:before="60" w:after="60"/>
                    <w:rPr>
                      <w:rFonts w:ascii="Arial" w:hAnsi="Arial" w:cs="Arial"/>
                      <w:sz w:val="18"/>
                      <w:szCs w:val="18"/>
                    </w:rPr>
                  </w:pPr>
                  <w:r w:rsidRPr="00B475B0">
                    <w:rPr>
                      <w:rFonts w:ascii="Arial" w:hAnsi="Arial" w:cs="Arial"/>
                      <w:noProof/>
                      <w:sz w:val="18"/>
                      <w:szCs w:val="18"/>
                    </w:rPr>
                    <w:drawing>
                      <wp:inline distT="0" distB="0" distL="0" distR="0" wp14:anchorId="3141FBD6" wp14:editId="4B671E41">
                        <wp:extent cx="5478145" cy="2895600"/>
                        <wp:effectExtent l="0" t="0" r="8255" b="0"/>
                        <wp:docPr id="12" name="Picture 12" descr="This figure plots the 5-year lagged average growth in gross domestic income and the contributions from labour utilisation, labour productivity, the terms of trade and the net inflow of foreign income. The figure shows that slow income growth in last decade has been caused by a declining terms of trade along with slow labour productivity growth and falling labour utilisation. Prior to this, 5-year lagged income growth was relatively strong especially between the period 1995 to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plots the 5-year lagged average growth in gross domestic income and the contributions from labour utilisation, labour productivity, the terms of trade and the net inflow of foreign income. The figure shows that slow income growth in last decade has been caused by a declining terms of trade along with slow labour productivity growth and falling labour utilisation. Prior to this, 5-year lagged income growth was relatively strong especially between the period 1995 to 2010.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8145" cy="2895600"/>
                                </a:xfrm>
                                <a:prstGeom prst="rect">
                                  <a:avLst/>
                                </a:prstGeom>
                                <a:noFill/>
                                <a:ln>
                                  <a:noFill/>
                                </a:ln>
                              </pic:spPr>
                            </pic:pic>
                          </a:graphicData>
                        </a:graphic>
                      </wp:inline>
                    </w:drawing>
                  </w:r>
                  <w:r w:rsidR="00534098" w:rsidRPr="00CC0163" w:rsidDel="000C2F81">
                    <w:rPr>
                      <w:rFonts w:ascii="Arial" w:hAnsi="Arial" w:cs="Arial"/>
                      <w:noProof/>
                      <w:sz w:val="18"/>
                      <w:szCs w:val="18"/>
                    </w:rPr>
                    <w:t xml:space="preserve"> </w:t>
                  </w:r>
                </w:p>
              </w:tc>
            </w:tr>
          </w:tbl>
          <w:p w14:paraId="405086F8" w14:textId="77777777" w:rsidR="00534098" w:rsidRDefault="00534098" w:rsidP="007A39EB">
            <w:pPr>
              <w:pStyle w:val="Figure"/>
            </w:pPr>
          </w:p>
        </w:tc>
      </w:tr>
      <w:tr w:rsidR="00534098" w:rsidRPr="00176D3F" w14:paraId="0EF2978D" w14:textId="77777777" w:rsidTr="007A39EB">
        <w:tc>
          <w:tcPr>
            <w:tcW w:w="5000" w:type="pct"/>
            <w:tcBorders>
              <w:top w:val="nil"/>
              <w:left w:val="nil"/>
              <w:bottom w:val="nil"/>
              <w:right w:val="nil"/>
            </w:tcBorders>
            <w:shd w:val="clear" w:color="auto" w:fill="auto"/>
          </w:tcPr>
          <w:p w14:paraId="5337638A" w14:textId="5BE0A1A8" w:rsidR="00534098" w:rsidRPr="008A0CCC" w:rsidRDefault="00534098" w:rsidP="007A39EB">
            <w:pPr>
              <w:pStyle w:val="Note"/>
              <w:rPr>
                <w:spacing w:val="-2"/>
              </w:rPr>
            </w:pPr>
            <w:r w:rsidRPr="008A0CCC">
              <w:rPr>
                <w:rStyle w:val="NoteLabel"/>
                <w:spacing w:val="-2"/>
              </w:rPr>
              <w:t>a</w:t>
            </w:r>
            <w:r w:rsidRPr="008A0CCC">
              <w:rPr>
                <w:spacing w:val="-2"/>
              </w:rPr>
              <w:t xml:space="preserve"> The effect of labour utilisation is defined as the difference between GDP per capita growth labour productivity growth. </w:t>
            </w:r>
            <w:r w:rsidRPr="008A0CCC">
              <w:rPr>
                <w:rStyle w:val="NoteLabel"/>
                <w:spacing w:val="-2"/>
              </w:rPr>
              <w:t>b</w:t>
            </w:r>
            <w:r w:rsidRPr="008A0CCC">
              <w:rPr>
                <w:spacing w:val="-2"/>
              </w:rPr>
              <w:t xml:space="preserve"> The terms of trade effect is defined as the difference GDP and GDI growth. </w:t>
            </w:r>
            <w:r w:rsidRPr="008A0CCC">
              <w:rPr>
                <w:rStyle w:val="NoteLabel"/>
                <w:spacing w:val="-2"/>
              </w:rPr>
              <w:t>c </w:t>
            </w:r>
            <w:r w:rsidRPr="008A0CCC">
              <w:rPr>
                <w:spacing w:val="-2"/>
              </w:rPr>
              <w:t>The effect of the net inflow of foreign income is defined as the difference between growth in GNI and GDI</w:t>
            </w:r>
            <w:r w:rsidR="008A0CCC" w:rsidRPr="008A0CCC">
              <w:rPr>
                <w:b/>
                <w:spacing w:val="-2"/>
              </w:rPr>
              <w:t>.</w:t>
            </w:r>
          </w:p>
        </w:tc>
      </w:tr>
      <w:tr w:rsidR="00534098" w:rsidRPr="00176D3F" w14:paraId="7CF6BF83" w14:textId="77777777" w:rsidTr="007A39EB">
        <w:tc>
          <w:tcPr>
            <w:tcW w:w="5000" w:type="pct"/>
            <w:tcBorders>
              <w:top w:val="nil"/>
              <w:left w:val="nil"/>
              <w:bottom w:val="nil"/>
              <w:right w:val="nil"/>
            </w:tcBorders>
            <w:shd w:val="clear" w:color="auto" w:fill="auto"/>
          </w:tcPr>
          <w:p w14:paraId="0BACBDB7" w14:textId="77777777" w:rsidR="00534098" w:rsidRPr="00C338A7" w:rsidRDefault="00534098" w:rsidP="007A39EB">
            <w:pPr>
              <w:pStyle w:val="Source"/>
              <w:rPr>
                <w:spacing w:val="-2"/>
              </w:rPr>
            </w:pPr>
            <w:r w:rsidRPr="00C338A7">
              <w:rPr>
                <w:i/>
                <w:spacing w:val="-2"/>
              </w:rPr>
              <w:t>Source</w:t>
            </w:r>
            <w:r w:rsidRPr="00C338A7">
              <w:rPr>
                <w:spacing w:val="-2"/>
              </w:rPr>
              <w:t>: Commission estimates using ABS (</w:t>
            </w:r>
            <w:r w:rsidRPr="00C338A7">
              <w:rPr>
                <w:i/>
                <w:iCs/>
                <w:spacing w:val="-2"/>
              </w:rPr>
              <w:t>Australian System of National Accounts, 2019</w:t>
            </w:r>
            <w:r w:rsidRPr="00C338A7">
              <w:rPr>
                <w:i/>
                <w:iCs/>
                <w:spacing w:val="-2"/>
              </w:rPr>
              <w:noBreakHyphen/>
              <w:t>20</w:t>
            </w:r>
            <w:r w:rsidRPr="00C338A7">
              <w:rPr>
                <w:spacing w:val="-2"/>
              </w:rPr>
              <w:t>, Cat. no. 5204.0, table 1).</w:t>
            </w:r>
          </w:p>
        </w:tc>
      </w:tr>
      <w:tr w:rsidR="00534098" w14:paraId="17181804" w14:textId="77777777" w:rsidTr="007A39EB">
        <w:tc>
          <w:tcPr>
            <w:tcW w:w="5000" w:type="pct"/>
            <w:tcBorders>
              <w:top w:val="nil"/>
              <w:left w:val="nil"/>
              <w:bottom w:val="single" w:sz="6" w:space="0" w:color="78A22F"/>
              <w:right w:val="nil"/>
            </w:tcBorders>
            <w:shd w:val="clear" w:color="auto" w:fill="auto"/>
          </w:tcPr>
          <w:p w14:paraId="211E00F9" w14:textId="77777777" w:rsidR="00534098" w:rsidRDefault="00534098" w:rsidP="007A39EB">
            <w:pPr>
              <w:pStyle w:val="Figurespace"/>
            </w:pPr>
          </w:p>
        </w:tc>
      </w:tr>
      <w:tr w:rsidR="00534098" w:rsidRPr="000863A5" w14:paraId="3E9EF139" w14:textId="77777777" w:rsidTr="007A39EB">
        <w:tc>
          <w:tcPr>
            <w:tcW w:w="5000" w:type="pct"/>
            <w:tcBorders>
              <w:top w:val="single" w:sz="6" w:space="0" w:color="78A22F"/>
              <w:left w:val="nil"/>
              <w:bottom w:val="nil"/>
              <w:right w:val="nil"/>
            </w:tcBorders>
          </w:tcPr>
          <w:p w14:paraId="125E16D7" w14:textId="3D7C24D9" w:rsidR="00534098" w:rsidRPr="00626D32" w:rsidRDefault="00534098" w:rsidP="007A39EB">
            <w:pPr>
              <w:pStyle w:val="BoxSpaceBelow"/>
            </w:pPr>
          </w:p>
        </w:tc>
      </w:tr>
    </w:tbl>
    <w:p w14:paraId="7298FD9B" w14:textId="070DAA4F" w:rsidR="00534098" w:rsidRPr="008A0CCC" w:rsidRDefault="00534098" w:rsidP="00534098">
      <w:pPr>
        <w:pStyle w:val="BodyText"/>
        <w:rPr>
          <w:spacing w:val="-6"/>
        </w:rPr>
      </w:pPr>
      <w:r w:rsidRPr="008A0CCC">
        <w:rPr>
          <w:spacing w:val="-6"/>
        </w:rPr>
        <w:t>The slowdown in labour productivity growth in Australia is itself mainly due to slower growth in capital deepening in the latter part of the 2010s that was not offset by increased MFP growth (figure 29). The end of the mining investment boom is the main cause of both these trends. During the mining boom, high mineral prices drove greater mining investment which increased economy</w:t>
      </w:r>
      <w:r w:rsidRPr="008A0CCC">
        <w:rPr>
          <w:spacing w:val="-6"/>
        </w:rPr>
        <w:noBreakHyphen/>
        <w:t>wide capital deepening. But much of this additional investment was used to exploit marginal reserves that had a significant lag between the time of original investment and the time the mines came online, which had the effect of lowering measured MFP growth both in mining and in the whole economy (figure 30). Additionally, the mining boom reallocated capital from capital with higher rental costs of capital (rental cost is inversely related to the expected life of an asset) with lower rental costs, reducing the growth rate in capital services over the last decade (box </w:t>
      </w:r>
      <w:r w:rsidR="00D20FBB" w:rsidRPr="008A0CCC">
        <w:rPr>
          <w:spacing w:val="-6"/>
        </w:rPr>
        <w:t>5</w:t>
      </w:r>
      <w:r w:rsidRPr="008A0CCC">
        <w:rPr>
          <w:spacing w:val="-6"/>
        </w:rPr>
        <w:t>). When the mining investment boom ended in about 2012</w:t>
      </w:r>
      <w:r w:rsidRPr="008A0CCC">
        <w:rPr>
          <w:spacing w:val="-6"/>
        </w:rPr>
        <w:noBreakHyphen/>
        <w:t>13, mining investment (and economy</w:t>
      </w:r>
      <w:r w:rsidRPr="008A0CCC">
        <w:rPr>
          <w:spacing w:val="-6"/>
        </w:rPr>
        <w:noBreakHyphen/>
        <w:t>wide capital</w:t>
      </w:r>
      <w:r w:rsidRPr="008A0CCC">
        <w:rPr>
          <w:spacing w:val="-6"/>
        </w:rPr>
        <w:noBreakHyphen/>
        <w:t xml:space="preserve"> </w:t>
      </w:r>
      <w:r w:rsidRPr="008A0CCC">
        <w:rPr>
          <w:spacing w:val="-6"/>
        </w:rPr>
        <w:noBreakHyphen/>
        <w:t xml:space="preserve">deepening) fell while MFP growth increased as new mines came online (increasing mining output with minimal additional inputs). </w:t>
      </w:r>
    </w:p>
    <w:p w14:paraId="724624B5" w14:textId="7E23B35A"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6951922A" w14:textId="77777777" w:rsidTr="007A39EB">
        <w:trPr>
          <w:tblHeader/>
        </w:trPr>
        <w:tc>
          <w:tcPr>
            <w:tcW w:w="5000" w:type="pct"/>
            <w:tcBorders>
              <w:top w:val="single" w:sz="6" w:space="0" w:color="78A22F"/>
              <w:left w:val="nil"/>
              <w:bottom w:val="nil"/>
              <w:right w:val="nil"/>
            </w:tcBorders>
            <w:shd w:val="clear" w:color="auto" w:fill="auto"/>
          </w:tcPr>
          <w:p w14:paraId="07FB2845" w14:textId="10637690" w:rsidR="00534098" w:rsidRPr="008A0CCC" w:rsidRDefault="00534098" w:rsidP="007A39EB">
            <w:pPr>
              <w:pStyle w:val="FigureTitle"/>
              <w:rPr>
                <w:rFonts w:ascii="Arial Bold" w:hAnsi="Arial Bold"/>
                <w:spacing w:val="-6"/>
              </w:rPr>
            </w:pPr>
            <w:r w:rsidRPr="00784A05">
              <w:rPr>
                <w:b w:val="0"/>
              </w:rPr>
              <w:t xml:space="preserve">Figure </w:t>
            </w:r>
            <w:r>
              <w:rPr>
                <w:b w:val="0"/>
              </w:rPr>
              <w:t>29</w:t>
            </w:r>
            <w:r>
              <w:tab/>
            </w:r>
            <w:r w:rsidRPr="008A0CCC">
              <w:rPr>
                <w:rFonts w:ascii="Arial Bold" w:hAnsi="Arial Bold"/>
                <w:spacing w:val="-6"/>
              </w:rPr>
              <w:t>… and slower capital deepening in the latter half of the 2010s …</w:t>
            </w:r>
          </w:p>
          <w:p w14:paraId="4944A3ED" w14:textId="77777777" w:rsidR="00534098" w:rsidRPr="00176D3F" w:rsidRDefault="00534098" w:rsidP="007A39EB">
            <w:pPr>
              <w:pStyle w:val="Subtitle"/>
            </w:pPr>
            <w:r>
              <w:t>Five year lagged average growth in MFP, labour productivity and the contribution from capital deepening</w:t>
            </w:r>
            <w:r w:rsidRPr="008D0623">
              <w:rPr>
                <w:rStyle w:val="NoteLabel"/>
              </w:rPr>
              <w:t>a</w:t>
            </w:r>
          </w:p>
        </w:tc>
      </w:tr>
      <w:tr w:rsidR="00534098" w14:paraId="0F9C55F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20BA5F5C" w14:textId="77777777" w:rsidTr="007A39EB">
              <w:trPr>
                <w:tblHeader/>
                <w:jc w:val="center"/>
              </w:trPr>
              <w:tc>
                <w:tcPr>
                  <w:tcW w:w="5000" w:type="pct"/>
                  <w:tcBorders>
                    <w:top w:val="nil"/>
                    <w:bottom w:val="nil"/>
                  </w:tcBorders>
                </w:tcPr>
                <w:p w14:paraId="796131A4" w14:textId="77777777" w:rsidR="00534098" w:rsidRPr="00B1465D" w:rsidRDefault="00534098" w:rsidP="007A39EB">
                  <w:pPr>
                    <w:pStyle w:val="Figure"/>
                    <w:spacing w:before="60" w:after="60"/>
                    <w:rPr>
                      <w:rFonts w:ascii="Arial" w:hAnsi="Arial" w:cs="Arial"/>
                      <w:sz w:val="18"/>
                      <w:szCs w:val="18"/>
                    </w:rPr>
                  </w:pPr>
                  <w:r w:rsidRPr="00E7341A">
                    <w:rPr>
                      <w:rFonts w:ascii="Arial" w:hAnsi="Arial" w:cs="Arial"/>
                      <w:noProof/>
                      <w:sz w:val="18"/>
                      <w:szCs w:val="18"/>
                    </w:rPr>
                    <w:drawing>
                      <wp:inline distT="0" distB="0" distL="0" distR="0" wp14:anchorId="512E5352" wp14:editId="793F4C33">
                        <wp:extent cx="5384800" cy="2851150"/>
                        <wp:effectExtent l="0" t="0" r="6350" b="6350"/>
                        <wp:docPr id="15" name="Picture 15" descr="This figure plots the five year lagged average growth in labour productivity and its contributions from MFP and capital deepening. Since 2016, 5-year lagged labour productivity has decreased dramatically, in large part due to falling capital deepening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plots the five year lagged average growth in labour productivity and its contributions from MFP and capital deepening. Since 2016, 5-year lagged labour productivity has decreased dramatically, in large part due to falling capital deepening   over this period.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4800" cy="2851150"/>
                                </a:xfrm>
                                <a:prstGeom prst="rect">
                                  <a:avLst/>
                                </a:prstGeom>
                                <a:noFill/>
                                <a:ln>
                                  <a:noFill/>
                                </a:ln>
                              </pic:spPr>
                            </pic:pic>
                          </a:graphicData>
                        </a:graphic>
                      </wp:inline>
                    </w:drawing>
                  </w:r>
                </w:p>
              </w:tc>
            </w:tr>
          </w:tbl>
          <w:p w14:paraId="28E90CC9" w14:textId="77777777" w:rsidR="00534098" w:rsidRDefault="00534098" w:rsidP="007A39EB">
            <w:pPr>
              <w:pStyle w:val="Figure"/>
            </w:pPr>
          </w:p>
        </w:tc>
      </w:tr>
      <w:tr w:rsidR="00534098" w:rsidRPr="00176D3F" w14:paraId="147DCDF9" w14:textId="77777777" w:rsidTr="007A39EB">
        <w:tc>
          <w:tcPr>
            <w:tcW w:w="5000" w:type="pct"/>
            <w:tcBorders>
              <w:top w:val="nil"/>
              <w:left w:val="nil"/>
              <w:bottom w:val="nil"/>
              <w:right w:val="nil"/>
            </w:tcBorders>
            <w:shd w:val="clear" w:color="auto" w:fill="auto"/>
          </w:tcPr>
          <w:p w14:paraId="7B9B6BA7" w14:textId="77777777" w:rsidR="00534098" w:rsidRPr="008A0CCC" w:rsidRDefault="00534098" w:rsidP="007A39EB">
            <w:pPr>
              <w:pStyle w:val="Note"/>
              <w:rPr>
                <w:spacing w:val="-6"/>
              </w:rPr>
            </w:pPr>
            <w:r w:rsidRPr="008A0CCC">
              <w:rPr>
                <w:rStyle w:val="NoteLabel"/>
                <w:spacing w:val="-6"/>
              </w:rPr>
              <w:t>a</w:t>
            </w:r>
            <w:r w:rsidRPr="008A0CCC">
              <w:rPr>
                <w:spacing w:val="-6"/>
              </w:rPr>
              <w:t xml:space="preserve"> The contribution from capital deepening is the difference between growth in labour productivity and growth in MFP. </w:t>
            </w:r>
          </w:p>
        </w:tc>
      </w:tr>
      <w:tr w:rsidR="00534098" w:rsidRPr="00176D3F" w14:paraId="5206B8D7" w14:textId="77777777" w:rsidTr="007A39EB">
        <w:tc>
          <w:tcPr>
            <w:tcW w:w="5000" w:type="pct"/>
            <w:tcBorders>
              <w:top w:val="nil"/>
              <w:left w:val="nil"/>
              <w:bottom w:val="nil"/>
              <w:right w:val="nil"/>
            </w:tcBorders>
            <w:shd w:val="clear" w:color="auto" w:fill="auto"/>
          </w:tcPr>
          <w:p w14:paraId="395376F0" w14:textId="77777777" w:rsidR="00534098" w:rsidRPr="00176D3F" w:rsidRDefault="00534098" w:rsidP="007A39EB">
            <w:pPr>
              <w:pStyle w:val="Source"/>
            </w:pPr>
            <w:r>
              <w:rPr>
                <w:i/>
              </w:rPr>
              <w:t>S</w:t>
            </w:r>
            <w:r w:rsidRPr="00784A05">
              <w:rPr>
                <w:i/>
              </w:rPr>
              <w:t>ource</w:t>
            </w:r>
            <w:r w:rsidRPr="00176D3F">
              <w:t xml:space="preserve">: </w:t>
            </w:r>
            <w:r>
              <w:t>ABS (</w:t>
            </w:r>
            <w:r w:rsidRPr="00F275A2">
              <w:rPr>
                <w:i/>
              </w:rPr>
              <w:t>Estimates of Industry Multifactor Productivity, 2019</w:t>
            </w:r>
            <w:r w:rsidRPr="00F275A2">
              <w:rPr>
                <w:i/>
              </w:rPr>
              <w:noBreakHyphen/>
              <w:t>20</w:t>
            </w:r>
            <w:r>
              <w:t>, Cat. no. </w:t>
            </w:r>
            <w:r w:rsidRPr="00F275A2">
              <w:t>5260.0.55.002</w:t>
            </w:r>
            <w:r>
              <w:t>, tables 1–19).</w:t>
            </w:r>
          </w:p>
        </w:tc>
      </w:tr>
      <w:tr w:rsidR="00534098" w14:paraId="538D540C" w14:textId="77777777" w:rsidTr="007A39EB">
        <w:tc>
          <w:tcPr>
            <w:tcW w:w="5000" w:type="pct"/>
            <w:tcBorders>
              <w:top w:val="nil"/>
              <w:left w:val="nil"/>
              <w:bottom w:val="single" w:sz="6" w:space="0" w:color="78A22F"/>
              <w:right w:val="nil"/>
            </w:tcBorders>
            <w:shd w:val="clear" w:color="auto" w:fill="auto"/>
          </w:tcPr>
          <w:p w14:paraId="66EE0045" w14:textId="77777777" w:rsidR="00534098" w:rsidRDefault="00534098" w:rsidP="007A39EB">
            <w:pPr>
              <w:pStyle w:val="Figurespace"/>
            </w:pPr>
          </w:p>
        </w:tc>
      </w:tr>
      <w:tr w:rsidR="00534098" w:rsidRPr="000863A5" w14:paraId="38E339C0" w14:textId="77777777" w:rsidTr="007A39EB">
        <w:tc>
          <w:tcPr>
            <w:tcW w:w="5000" w:type="pct"/>
            <w:tcBorders>
              <w:top w:val="single" w:sz="6" w:space="0" w:color="78A22F"/>
              <w:left w:val="nil"/>
              <w:bottom w:val="nil"/>
              <w:right w:val="nil"/>
            </w:tcBorders>
          </w:tcPr>
          <w:p w14:paraId="6FDE294C" w14:textId="3AA48E77" w:rsidR="00534098" w:rsidRPr="00626D32" w:rsidRDefault="00534098" w:rsidP="007A39EB">
            <w:pPr>
              <w:pStyle w:val="BoxSpaceBelow"/>
            </w:pPr>
          </w:p>
        </w:tc>
      </w:tr>
    </w:tbl>
    <w:p w14:paraId="002B5F62" w14:textId="682D2E9B" w:rsidR="00534098" w:rsidRPr="008A0CCC" w:rsidRDefault="00534098" w:rsidP="00534098">
      <w:pPr>
        <w:pStyle w:val="BodyText"/>
        <w:rPr>
          <w:spacing w:val="-2"/>
        </w:rPr>
      </w:pPr>
      <w:r w:rsidRPr="008A0CCC">
        <w:rPr>
          <w:spacing w:val="-2"/>
        </w:rPr>
        <w:t>The longer</w:t>
      </w:r>
      <w:r w:rsidRPr="008A0CCC">
        <w:rPr>
          <w:spacing w:val="-2"/>
        </w:rPr>
        <w:noBreakHyphen/>
        <w:t>term slowdown in MFP growth in Australia is consistent with a global slowdown that began in about 2005. Indeed, Australia’s slowdown in productivity is actually less pronounced than that experienced in most other advanced economies, and for a time its effects on living standards were masked by the mining investment boom. Nonetheless, the effect has been to contribute to a slump in growth in living standards. The Commission (2017, 2019, 2020) has previously summarised the numerous theories thought to explain slower global productivity growth. Whatever the ultimate causes, it is unlikely that domestic policy factors play a strong role given how widespread the slowdown is, unless there are a common policy flaws across the developed world. But whether or not the main factors behind Australia’s slower growth in GDP per capita are the direct result of policy decisions, how governments respond will have a lasting effect on living standards.</w:t>
      </w:r>
    </w:p>
    <w:p w14:paraId="1AF6E3E8" w14:textId="77777777" w:rsidR="00534098" w:rsidRDefault="00534098" w:rsidP="00534098">
      <w:pPr>
        <w:pStyle w:val="BodyText"/>
      </w:pPr>
      <w:r>
        <w:t xml:space="preserve">Considering that Australia’s poor economic performance in the 1970s was a key justification for the economic reforms of the 1980s and 1990s, the fact that the last decade of growth was </w:t>
      </w:r>
      <w:r>
        <w:rPr>
          <w:i/>
          <w:iCs/>
        </w:rPr>
        <w:t>even worse</w:t>
      </w:r>
      <w:r>
        <w:t xml:space="preserve"> warrants further reflection. </w:t>
      </w:r>
    </w:p>
    <w:p w14:paraId="0C9202B1" w14:textId="55FA2DFE"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1B8F3656" w14:textId="77777777" w:rsidTr="007A39EB">
        <w:trPr>
          <w:tblHeader/>
        </w:trPr>
        <w:tc>
          <w:tcPr>
            <w:tcW w:w="5000" w:type="pct"/>
            <w:tcBorders>
              <w:top w:val="single" w:sz="6" w:space="0" w:color="78A22F"/>
              <w:left w:val="nil"/>
              <w:bottom w:val="nil"/>
              <w:right w:val="nil"/>
            </w:tcBorders>
            <w:shd w:val="clear" w:color="auto" w:fill="auto"/>
          </w:tcPr>
          <w:p w14:paraId="587E0622" w14:textId="2E7EDC6C" w:rsidR="00534098" w:rsidRDefault="00534098" w:rsidP="007A39EB">
            <w:pPr>
              <w:pStyle w:val="FigureTitle"/>
            </w:pPr>
            <w:r w:rsidRPr="00784A05">
              <w:rPr>
                <w:b w:val="0"/>
              </w:rPr>
              <w:t xml:space="preserve">Figure </w:t>
            </w:r>
            <w:r>
              <w:rPr>
                <w:b w:val="0"/>
              </w:rPr>
              <w:t>30</w:t>
            </w:r>
            <w:r>
              <w:tab/>
              <w:t>… which was due to the end of the mining investment boom</w:t>
            </w:r>
          </w:p>
          <w:p w14:paraId="75BE2B47" w14:textId="77777777" w:rsidR="00534098" w:rsidRPr="00176D3F" w:rsidRDefault="00534098" w:rsidP="007A39EB">
            <w:pPr>
              <w:pStyle w:val="Subtitle"/>
            </w:pPr>
            <w:r>
              <w:t>Private investment as a % of GDP in mining, non</w:t>
            </w:r>
            <w:r>
              <w:noBreakHyphen/>
              <w:t>mining and in total (top) and the terms of trade from 1960 to 2020 (bottom)</w:t>
            </w:r>
          </w:p>
        </w:tc>
      </w:tr>
      <w:tr w:rsidR="00534098" w14:paraId="15D46EDC" w14:textId="77777777" w:rsidTr="007A39E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34098" w:rsidRPr="00B1465D" w14:paraId="6891424E" w14:textId="77777777" w:rsidTr="007A39EB">
              <w:trPr>
                <w:trHeight w:val="150"/>
                <w:tblHeader/>
                <w:jc w:val="center"/>
              </w:trPr>
              <w:tc>
                <w:tcPr>
                  <w:tcW w:w="5000" w:type="pct"/>
                  <w:tcBorders>
                    <w:top w:val="nil"/>
                    <w:bottom w:val="nil"/>
                  </w:tcBorders>
                </w:tcPr>
                <w:p w14:paraId="60243850" w14:textId="77777777" w:rsidR="00534098" w:rsidRPr="00B1465D" w:rsidRDefault="00534098" w:rsidP="00761E30">
                  <w:pPr>
                    <w:pStyle w:val="Figure"/>
                    <w:spacing w:before="0" w:after="0"/>
                    <w:rPr>
                      <w:rFonts w:ascii="Arial" w:hAnsi="Arial" w:cs="Arial"/>
                      <w:sz w:val="18"/>
                      <w:szCs w:val="18"/>
                    </w:rPr>
                  </w:pPr>
                  <w:r w:rsidRPr="00317CFF">
                    <w:rPr>
                      <w:rFonts w:ascii="Arial" w:hAnsi="Arial" w:cs="Arial"/>
                      <w:noProof/>
                      <w:sz w:val="18"/>
                      <w:szCs w:val="18"/>
                    </w:rPr>
                    <w:drawing>
                      <wp:inline distT="0" distB="0" distL="0" distR="0" wp14:anchorId="0C5B3173" wp14:editId="2184B211">
                        <wp:extent cx="5397500" cy="2889250"/>
                        <wp:effectExtent l="0" t="0" r="0" b="6350"/>
                        <wp:docPr id="51" name="Picture 51" descr="These two charts plot  mining and non-mining and investment (private) as a share of GDP between 1960 and 2020 (top). and the terms of trade index between 1960 and 2020 (bottom). Together the charts show that the mining share of investment closely follows the terms of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se two charts plot  mining and non-mining and investment (private) as a share of GDP between 1960 and 2020 (top). and the terms of trade index between 1960 and 2020 (bottom). Together the charts show that the mining share of investment closely follows the terms of trad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7500" cy="2889250"/>
                                </a:xfrm>
                                <a:prstGeom prst="rect">
                                  <a:avLst/>
                                </a:prstGeom>
                                <a:noFill/>
                                <a:ln>
                                  <a:noFill/>
                                </a:ln>
                              </pic:spPr>
                            </pic:pic>
                          </a:graphicData>
                        </a:graphic>
                      </wp:inline>
                    </w:drawing>
                  </w:r>
                </w:p>
              </w:tc>
            </w:tr>
            <w:tr w:rsidR="00534098" w:rsidRPr="00B1465D" w14:paraId="32090CEE" w14:textId="77777777" w:rsidTr="007A39EB">
              <w:trPr>
                <w:trHeight w:val="150"/>
                <w:tblHeader/>
                <w:jc w:val="center"/>
              </w:trPr>
              <w:tc>
                <w:tcPr>
                  <w:tcW w:w="5000" w:type="pct"/>
                  <w:tcBorders>
                    <w:top w:val="nil"/>
                    <w:bottom w:val="nil"/>
                  </w:tcBorders>
                </w:tcPr>
                <w:p w14:paraId="27A9A419" w14:textId="12F9762D" w:rsidR="00534098" w:rsidRPr="00B1465D" w:rsidRDefault="004939B5" w:rsidP="00761E30">
                  <w:pPr>
                    <w:pStyle w:val="Figure"/>
                    <w:spacing w:before="0" w:after="0"/>
                    <w:rPr>
                      <w:rFonts w:ascii="Arial" w:hAnsi="Arial" w:cs="Arial"/>
                      <w:sz w:val="18"/>
                      <w:szCs w:val="18"/>
                    </w:rPr>
                  </w:pPr>
                  <w:r w:rsidRPr="005C068F">
                    <w:rPr>
                      <w:rFonts w:ascii="Arial" w:hAnsi="Arial" w:cs="Arial"/>
                      <w:noProof/>
                      <w:sz w:val="18"/>
                      <w:szCs w:val="18"/>
                    </w:rPr>
                    <w:drawing>
                      <wp:inline distT="0" distB="0" distL="0" distR="0" wp14:anchorId="07375F7D" wp14:editId="7256E84B">
                        <wp:extent cx="5410200" cy="2870200"/>
                        <wp:effectExtent l="0" t="0" r="0" b="6350"/>
                        <wp:docPr id="16" name="Picture 16" descr="These two charts plot  mining and non-mining and investment (private) as a share of GDP between 1960 and 2020 (top). and the terms of trade index between 1960 and 2020 (bottom). Together the charts show that the mining share of investment closely follows the terms of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se two charts plot  mining and non-mining and investment (private) as a share of GDP between 1960 and 2020 (top). and the terms of trade index between 1960 and 2020 (bottom). Together the charts show that the mining share of investment closely follows the terms of trad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0200" cy="2870200"/>
                                </a:xfrm>
                                <a:prstGeom prst="rect">
                                  <a:avLst/>
                                </a:prstGeom>
                                <a:noFill/>
                                <a:ln>
                                  <a:noFill/>
                                </a:ln>
                              </pic:spPr>
                            </pic:pic>
                          </a:graphicData>
                        </a:graphic>
                      </wp:inline>
                    </w:drawing>
                  </w:r>
                </w:p>
              </w:tc>
            </w:tr>
          </w:tbl>
          <w:p w14:paraId="2041C2A1" w14:textId="77777777" w:rsidR="00534098" w:rsidRDefault="00534098" w:rsidP="007A39EB">
            <w:pPr>
              <w:pStyle w:val="Figure"/>
            </w:pPr>
          </w:p>
        </w:tc>
      </w:tr>
      <w:tr w:rsidR="00534098" w:rsidRPr="00176D3F" w14:paraId="501DB4CF" w14:textId="77777777" w:rsidTr="007A39EB">
        <w:tc>
          <w:tcPr>
            <w:tcW w:w="5000" w:type="pct"/>
            <w:tcBorders>
              <w:top w:val="nil"/>
              <w:left w:val="nil"/>
              <w:bottom w:val="nil"/>
              <w:right w:val="nil"/>
            </w:tcBorders>
            <w:shd w:val="clear" w:color="auto" w:fill="auto"/>
          </w:tcPr>
          <w:p w14:paraId="11ADB5A2" w14:textId="77777777" w:rsidR="00534098" w:rsidRPr="00176D3F" w:rsidRDefault="00534098" w:rsidP="007A39EB">
            <w:pPr>
              <w:pStyle w:val="Source"/>
            </w:pPr>
            <w:r>
              <w:rPr>
                <w:i/>
              </w:rPr>
              <w:t>S</w:t>
            </w:r>
            <w:r w:rsidRPr="00784A05">
              <w:rPr>
                <w:i/>
              </w:rPr>
              <w:t>ource</w:t>
            </w:r>
            <w:r w:rsidRPr="00176D3F">
              <w:t xml:space="preserve">: </w:t>
            </w:r>
            <w:r>
              <w:t>ABS(</w:t>
            </w:r>
            <w:r w:rsidRPr="00CF056A">
              <w:rPr>
                <w:i/>
                <w:iCs/>
              </w:rPr>
              <w:t>Australian System of National Accounts, 2019</w:t>
            </w:r>
            <w:r>
              <w:rPr>
                <w:i/>
                <w:iCs/>
              </w:rPr>
              <w:noBreakHyphen/>
            </w:r>
            <w:r w:rsidRPr="00CF056A">
              <w:rPr>
                <w:i/>
                <w:iCs/>
              </w:rPr>
              <w:t>20</w:t>
            </w:r>
            <w:r>
              <w:t>, Cat. no. </w:t>
            </w:r>
            <w:r w:rsidRPr="008D63F4">
              <w:t>5204.0</w:t>
            </w:r>
            <w:r>
              <w:t>, tables 1 and 52).</w:t>
            </w:r>
          </w:p>
        </w:tc>
      </w:tr>
      <w:tr w:rsidR="00534098" w14:paraId="1E37A957" w14:textId="77777777" w:rsidTr="007A39EB">
        <w:tc>
          <w:tcPr>
            <w:tcW w:w="5000" w:type="pct"/>
            <w:tcBorders>
              <w:top w:val="nil"/>
              <w:left w:val="nil"/>
              <w:bottom w:val="single" w:sz="6" w:space="0" w:color="78A22F"/>
              <w:right w:val="nil"/>
            </w:tcBorders>
            <w:shd w:val="clear" w:color="auto" w:fill="auto"/>
          </w:tcPr>
          <w:p w14:paraId="1EAE4271" w14:textId="77777777" w:rsidR="00534098" w:rsidRDefault="00534098" w:rsidP="007A39EB">
            <w:pPr>
              <w:pStyle w:val="Figurespace"/>
            </w:pPr>
          </w:p>
        </w:tc>
      </w:tr>
      <w:tr w:rsidR="00534098" w:rsidRPr="000863A5" w14:paraId="32CFD92D" w14:textId="77777777" w:rsidTr="007A39EB">
        <w:tc>
          <w:tcPr>
            <w:tcW w:w="5000" w:type="pct"/>
            <w:tcBorders>
              <w:top w:val="single" w:sz="6" w:space="0" w:color="78A22F"/>
              <w:left w:val="nil"/>
              <w:bottom w:val="nil"/>
              <w:right w:val="nil"/>
            </w:tcBorders>
          </w:tcPr>
          <w:p w14:paraId="58684299" w14:textId="79C33D0A" w:rsidR="00534098" w:rsidRPr="00626D32" w:rsidRDefault="00534098" w:rsidP="007A39EB">
            <w:pPr>
              <w:pStyle w:val="BoxSpaceBelow"/>
            </w:pPr>
          </w:p>
        </w:tc>
      </w:tr>
    </w:tbl>
    <w:p w14:paraId="6ACB54E8" w14:textId="5209ABAE" w:rsidR="00534098" w:rsidRDefault="00534098" w:rsidP="00534098">
      <w:pPr>
        <w:pStyle w:val="BoxSpaceAbove"/>
      </w:pPr>
      <w:bookmarkStart w:id="16" w:name="_AppendixNotByChapter"/>
      <w:bookmarkStart w:id="17" w:name="ChapterNumber"/>
      <w:bookmarkEnd w:id="1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34DBB323" w14:textId="77777777" w:rsidTr="007A39EB">
        <w:trPr>
          <w:tblHeader/>
        </w:trPr>
        <w:tc>
          <w:tcPr>
            <w:tcW w:w="5000" w:type="pct"/>
            <w:tcBorders>
              <w:top w:val="single" w:sz="6" w:space="0" w:color="78A22F"/>
              <w:left w:val="nil"/>
              <w:bottom w:val="nil"/>
              <w:right w:val="nil"/>
            </w:tcBorders>
            <w:shd w:val="clear" w:color="auto" w:fill="F2F2F2"/>
          </w:tcPr>
          <w:p w14:paraId="15854604" w14:textId="670E667E" w:rsidR="00534098" w:rsidRDefault="00534098" w:rsidP="007A39EB">
            <w:pPr>
              <w:pStyle w:val="BoxTitle"/>
            </w:pPr>
            <w:r>
              <w:rPr>
                <w:b w:val="0"/>
              </w:rPr>
              <w:t xml:space="preserve">Box </w:t>
            </w:r>
            <w:r w:rsidR="0015674B">
              <w:rPr>
                <w:b w:val="0"/>
                <w:noProof/>
              </w:rPr>
              <w:t>5</w:t>
            </w:r>
            <w:r>
              <w:tab/>
            </w:r>
            <w:r w:rsidRPr="00105BDC">
              <w:rPr>
                <w:rFonts w:ascii="Arial Bold" w:hAnsi="Arial Bold"/>
              </w:rPr>
              <w:t>Reallocation contributed to capital deepening until the mining boom</w:t>
            </w:r>
          </w:p>
        </w:tc>
      </w:tr>
      <w:tr w:rsidR="00534098" w14:paraId="25ADE9A1" w14:textId="77777777" w:rsidTr="007A39EB">
        <w:tc>
          <w:tcPr>
            <w:tcW w:w="5000" w:type="pct"/>
            <w:tcBorders>
              <w:top w:val="nil"/>
              <w:left w:val="nil"/>
              <w:bottom w:val="nil"/>
              <w:right w:val="nil"/>
            </w:tcBorders>
            <w:shd w:val="clear" w:color="auto" w:fill="F2F2F2"/>
          </w:tcPr>
          <w:p w14:paraId="6B741B95" w14:textId="609CD3E3" w:rsidR="00534098" w:rsidRPr="008323F9" w:rsidRDefault="00534098" w:rsidP="007A39EB">
            <w:pPr>
              <w:pStyle w:val="Box"/>
            </w:pPr>
            <w:r>
              <w:t xml:space="preserve">For the purposes of productivity measurement, the capital input is measured in terms of capital services’. Capital services reflect the amount of ‘service’ that each assets provides during a period. For each asset the services provided in a period are directly proportional to the assets productive capital value in the period (productive capital stock) and in equilibrium, the value of capital services is equal to the gross returns (or rents) to owners of capital </w:t>
            </w:r>
            <w:r w:rsidRPr="00D253FD">
              <w:rPr>
                <w:rFonts w:cs="Arial"/>
                <w:szCs w:val="24"/>
              </w:rPr>
              <w:t>(ABS 2015)</w:t>
            </w:r>
            <w:r>
              <w:t xml:space="preserve">. Assets that use up their usefulness in a short period of time (such as computers) typically have higher rental costs because they need to cover the cost of their purchase over a shorter time than say buildings. There are two components that determine the flow of capital services: the rental price of capital for each asset industry combination (in that period) and the volume of productive capital stock for each asset industry combination (in that period). Note that these rental prices only change the </w:t>
            </w:r>
            <w:r>
              <w:rPr>
                <w:i/>
                <w:iCs/>
              </w:rPr>
              <w:t>weights</w:t>
            </w:r>
            <w:r>
              <w:t xml:space="preserve"> given to growth in the volume of a particular asset, so a theoretical doubling of all rental prices would have no effect on aggregate capital growth. </w:t>
            </w:r>
          </w:p>
          <w:p w14:paraId="6053031C" w14:textId="77777777" w:rsidR="00534098" w:rsidRDefault="00534098" w:rsidP="007A39EB">
            <w:pPr>
              <w:pStyle w:val="Box"/>
            </w:pPr>
            <w:r>
              <w:t>Growth in capital services can be decomposed into the contributions from productive capital stock growth and capital reallocation area (figure below). Capital reallocation refers to the change in the composition of capital throughout the economy and can be positive (if there is relatively more investment in higher rental price assets) or negative (if there is relatively more investment in lower rental price assets). Since the start of the twenty</w:t>
            </w:r>
            <w:r>
              <w:noBreakHyphen/>
              <w:t xml:space="preserve">first century about 20 per cent of Australia’s growth in capital services can be attributed to capital reallocating to high rental price assets. </w:t>
            </w:r>
          </w:p>
          <w:p w14:paraId="6BAB3D3C" w14:textId="553C28FB" w:rsidR="00534098" w:rsidRPr="008A0CCC" w:rsidRDefault="00534098" w:rsidP="008A0CCC">
            <w:pPr>
              <w:pStyle w:val="BoxHeading1"/>
              <w:rPr>
                <w:rFonts w:ascii="Arial Bold" w:hAnsi="Arial Bold"/>
                <w:spacing w:val="-4"/>
              </w:rPr>
            </w:pPr>
            <w:r w:rsidRPr="008A0CCC">
              <w:rPr>
                <w:rFonts w:ascii="Arial Bold" w:hAnsi="Arial Bold"/>
                <w:spacing w:val="-4"/>
              </w:rPr>
              <w:t>Capital reallocation contributed to 20 per cent of capital service growth in the 2</w:t>
            </w:r>
            <w:r w:rsidRPr="008A0CCC">
              <w:rPr>
                <w:rFonts w:ascii="Arial Bold" w:hAnsi="Arial Bold"/>
                <w:bCs/>
                <w:spacing w:val="-4"/>
              </w:rPr>
              <w:t>1</w:t>
            </w:r>
            <w:r w:rsidRPr="008A0CCC">
              <w:rPr>
                <w:rFonts w:ascii="Arial Bold" w:hAnsi="Arial Bold"/>
                <w:spacing w:val="-4"/>
                <w:vertAlign w:val="superscript"/>
              </w:rPr>
              <w:t>st</w:t>
            </w:r>
            <w:r w:rsidR="008A0CCC" w:rsidRPr="008A0CCC">
              <w:rPr>
                <w:rFonts w:ascii="Arial Bold" w:hAnsi="Arial Bold"/>
                <w:spacing w:val="-4"/>
              </w:rPr>
              <w:t> </w:t>
            </w:r>
            <w:r w:rsidRPr="008A0CCC">
              <w:rPr>
                <w:rFonts w:ascii="Arial Bold" w:hAnsi="Arial Bold"/>
                <w:spacing w:val="-4"/>
              </w:rPr>
              <w:t>century</w:t>
            </w:r>
          </w:p>
          <w:p w14:paraId="23590E80" w14:textId="77777777" w:rsidR="00534098" w:rsidRDefault="00534098" w:rsidP="00FD1DD1">
            <w:pPr>
              <w:pStyle w:val="Box"/>
              <w:spacing w:before="80"/>
            </w:pPr>
            <w:r>
              <w:rPr>
                <w:noProof/>
              </w:rPr>
              <w:drawing>
                <wp:inline distT="0" distB="0" distL="0" distR="0" wp14:anchorId="25E0155F" wp14:editId="20A09C74">
                  <wp:extent cx="5400675" cy="2876550"/>
                  <wp:effectExtent l="0" t="0" r="9525" b="0"/>
                  <wp:docPr id="32" name="Graphic 32" descr="This figure plots the index of capital services between 200 and 2020 and the contributions from productive capital stock and capital reallocation. About 20 per cent of Australia’s growth in capital services over this period was due to capital re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This figure plots the index of capital services between 200 and 2020 and the contributions from productive capital stock and capital reallocation. About 20 per cent of Australia’s growth in capital services over this period was due to capital reallocation"/>
                          <pic:cNvPicPr/>
                        </pic:nvPicPr>
                        <pic:blipFill>
                          <a:blip r:embed="rId55">
                            <a:extLst>
                              <a:ext uri="{96DAC541-7B7A-43D3-8B79-37D633B846F1}">
                                <asvg:svgBlip xmlns:asvg="http://schemas.microsoft.com/office/drawing/2016/SVG/main" r:embed="rId56"/>
                              </a:ext>
                            </a:extLst>
                          </a:blip>
                          <a:stretch>
                            <a:fillRect/>
                          </a:stretch>
                        </pic:blipFill>
                        <pic:spPr>
                          <a:xfrm>
                            <a:off x="0" y="0"/>
                            <a:ext cx="5400675" cy="2876550"/>
                          </a:xfrm>
                          <a:prstGeom prst="rect">
                            <a:avLst/>
                          </a:prstGeom>
                        </pic:spPr>
                      </pic:pic>
                    </a:graphicData>
                  </a:graphic>
                </wp:inline>
              </w:drawing>
            </w:r>
          </w:p>
          <w:p w14:paraId="2A8E06F7" w14:textId="77777777" w:rsidR="00534098" w:rsidRDefault="00534098" w:rsidP="007A39EB">
            <w:pPr>
              <w:pStyle w:val="Box"/>
            </w:pPr>
            <w:r>
              <w:rPr>
                <w:noProof/>
              </w:rPr>
              <w:t>This reallocation did not occur uniformly over the period. The figure below demonstrates that most of the growth in capital services from reallocation occurred in the first decade of the twenty</w:t>
            </w:r>
            <w:r>
              <w:rPr>
                <w:noProof/>
              </w:rPr>
              <w:noBreakHyphen/>
              <w:t>first century. After 2010, growth in capital services due to reallocation slowed significantly, becoming negative after 2015. The significant shift in magnitude and sign of the effect of reallocation is likely due to two reasons. First, the positive effect during the beginning of the twenty</w:t>
            </w:r>
            <w:r>
              <w:rPr>
                <w:noProof/>
              </w:rPr>
              <w:noBreakHyphen/>
              <w:t xml:space="preserve">first century was, in large part, because computers at the time, had signficantly higher rental prices (returns) compared to other types of capital which decreased over time as computer usage increased. </w:t>
            </w:r>
          </w:p>
        </w:tc>
      </w:tr>
      <w:tr w:rsidR="00534098" w14:paraId="435B0C09" w14:textId="77777777" w:rsidTr="007A39EB">
        <w:tc>
          <w:tcPr>
            <w:tcW w:w="5000" w:type="pct"/>
            <w:tcBorders>
              <w:top w:val="nil"/>
              <w:left w:val="nil"/>
              <w:bottom w:val="nil"/>
              <w:right w:val="nil"/>
            </w:tcBorders>
            <w:shd w:val="clear" w:color="auto" w:fill="F2F2F2"/>
          </w:tcPr>
          <w:p w14:paraId="1BE88C4C" w14:textId="77777777" w:rsidR="00534098" w:rsidRPr="0095556E" w:rsidRDefault="00534098" w:rsidP="007A39EB">
            <w:pPr>
              <w:pStyle w:val="BoxSource"/>
              <w:jc w:val="right"/>
            </w:pPr>
            <w:r w:rsidRPr="0095556E">
              <w:t>(continued next page)</w:t>
            </w:r>
          </w:p>
        </w:tc>
      </w:tr>
      <w:tr w:rsidR="00534098" w14:paraId="1AB664BE" w14:textId="77777777" w:rsidTr="007A39EB">
        <w:tc>
          <w:tcPr>
            <w:tcW w:w="5000" w:type="pct"/>
            <w:tcBorders>
              <w:top w:val="nil"/>
              <w:left w:val="nil"/>
              <w:bottom w:val="single" w:sz="6" w:space="0" w:color="78A22F"/>
              <w:right w:val="nil"/>
            </w:tcBorders>
            <w:shd w:val="clear" w:color="auto" w:fill="F2F2F2"/>
          </w:tcPr>
          <w:p w14:paraId="16E9999A" w14:textId="77777777" w:rsidR="00534098" w:rsidRDefault="00534098" w:rsidP="00FD1DD1">
            <w:pPr>
              <w:pStyle w:val="Box"/>
              <w:keepNext w:val="0"/>
              <w:spacing w:before="0" w:line="120" w:lineRule="exact"/>
            </w:pPr>
          </w:p>
        </w:tc>
      </w:tr>
    </w:tbl>
    <w:p w14:paraId="7F0C3037" w14:textId="6530B29C" w:rsidR="00534098" w:rsidRDefault="00534098" w:rsidP="005340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534098" w14:paraId="25CDD7C1" w14:textId="77777777" w:rsidTr="007A39EB">
        <w:trPr>
          <w:tblHeader/>
        </w:trPr>
        <w:tc>
          <w:tcPr>
            <w:tcW w:w="5000" w:type="pct"/>
            <w:tcBorders>
              <w:top w:val="single" w:sz="6" w:space="0" w:color="78A22F"/>
              <w:left w:val="nil"/>
              <w:bottom w:val="nil"/>
              <w:right w:val="nil"/>
            </w:tcBorders>
            <w:shd w:val="clear" w:color="auto" w:fill="F2F2F2"/>
          </w:tcPr>
          <w:p w14:paraId="11A298D5" w14:textId="2BDC9597" w:rsidR="00534098" w:rsidRDefault="00534098" w:rsidP="007A39EB">
            <w:pPr>
              <w:pStyle w:val="BoxTitle"/>
            </w:pPr>
            <w:r>
              <w:rPr>
                <w:b w:val="0"/>
              </w:rPr>
              <w:t>Box 5</w:t>
            </w:r>
            <w:r>
              <w:tab/>
            </w:r>
            <w:r w:rsidRPr="0095556E">
              <w:rPr>
                <w:b w:val="0"/>
                <w:sz w:val="18"/>
              </w:rPr>
              <w:t>(continued)</w:t>
            </w:r>
          </w:p>
        </w:tc>
      </w:tr>
      <w:tr w:rsidR="00534098" w14:paraId="7E623D30" w14:textId="77777777" w:rsidTr="00BB71DE">
        <w:tc>
          <w:tcPr>
            <w:tcW w:w="4968" w:type="pct"/>
            <w:tcBorders>
              <w:top w:val="nil"/>
              <w:left w:val="nil"/>
              <w:bottom w:val="nil"/>
              <w:right w:val="nil"/>
            </w:tcBorders>
            <w:shd w:val="clear" w:color="auto" w:fill="F2F2F2"/>
          </w:tcPr>
          <w:p w14:paraId="64DADFAD" w14:textId="77777777" w:rsidR="00534098" w:rsidRDefault="00534098" w:rsidP="007A39EB">
            <w:pPr>
              <w:pStyle w:val="Box"/>
              <w:rPr>
                <w:noProof/>
              </w:rPr>
            </w:pPr>
            <w:r>
              <w:rPr>
                <w:noProof/>
              </w:rPr>
              <w:t>Second, the negative effect after 2010 was likely due to the mining boom. Mining capital tends to have a longer lifespan than capital in other industries which reduces the yearly rental prices for capital in the mining industries. Therefore, when investment surged during the mining boom (due to temporary higher rents from demand side factors), capital moved into an industry with lower rental prices, leading to in a negative reallocation effect over that period.</w:t>
            </w:r>
          </w:p>
          <w:p w14:paraId="3BC3E483" w14:textId="77777777" w:rsidR="00534098" w:rsidRDefault="00534098" w:rsidP="007A39EB">
            <w:pPr>
              <w:pStyle w:val="Box"/>
              <w:rPr>
                <w:noProof/>
              </w:rPr>
            </w:pPr>
            <w:r>
              <w:rPr>
                <w:noProof/>
              </w:rPr>
              <w:t>The bottom figure suggests that the mining boom likely contributed to the reduced effect of capital reallocation on capital service growth in the second half of the twenty</w:t>
            </w:r>
            <w:r>
              <w:rPr>
                <w:noProof/>
              </w:rPr>
              <w:noBreakHyphen/>
              <w:t>first century. This figure plots the rental price of mining capital against non</w:t>
            </w:r>
            <w:r>
              <w:rPr>
                <w:noProof/>
              </w:rPr>
              <w:noBreakHyphen/>
              <w:t xml:space="preserve">mining capital against the contribution to capital service growth from reallocation and shows that the capital reallocation effect closely followed the relative mining rental price after 2005. </w:t>
            </w:r>
          </w:p>
          <w:p w14:paraId="6522484F" w14:textId="77777777" w:rsidR="00534098" w:rsidRDefault="00534098" w:rsidP="007A39EB">
            <w:pPr>
              <w:pStyle w:val="Box"/>
              <w:rPr>
                <w:b/>
                <w:bCs/>
                <w:noProof/>
                <w:sz w:val="22"/>
                <w:szCs w:val="22"/>
              </w:rPr>
            </w:pPr>
            <w:r w:rsidRPr="007A6E42">
              <w:rPr>
                <w:b/>
                <w:bCs/>
                <w:noProof/>
                <w:sz w:val="22"/>
                <w:szCs w:val="22"/>
              </w:rPr>
              <w:t xml:space="preserve">The capital reallocation contribution fell after 2010 as mining investment </w:t>
            </w:r>
            <w:r>
              <w:rPr>
                <w:b/>
                <w:bCs/>
                <w:noProof/>
                <w:sz w:val="22"/>
                <w:szCs w:val="22"/>
              </w:rPr>
              <w:t>rose</w:t>
            </w:r>
          </w:p>
          <w:p w14:paraId="6F3CECEB" w14:textId="77777777" w:rsidR="00534098" w:rsidRDefault="00534098" w:rsidP="007A39EB">
            <w:pPr>
              <w:pStyle w:val="Box"/>
              <w:rPr>
                <w:b/>
                <w:bCs/>
                <w:noProof/>
                <w:sz w:val="22"/>
                <w:szCs w:val="22"/>
              </w:rPr>
            </w:pPr>
            <w:r>
              <w:rPr>
                <w:noProof/>
              </w:rPr>
              <w:drawing>
                <wp:inline distT="0" distB="0" distL="0" distR="0" wp14:anchorId="4C9ED7CB" wp14:editId="04C975CB">
                  <wp:extent cx="5400675" cy="2524125"/>
                  <wp:effectExtent l="0" t="0" r="9525" b="9525"/>
                  <wp:docPr id="31" name="Graphic 31" descr="This figure decomposes the 5-year growth in capital services into the contributions from capital reallocation mining and non-mining. Initially capital reallocation was a significant contributor to capital service growth (about 40 per cent between 2000 to 2010 before falling significantly after 2010 as Mining investment ramp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is figure decomposes the 5-year growth in capital services into the contributions from capital reallocation mining and non-mining. Initially capital reallocation was a significant contributor to capital service growth (about 40 per cent between 2000 to 2010 before falling significantly after 2010 as Mining investment ramped up"/>
                          <pic:cNvPicPr/>
                        </pic:nvPicPr>
                        <pic:blipFill>
                          <a:blip r:embed="rId57">
                            <a:extLst>
                              <a:ext uri="{96DAC541-7B7A-43D3-8B79-37D633B846F1}">
                                <asvg:svgBlip xmlns:asvg="http://schemas.microsoft.com/office/drawing/2016/SVG/main" r:embed="rId58"/>
                              </a:ext>
                            </a:extLst>
                          </a:blip>
                          <a:stretch>
                            <a:fillRect/>
                          </a:stretch>
                        </pic:blipFill>
                        <pic:spPr>
                          <a:xfrm>
                            <a:off x="0" y="0"/>
                            <a:ext cx="5400675" cy="2524125"/>
                          </a:xfrm>
                          <a:prstGeom prst="rect">
                            <a:avLst/>
                          </a:prstGeom>
                        </pic:spPr>
                      </pic:pic>
                    </a:graphicData>
                  </a:graphic>
                </wp:inline>
              </w:drawing>
            </w:r>
          </w:p>
          <w:p w14:paraId="0F59D4A2" w14:textId="77777777" w:rsidR="00534098" w:rsidRPr="00041550" w:rsidRDefault="00534098" w:rsidP="007A39EB">
            <w:pPr>
              <w:pStyle w:val="Box"/>
              <w:rPr>
                <w:b/>
                <w:sz w:val="22"/>
                <w:szCs w:val="22"/>
              </w:rPr>
            </w:pPr>
            <w:r w:rsidRPr="00041550">
              <w:rPr>
                <w:b/>
                <w:sz w:val="22"/>
                <w:szCs w:val="22"/>
              </w:rPr>
              <w:t>Capital reallocation closely followed mining rental prices after 2010</w:t>
            </w:r>
          </w:p>
          <w:p w14:paraId="043EF5A4" w14:textId="76BE3B64" w:rsidR="00534098" w:rsidRDefault="0072573D" w:rsidP="0072573D">
            <w:pPr>
              <w:pStyle w:val="Box"/>
              <w:jc w:val="center"/>
            </w:pPr>
            <w:r w:rsidRPr="0072573D">
              <w:rPr>
                <w:noProof/>
              </w:rPr>
              <w:drawing>
                <wp:inline distT="0" distB="0" distL="0" distR="0" wp14:anchorId="7E3CB8BA" wp14:editId="4CDA88C8">
                  <wp:extent cx="5334000" cy="2581275"/>
                  <wp:effectExtent l="0" t="0" r="0" b="0"/>
                  <wp:docPr id="37" name="Picture 37" descr="This figure plots the ratio of Mining to non-mining rental price ratio and the Capital re-allocation effect between 2000 and 2020. Initially the mining rental price was higher than non-mining before dipping below 100 after 2008, this fall coincided with a reduction in the capital reallocation effect as capital moved into the mining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plots the ratio of Mining to non-mining rental price ratio and the Capital re-allocation effect between 2000 and 2020. Initially the mining rental price was higher than non-mining before dipping below 100 after 2008, this fall coincided with a reduction in the capital reallocation effect as capital moved into the mining industry.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0" cy="2581275"/>
                          </a:xfrm>
                          <a:prstGeom prst="rect">
                            <a:avLst/>
                          </a:prstGeom>
                          <a:noFill/>
                          <a:ln>
                            <a:noFill/>
                          </a:ln>
                        </pic:spPr>
                      </pic:pic>
                    </a:graphicData>
                  </a:graphic>
                </wp:inline>
              </w:drawing>
            </w:r>
          </w:p>
        </w:tc>
      </w:tr>
      <w:tr w:rsidR="00534098" w14:paraId="32C17BCC" w14:textId="77777777" w:rsidTr="007A39EB">
        <w:tc>
          <w:tcPr>
            <w:tcW w:w="5000" w:type="pct"/>
            <w:tcBorders>
              <w:top w:val="nil"/>
              <w:left w:val="nil"/>
              <w:bottom w:val="nil"/>
              <w:right w:val="nil"/>
            </w:tcBorders>
            <w:shd w:val="clear" w:color="auto" w:fill="F2F2F2"/>
          </w:tcPr>
          <w:p w14:paraId="19D24583" w14:textId="77777777" w:rsidR="00534098" w:rsidRDefault="00534098" w:rsidP="007A39EB">
            <w:pPr>
              <w:pStyle w:val="BoxSource"/>
            </w:pPr>
            <w:r>
              <w:rPr>
                <w:i/>
              </w:rPr>
              <w:t>S</w:t>
            </w:r>
            <w:r w:rsidRPr="00784A05">
              <w:rPr>
                <w:i/>
              </w:rPr>
              <w:t>ource</w:t>
            </w:r>
            <w:r>
              <w:rPr>
                <w:i/>
              </w:rPr>
              <w:t>s</w:t>
            </w:r>
            <w:r w:rsidRPr="00176D3F">
              <w:t xml:space="preserve">: </w:t>
            </w:r>
            <w:r>
              <w:t>Commission estimates based on</w:t>
            </w:r>
            <w:r w:rsidRPr="00176D3F">
              <w:t xml:space="preserve"> </w:t>
            </w:r>
            <w:r>
              <w:t>ABS (</w:t>
            </w:r>
            <w:r>
              <w:rPr>
                <w:i/>
                <w:iCs/>
              </w:rPr>
              <w:t>Australian System of National Accounts</w:t>
            </w:r>
            <w:r>
              <w:t xml:space="preserve">, </w:t>
            </w:r>
            <w:r>
              <w:rPr>
                <w:i/>
                <w:iCs/>
              </w:rPr>
              <w:t>2019</w:t>
            </w:r>
            <w:r>
              <w:rPr>
                <w:i/>
                <w:iCs/>
              </w:rPr>
              <w:noBreakHyphen/>
              <w:t xml:space="preserve">20, </w:t>
            </w:r>
            <w:r>
              <w:t>Cat. no. 5204</w:t>
            </w:r>
            <w:r w:rsidRPr="009815C8">
              <w:t>.0</w:t>
            </w:r>
            <w:r>
              <w:t xml:space="preserve">, tables 13 and 58 and </w:t>
            </w:r>
            <w:r>
              <w:rPr>
                <w:i/>
                <w:iCs/>
              </w:rPr>
              <w:t>Industry Estimates of Multifactor Productivity, 2019</w:t>
            </w:r>
            <w:r>
              <w:rPr>
                <w:i/>
                <w:iCs/>
              </w:rPr>
              <w:noBreakHyphen/>
              <w:t xml:space="preserve">20, Cat. no. </w:t>
            </w:r>
            <w:r w:rsidRPr="00D602D6">
              <w:rPr>
                <w:i/>
                <w:iCs/>
              </w:rPr>
              <w:t>5260.0.55.002</w:t>
            </w:r>
            <w:r>
              <w:t>, tables 12 and 13).</w:t>
            </w:r>
          </w:p>
        </w:tc>
      </w:tr>
      <w:tr w:rsidR="00534098" w14:paraId="5F7B3183" w14:textId="77777777" w:rsidTr="007A39EB">
        <w:tc>
          <w:tcPr>
            <w:tcW w:w="5000" w:type="pct"/>
            <w:tcBorders>
              <w:top w:val="nil"/>
              <w:left w:val="nil"/>
              <w:bottom w:val="single" w:sz="6" w:space="0" w:color="78A22F"/>
              <w:right w:val="nil"/>
            </w:tcBorders>
            <w:shd w:val="clear" w:color="auto" w:fill="F2F2F2"/>
          </w:tcPr>
          <w:p w14:paraId="43B70658" w14:textId="77777777" w:rsidR="00534098" w:rsidRDefault="00534098" w:rsidP="007A39EB">
            <w:pPr>
              <w:pStyle w:val="Box"/>
              <w:spacing w:before="0" w:line="120" w:lineRule="exact"/>
            </w:pPr>
          </w:p>
        </w:tc>
      </w:tr>
      <w:tr w:rsidR="00534098" w:rsidRPr="000863A5" w14:paraId="451D7296" w14:textId="77777777" w:rsidTr="007A39EB">
        <w:tc>
          <w:tcPr>
            <w:tcW w:w="5000" w:type="pct"/>
            <w:tcBorders>
              <w:top w:val="single" w:sz="6" w:space="0" w:color="78A22F"/>
              <w:left w:val="nil"/>
              <w:bottom w:val="nil"/>
              <w:right w:val="nil"/>
            </w:tcBorders>
          </w:tcPr>
          <w:p w14:paraId="14275CBD" w14:textId="18410961" w:rsidR="00534098" w:rsidRPr="00626D32" w:rsidRDefault="00534098" w:rsidP="007A39EB">
            <w:pPr>
              <w:pStyle w:val="BoxSpaceBelow"/>
            </w:pPr>
          </w:p>
        </w:tc>
      </w:tr>
    </w:tbl>
    <w:p w14:paraId="15C1B99D" w14:textId="77777777" w:rsidR="00534098" w:rsidRDefault="00534098" w:rsidP="00C15385">
      <w:pPr>
        <w:pStyle w:val="Heading2"/>
        <w:rPr>
          <w:szCs w:val="24"/>
        </w:rPr>
      </w:pPr>
      <w:bookmarkStart w:id="18" w:name="_Toc74138581"/>
      <w:r>
        <w:t>A</w:t>
      </w:r>
      <w:bookmarkEnd w:id="17"/>
      <w:r>
        <w:t>ppendix A: subdivision employment</w:t>
      </w:r>
      <w:bookmarkEnd w:id="18"/>
    </w:p>
    <w:p w14:paraId="43FA7CB3" w14:textId="7B6E8A62"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229FE4EC" w14:textId="77777777" w:rsidTr="007A39EB">
        <w:trPr>
          <w:tblHeader/>
        </w:trPr>
        <w:tc>
          <w:tcPr>
            <w:tcW w:w="5000" w:type="pct"/>
            <w:tcBorders>
              <w:top w:val="single" w:sz="6" w:space="0" w:color="78A22F"/>
              <w:left w:val="nil"/>
              <w:bottom w:val="nil"/>
              <w:right w:val="nil"/>
            </w:tcBorders>
            <w:shd w:val="clear" w:color="auto" w:fill="auto"/>
          </w:tcPr>
          <w:p w14:paraId="7B8EAF7F" w14:textId="6ED2E65E" w:rsidR="00534098" w:rsidRDefault="00534098" w:rsidP="007A39EB">
            <w:pPr>
              <w:pStyle w:val="TableTitle"/>
            </w:pPr>
            <w:r>
              <w:rPr>
                <w:b w:val="0"/>
              </w:rPr>
              <w:t>Table A.1</w:t>
            </w:r>
            <w:r>
              <w:tab/>
              <w:t xml:space="preserve">ANZSIC 2 digit employment levels </w:t>
            </w:r>
          </w:p>
          <w:p w14:paraId="2BEF9E7D" w14:textId="77777777" w:rsidR="00534098" w:rsidRPr="00784A05" w:rsidRDefault="00534098" w:rsidP="007A39EB">
            <w:pPr>
              <w:pStyle w:val="Subtitle"/>
            </w:pPr>
            <w:r>
              <w:t>Employment in subdivision industry as a proportion of February 2020 levels</w:t>
            </w:r>
          </w:p>
        </w:tc>
      </w:tr>
      <w:tr w:rsidR="00534098" w14:paraId="039CAD07"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1985"/>
              <w:gridCol w:w="850"/>
              <w:gridCol w:w="850"/>
              <w:gridCol w:w="852"/>
              <w:gridCol w:w="849"/>
            </w:tblGrid>
            <w:tr w:rsidR="00534098" w14:paraId="19466625" w14:textId="77777777" w:rsidTr="007A39EB">
              <w:trPr>
                <w:tblHeader/>
              </w:trPr>
              <w:tc>
                <w:tcPr>
                  <w:tcW w:w="1833" w:type="pct"/>
                  <w:tcBorders>
                    <w:top w:val="single" w:sz="6" w:space="0" w:color="BFBFBF"/>
                    <w:bottom w:val="single" w:sz="6" w:space="0" w:color="BFBFBF"/>
                  </w:tcBorders>
                  <w:shd w:val="clear" w:color="auto" w:fill="auto"/>
                  <w:tcMar>
                    <w:top w:w="28" w:type="dxa"/>
                  </w:tcMar>
                </w:tcPr>
                <w:p w14:paraId="6B1DFE75" w14:textId="77777777" w:rsidR="00534098" w:rsidRDefault="00534098" w:rsidP="007A39EB">
                  <w:pPr>
                    <w:pStyle w:val="TableColumnHeading"/>
                    <w:jc w:val="left"/>
                  </w:pPr>
                  <w:r w:rsidRPr="00CD275C">
                    <w:t>Anzsic 2</w:t>
                  </w:r>
                </w:p>
              </w:tc>
              <w:tc>
                <w:tcPr>
                  <w:tcW w:w="1167" w:type="pct"/>
                  <w:tcBorders>
                    <w:top w:val="single" w:sz="6" w:space="0" w:color="BFBFBF"/>
                    <w:bottom w:val="single" w:sz="6" w:space="0" w:color="BFBFBF"/>
                  </w:tcBorders>
                </w:tcPr>
                <w:p w14:paraId="78B7CEB4" w14:textId="77777777" w:rsidR="00534098" w:rsidRDefault="00534098" w:rsidP="007A39EB">
                  <w:pPr>
                    <w:pStyle w:val="TableColumnHeading"/>
                    <w:jc w:val="left"/>
                  </w:pPr>
                  <w:r w:rsidRPr="00CD275C">
                    <w:t>Anzsic 1</w:t>
                  </w:r>
                </w:p>
              </w:tc>
              <w:tc>
                <w:tcPr>
                  <w:tcW w:w="500" w:type="pct"/>
                  <w:tcBorders>
                    <w:top w:val="single" w:sz="6" w:space="0" w:color="BFBFBF"/>
                    <w:bottom w:val="single" w:sz="6" w:space="0" w:color="BFBFBF"/>
                  </w:tcBorders>
                </w:tcPr>
                <w:p w14:paraId="3E81C780" w14:textId="77777777" w:rsidR="00534098" w:rsidRDefault="00534098" w:rsidP="007A39EB">
                  <w:pPr>
                    <w:pStyle w:val="TableColumnHeading"/>
                  </w:pPr>
                  <w:r>
                    <w:t>May</w:t>
                  </w:r>
                  <w:r>
                    <w:noBreakHyphen/>
                    <w:t>20</w:t>
                  </w:r>
                </w:p>
              </w:tc>
              <w:tc>
                <w:tcPr>
                  <w:tcW w:w="500" w:type="pct"/>
                  <w:tcBorders>
                    <w:top w:val="single" w:sz="6" w:space="0" w:color="BFBFBF"/>
                    <w:bottom w:val="single" w:sz="6" w:space="0" w:color="BFBFBF"/>
                  </w:tcBorders>
                </w:tcPr>
                <w:p w14:paraId="13CF59F0" w14:textId="77777777" w:rsidR="00534098" w:rsidRDefault="00534098" w:rsidP="007A39EB">
                  <w:pPr>
                    <w:pStyle w:val="TableColumnHeading"/>
                  </w:pPr>
                  <w:r>
                    <w:t>Aug</w:t>
                  </w:r>
                  <w:r>
                    <w:noBreakHyphen/>
                    <w:t>20</w:t>
                  </w:r>
                </w:p>
              </w:tc>
              <w:tc>
                <w:tcPr>
                  <w:tcW w:w="501" w:type="pct"/>
                  <w:tcBorders>
                    <w:top w:val="single" w:sz="6" w:space="0" w:color="BFBFBF"/>
                    <w:bottom w:val="single" w:sz="6" w:space="0" w:color="BFBFBF"/>
                  </w:tcBorders>
                  <w:shd w:val="clear" w:color="auto" w:fill="auto"/>
                  <w:tcMar>
                    <w:top w:w="28" w:type="dxa"/>
                  </w:tcMar>
                </w:tcPr>
                <w:p w14:paraId="14B9F6E6" w14:textId="77777777" w:rsidR="00534098" w:rsidRDefault="00534098" w:rsidP="007A39EB">
                  <w:pPr>
                    <w:pStyle w:val="TableColumnHeading"/>
                  </w:pPr>
                  <w:r>
                    <w:t>Nov</w:t>
                  </w:r>
                  <w:r>
                    <w:noBreakHyphen/>
                    <w:t>20</w:t>
                  </w:r>
                </w:p>
              </w:tc>
              <w:tc>
                <w:tcPr>
                  <w:tcW w:w="499" w:type="pct"/>
                  <w:tcBorders>
                    <w:top w:val="single" w:sz="6" w:space="0" w:color="BFBFBF"/>
                    <w:bottom w:val="single" w:sz="6" w:space="0" w:color="BFBFBF"/>
                  </w:tcBorders>
                  <w:shd w:val="clear" w:color="auto" w:fill="auto"/>
                  <w:tcMar>
                    <w:top w:w="28" w:type="dxa"/>
                  </w:tcMar>
                </w:tcPr>
                <w:p w14:paraId="3D419D90" w14:textId="77777777" w:rsidR="00534098" w:rsidRDefault="00534098" w:rsidP="007A39EB">
                  <w:pPr>
                    <w:pStyle w:val="TableColumnHeading"/>
                    <w:ind w:right="28"/>
                  </w:pPr>
                  <w:r>
                    <w:t>Feb</w:t>
                  </w:r>
                  <w:r>
                    <w:noBreakHyphen/>
                    <w:t>21</w:t>
                  </w:r>
                </w:p>
              </w:tc>
            </w:tr>
            <w:tr w:rsidR="00534098" w14:paraId="6F16A70F" w14:textId="77777777" w:rsidTr="007A39EB">
              <w:tc>
                <w:tcPr>
                  <w:tcW w:w="1833" w:type="pct"/>
                  <w:tcBorders>
                    <w:top w:val="single" w:sz="6" w:space="0" w:color="BFBFBF"/>
                  </w:tcBorders>
                </w:tcPr>
                <w:p w14:paraId="3CC96233" w14:textId="77777777" w:rsidR="00534098" w:rsidRDefault="00534098" w:rsidP="007A39EB">
                  <w:pPr>
                    <w:pStyle w:val="TableUnitsRow"/>
                    <w:jc w:val="left"/>
                  </w:pPr>
                </w:p>
              </w:tc>
              <w:tc>
                <w:tcPr>
                  <w:tcW w:w="1167" w:type="pct"/>
                  <w:tcBorders>
                    <w:top w:val="single" w:sz="6" w:space="0" w:color="BFBFBF"/>
                  </w:tcBorders>
                </w:tcPr>
                <w:p w14:paraId="14C90051" w14:textId="77777777" w:rsidR="00534098" w:rsidRDefault="00534098" w:rsidP="007A39EB">
                  <w:pPr>
                    <w:pStyle w:val="TableUnitsRow"/>
                    <w:jc w:val="left"/>
                  </w:pPr>
                </w:p>
              </w:tc>
              <w:tc>
                <w:tcPr>
                  <w:tcW w:w="500" w:type="pct"/>
                  <w:tcBorders>
                    <w:top w:val="single" w:sz="6" w:space="0" w:color="BFBFBF"/>
                  </w:tcBorders>
                </w:tcPr>
                <w:p w14:paraId="7E1DE955" w14:textId="77777777" w:rsidR="00534098" w:rsidRDefault="00534098" w:rsidP="007A39EB">
                  <w:pPr>
                    <w:pStyle w:val="TableUnitsRow"/>
                  </w:pPr>
                  <w:r>
                    <w:t>%</w:t>
                  </w:r>
                </w:p>
              </w:tc>
              <w:tc>
                <w:tcPr>
                  <w:tcW w:w="500" w:type="pct"/>
                  <w:tcBorders>
                    <w:top w:val="single" w:sz="6" w:space="0" w:color="BFBFBF"/>
                  </w:tcBorders>
                </w:tcPr>
                <w:p w14:paraId="5C8D4DC6" w14:textId="77777777" w:rsidR="00534098" w:rsidRDefault="00534098" w:rsidP="007A39EB">
                  <w:pPr>
                    <w:pStyle w:val="TableUnitsRow"/>
                  </w:pPr>
                  <w:r>
                    <w:t>%</w:t>
                  </w:r>
                </w:p>
              </w:tc>
              <w:tc>
                <w:tcPr>
                  <w:tcW w:w="501" w:type="pct"/>
                  <w:tcBorders>
                    <w:top w:val="single" w:sz="6" w:space="0" w:color="BFBFBF"/>
                  </w:tcBorders>
                </w:tcPr>
                <w:p w14:paraId="33ED9459" w14:textId="77777777" w:rsidR="00534098" w:rsidRDefault="00534098" w:rsidP="007A39EB">
                  <w:pPr>
                    <w:pStyle w:val="TableUnitsRow"/>
                  </w:pPr>
                  <w:r>
                    <w:t>%</w:t>
                  </w:r>
                </w:p>
              </w:tc>
              <w:tc>
                <w:tcPr>
                  <w:tcW w:w="499" w:type="pct"/>
                  <w:tcBorders>
                    <w:top w:val="single" w:sz="6" w:space="0" w:color="BFBFBF"/>
                  </w:tcBorders>
                </w:tcPr>
                <w:p w14:paraId="3C60F7FE" w14:textId="77777777" w:rsidR="00534098" w:rsidRDefault="00534098" w:rsidP="007A39EB">
                  <w:pPr>
                    <w:pStyle w:val="TableUnitsRow"/>
                    <w:ind w:right="28"/>
                  </w:pPr>
                  <w:r>
                    <w:t>%</w:t>
                  </w:r>
                </w:p>
              </w:tc>
            </w:tr>
            <w:tr w:rsidR="00534098" w14:paraId="351DA5AD" w14:textId="77777777" w:rsidTr="007A39EB">
              <w:tc>
                <w:tcPr>
                  <w:tcW w:w="1833" w:type="pct"/>
                </w:tcPr>
                <w:p w14:paraId="5313D7D8" w14:textId="77777777" w:rsidR="00534098" w:rsidRDefault="00534098" w:rsidP="007A39EB">
                  <w:pPr>
                    <w:pStyle w:val="TableBodyText"/>
                    <w:jc w:val="left"/>
                  </w:pPr>
                  <w:r w:rsidRPr="003E2EB4">
                    <w:t>Agriculture</w:t>
                  </w:r>
                </w:p>
              </w:tc>
              <w:tc>
                <w:tcPr>
                  <w:tcW w:w="1167" w:type="pct"/>
                </w:tcPr>
                <w:p w14:paraId="3B4C5ACD" w14:textId="77777777" w:rsidR="00534098" w:rsidRDefault="00534098" w:rsidP="007A39EB">
                  <w:pPr>
                    <w:pStyle w:val="TableBodyText"/>
                    <w:jc w:val="left"/>
                  </w:pPr>
                  <w:r w:rsidRPr="003E2EB4">
                    <w:t>Agriculture, Forestry and Fishing</w:t>
                  </w:r>
                </w:p>
              </w:tc>
              <w:tc>
                <w:tcPr>
                  <w:tcW w:w="500" w:type="pct"/>
                </w:tcPr>
                <w:p w14:paraId="7B44426F" w14:textId="77777777" w:rsidR="00534098" w:rsidRDefault="00534098" w:rsidP="007A39EB">
                  <w:pPr>
                    <w:pStyle w:val="TableBodyText"/>
                  </w:pPr>
                  <w:r w:rsidRPr="00D80F99">
                    <w:t>109</w:t>
                  </w:r>
                </w:p>
              </w:tc>
              <w:tc>
                <w:tcPr>
                  <w:tcW w:w="500" w:type="pct"/>
                </w:tcPr>
                <w:p w14:paraId="04B5A5F9" w14:textId="77777777" w:rsidR="00534098" w:rsidRDefault="00534098" w:rsidP="007A39EB">
                  <w:pPr>
                    <w:pStyle w:val="TableBodyText"/>
                  </w:pPr>
                  <w:r w:rsidRPr="00D80F99">
                    <w:t>110</w:t>
                  </w:r>
                </w:p>
              </w:tc>
              <w:tc>
                <w:tcPr>
                  <w:tcW w:w="501" w:type="pct"/>
                </w:tcPr>
                <w:p w14:paraId="47ACE87F" w14:textId="77777777" w:rsidR="00534098" w:rsidRDefault="00534098" w:rsidP="007A39EB">
                  <w:pPr>
                    <w:pStyle w:val="TableBodyText"/>
                  </w:pPr>
                  <w:r w:rsidRPr="00D80F99">
                    <w:t>105</w:t>
                  </w:r>
                </w:p>
              </w:tc>
              <w:tc>
                <w:tcPr>
                  <w:tcW w:w="499" w:type="pct"/>
                </w:tcPr>
                <w:p w14:paraId="4F601BF7" w14:textId="77777777" w:rsidR="00534098" w:rsidRDefault="00534098" w:rsidP="007A39EB">
                  <w:pPr>
                    <w:pStyle w:val="TableBodyText"/>
                    <w:ind w:right="28"/>
                  </w:pPr>
                  <w:r w:rsidRPr="00D80F99">
                    <w:t>101</w:t>
                  </w:r>
                </w:p>
              </w:tc>
            </w:tr>
            <w:tr w:rsidR="00534098" w14:paraId="7D44A858" w14:textId="77777777" w:rsidTr="007A39EB">
              <w:tc>
                <w:tcPr>
                  <w:tcW w:w="1833" w:type="pct"/>
                </w:tcPr>
                <w:p w14:paraId="4D69BA9C" w14:textId="77777777" w:rsidR="00534098" w:rsidRDefault="00534098" w:rsidP="007A39EB">
                  <w:pPr>
                    <w:pStyle w:val="TableBodyText"/>
                    <w:jc w:val="left"/>
                  </w:pPr>
                  <w:r w:rsidRPr="003E2EB4">
                    <w:t>Aquaculture</w:t>
                  </w:r>
                </w:p>
              </w:tc>
              <w:tc>
                <w:tcPr>
                  <w:tcW w:w="1167" w:type="pct"/>
                </w:tcPr>
                <w:p w14:paraId="6C28C790" w14:textId="77777777" w:rsidR="00534098" w:rsidRDefault="00534098" w:rsidP="007A39EB">
                  <w:pPr>
                    <w:pStyle w:val="TableBodyText"/>
                    <w:jc w:val="left"/>
                  </w:pPr>
                  <w:r w:rsidRPr="003E2EB4">
                    <w:t>Agriculture, Forestry and Fishing</w:t>
                  </w:r>
                </w:p>
              </w:tc>
              <w:tc>
                <w:tcPr>
                  <w:tcW w:w="500" w:type="pct"/>
                </w:tcPr>
                <w:p w14:paraId="737CD7CB" w14:textId="77777777" w:rsidR="00534098" w:rsidRDefault="00534098" w:rsidP="007A39EB">
                  <w:pPr>
                    <w:pStyle w:val="TableBodyText"/>
                  </w:pPr>
                  <w:r w:rsidRPr="00D80F99">
                    <w:t>56</w:t>
                  </w:r>
                </w:p>
              </w:tc>
              <w:tc>
                <w:tcPr>
                  <w:tcW w:w="500" w:type="pct"/>
                </w:tcPr>
                <w:p w14:paraId="176F89F3" w14:textId="77777777" w:rsidR="00534098" w:rsidRDefault="00534098" w:rsidP="007A39EB">
                  <w:pPr>
                    <w:pStyle w:val="TableBodyText"/>
                  </w:pPr>
                  <w:r w:rsidRPr="00D80F99">
                    <w:t>50</w:t>
                  </w:r>
                </w:p>
              </w:tc>
              <w:tc>
                <w:tcPr>
                  <w:tcW w:w="501" w:type="pct"/>
                </w:tcPr>
                <w:p w14:paraId="2D0BE4DA" w14:textId="77777777" w:rsidR="00534098" w:rsidRDefault="00534098" w:rsidP="007A39EB">
                  <w:pPr>
                    <w:pStyle w:val="TableBodyText"/>
                  </w:pPr>
                  <w:r w:rsidRPr="00D80F99">
                    <w:t>63</w:t>
                  </w:r>
                </w:p>
              </w:tc>
              <w:tc>
                <w:tcPr>
                  <w:tcW w:w="499" w:type="pct"/>
                </w:tcPr>
                <w:p w14:paraId="3C57542A" w14:textId="77777777" w:rsidR="00534098" w:rsidRDefault="00534098" w:rsidP="007A39EB">
                  <w:pPr>
                    <w:pStyle w:val="TableBodyText"/>
                    <w:ind w:right="28"/>
                  </w:pPr>
                  <w:r w:rsidRPr="00D80F99">
                    <w:t>56</w:t>
                  </w:r>
                </w:p>
              </w:tc>
            </w:tr>
            <w:tr w:rsidR="00534098" w14:paraId="6FA40239" w14:textId="77777777" w:rsidTr="007A39EB">
              <w:tc>
                <w:tcPr>
                  <w:tcW w:w="1833" w:type="pct"/>
                </w:tcPr>
                <w:p w14:paraId="4DFB370C" w14:textId="77777777" w:rsidR="00534098" w:rsidRDefault="00534098" w:rsidP="007A39EB">
                  <w:pPr>
                    <w:pStyle w:val="TableBodyText"/>
                    <w:jc w:val="left"/>
                  </w:pPr>
                  <w:r w:rsidRPr="003E2EB4">
                    <w:t>Forestry and Logging</w:t>
                  </w:r>
                </w:p>
              </w:tc>
              <w:tc>
                <w:tcPr>
                  <w:tcW w:w="1167" w:type="pct"/>
                </w:tcPr>
                <w:p w14:paraId="397BA399" w14:textId="77777777" w:rsidR="00534098" w:rsidRDefault="00534098" w:rsidP="007A39EB">
                  <w:pPr>
                    <w:pStyle w:val="TableBodyText"/>
                    <w:jc w:val="left"/>
                  </w:pPr>
                  <w:r w:rsidRPr="003E2EB4">
                    <w:t>Agriculture, Forestry and Fishing</w:t>
                  </w:r>
                </w:p>
              </w:tc>
              <w:tc>
                <w:tcPr>
                  <w:tcW w:w="500" w:type="pct"/>
                </w:tcPr>
                <w:p w14:paraId="573FEF0F" w14:textId="77777777" w:rsidR="00534098" w:rsidRDefault="00534098" w:rsidP="007A39EB">
                  <w:pPr>
                    <w:pStyle w:val="TableBodyText"/>
                  </w:pPr>
                  <w:r w:rsidRPr="00D80F99">
                    <w:t>44</w:t>
                  </w:r>
                </w:p>
              </w:tc>
              <w:tc>
                <w:tcPr>
                  <w:tcW w:w="500" w:type="pct"/>
                </w:tcPr>
                <w:p w14:paraId="4AC3016B" w14:textId="77777777" w:rsidR="00534098" w:rsidRDefault="00534098" w:rsidP="007A39EB">
                  <w:pPr>
                    <w:pStyle w:val="TableBodyText"/>
                  </w:pPr>
                  <w:r w:rsidRPr="00D80F99">
                    <w:t>101</w:t>
                  </w:r>
                </w:p>
              </w:tc>
              <w:tc>
                <w:tcPr>
                  <w:tcW w:w="501" w:type="pct"/>
                </w:tcPr>
                <w:p w14:paraId="361A4016" w14:textId="77777777" w:rsidR="00534098" w:rsidRDefault="00534098" w:rsidP="007A39EB">
                  <w:pPr>
                    <w:pStyle w:val="TableBodyText"/>
                  </w:pPr>
                  <w:r w:rsidRPr="00D80F99">
                    <w:t>56</w:t>
                  </w:r>
                </w:p>
              </w:tc>
              <w:tc>
                <w:tcPr>
                  <w:tcW w:w="499" w:type="pct"/>
                </w:tcPr>
                <w:p w14:paraId="28195A25" w14:textId="77777777" w:rsidR="00534098" w:rsidRDefault="00534098" w:rsidP="007A39EB">
                  <w:pPr>
                    <w:pStyle w:val="TableBodyText"/>
                    <w:ind w:right="28"/>
                  </w:pPr>
                  <w:r w:rsidRPr="00D80F99">
                    <w:t>88</w:t>
                  </w:r>
                </w:p>
              </w:tc>
            </w:tr>
            <w:tr w:rsidR="00534098" w14:paraId="2A4AF014" w14:textId="77777777" w:rsidTr="007A39EB">
              <w:tc>
                <w:tcPr>
                  <w:tcW w:w="1833" w:type="pct"/>
                </w:tcPr>
                <w:p w14:paraId="01F63B2C" w14:textId="77777777" w:rsidR="00534098" w:rsidRDefault="00534098" w:rsidP="007A39EB">
                  <w:pPr>
                    <w:pStyle w:val="TableBodyText"/>
                    <w:jc w:val="left"/>
                  </w:pPr>
                  <w:r w:rsidRPr="003E2EB4">
                    <w:t>Fishing, Hunting and Trapping</w:t>
                  </w:r>
                </w:p>
              </w:tc>
              <w:tc>
                <w:tcPr>
                  <w:tcW w:w="1167" w:type="pct"/>
                </w:tcPr>
                <w:p w14:paraId="5E48C134" w14:textId="77777777" w:rsidR="00534098" w:rsidRDefault="00534098" w:rsidP="007A39EB">
                  <w:pPr>
                    <w:pStyle w:val="TableBodyText"/>
                    <w:jc w:val="left"/>
                  </w:pPr>
                  <w:r w:rsidRPr="003E2EB4">
                    <w:t>Agriculture, Forestry and Fishing</w:t>
                  </w:r>
                </w:p>
              </w:tc>
              <w:tc>
                <w:tcPr>
                  <w:tcW w:w="500" w:type="pct"/>
                </w:tcPr>
                <w:p w14:paraId="2828C6E7" w14:textId="77777777" w:rsidR="00534098" w:rsidRDefault="00534098" w:rsidP="007A39EB">
                  <w:pPr>
                    <w:pStyle w:val="TableBodyText"/>
                  </w:pPr>
                  <w:r w:rsidRPr="00D80F99">
                    <w:t>101</w:t>
                  </w:r>
                </w:p>
              </w:tc>
              <w:tc>
                <w:tcPr>
                  <w:tcW w:w="500" w:type="pct"/>
                </w:tcPr>
                <w:p w14:paraId="3F6362AF" w14:textId="77777777" w:rsidR="00534098" w:rsidRDefault="00534098" w:rsidP="007A39EB">
                  <w:pPr>
                    <w:pStyle w:val="TableBodyText"/>
                  </w:pPr>
                  <w:r w:rsidRPr="00D80F99">
                    <w:t>106</w:t>
                  </w:r>
                </w:p>
              </w:tc>
              <w:tc>
                <w:tcPr>
                  <w:tcW w:w="501" w:type="pct"/>
                </w:tcPr>
                <w:p w14:paraId="62CDBA73" w14:textId="77777777" w:rsidR="00534098" w:rsidRDefault="00534098" w:rsidP="007A39EB">
                  <w:pPr>
                    <w:pStyle w:val="TableBodyText"/>
                  </w:pPr>
                  <w:r w:rsidRPr="00D80F99">
                    <w:t>136</w:t>
                  </w:r>
                </w:p>
              </w:tc>
              <w:tc>
                <w:tcPr>
                  <w:tcW w:w="499" w:type="pct"/>
                </w:tcPr>
                <w:p w14:paraId="0976B6AE" w14:textId="77777777" w:rsidR="00534098" w:rsidRDefault="00534098" w:rsidP="007A39EB">
                  <w:pPr>
                    <w:pStyle w:val="TableBodyText"/>
                    <w:ind w:right="28"/>
                  </w:pPr>
                  <w:r w:rsidRPr="00D80F99">
                    <w:t>101</w:t>
                  </w:r>
                </w:p>
              </w:tc>
            </w:tr>
            <w:tr w:rsidR="00534098" w14:paraId="07F5EC29" w14:textId="77777777" w:rsidTr="007A39EB">
              <w:tc>
                <w:tcPr>
                  <w:tcW w:w="1833" w:type="pct"/>
                </w:tcPr>
                <w:p w14:paraId="17E8F1F4" w14:textId="77777777" w:rsidR="00534098" w:rsidRDefault="00534098" w:rsidP="007A39EB">
                  <w:pPr>
                    <w:pStyle w:val="TableBodyText"/>
                    <w:jc w:val="left"/>
                  </w:pPr>
                  <w:r w:rsidRPr="003E2EB4">
                    <w:t>Agriculture, Forestry and Fishing Support Services</w:t>
                  </w:r>
                </w:p>
              </w:tc>
              <w:tc>
                <w:tcPr>
                  <w:tcW w:w="1167" w:type="pct"/>
                </w:tcPr>
                <w:p w14:paraId="5E96EA71" w14:textId="77777777" w:rsidR="00534098" w:rsidRDefault="00534098" w:rsidP="007A39EB">
                  <w:pPr>
                    <w:pStyle w:val="TableBodyText"/>
                    <w:jc w:val="left"/>
                  </w:pPr>
                  <w:r w:rsidRPr="003E2EB4">
                    <w:t>Agriculture, Forestry and Fishing</w:t>
                  </w:r>
                </w:p>
              </w:tc>
              <w:tc>
                <w:tcPr>
                  <w:tcW w:w="500" w:type="pct"/>
                </w:tcPr>
                <w:p w14:paraId="5EACD1DB" w14:textId="77777777" w:rsidR="00534098" w:rsidRDefault="00534098" w:rsidP="007A39EB">
                  <w:pPr>
                    <w:pStyle w:val="TableBodyText"/>
                  </w:pPr>
                  <w:r w:rsidRPr="00D80F99">
                    <w:t>109</w:t>
                  </w:r>
                </w:p>
              </w:tc>
              <w:tc>
                <w:tcPr>
                  <w:tcW w:w="500" w:type="pct"/>
                </w:tcPr>
                <w:p w14:paraId="26FBB279" w14:textId="77777777" w:rsidR="00534098" w:rsidRDefault="00534098" w:rsidP="007A39EB">
                  <w:pPr>
                    <w:pStyle w:val="TableBodyText"/>
                  </w:pPr>
                  <w:r w:rsidRPr="00D80F99">
                    <w:t>92</w:t>
                  </w:r>
                </w:p>
              </w:tc>
              <w:tc>
                <w:tcPr>
                  <w:tcW w:w="501" w:type="pct"/>
                </w:tcPr>
                <w:p w14:paraId="20FAA5B9" w14:textId="77777777" w:rsidR="00534098" w:rsidRDefault="00534098" w:rsidP="007A39EB">
                  <w:pPr>
                    <w:pStyle w:val="TableBodyText"/>
                  </w:pPr>
                  <w:r w:rsidRPr="00D80F99">
                    <w:t>84</w:t>
                  </w:r>
                </w:p>
              </w:tc>
              <w:tc>
                <w:tcPr>
                  <w:tcW w:w="499" w:type="pct"/>
                </w:tcPr>
                <w:p w14:paraId="4AB474E9" w14:textId="77777777" w:rsidR="00534098" w:rsidRDefault="00534098" w:rsidP="007A39EB">
                  <w:pPr>
                    <w:pStyle w:val="TableBodyText"/>
                    <w:ind w:right="28"/>
                  </w:pPr>
                  <w:r w:rsidRPr="00D80F99">
                    <w:t>117</w:t>
                  </w:r>
                </w:p>
              </w:tc>
            </w:tr>
            <w:tr w:rsidR="00534098" w14:paraId="161E23DF" w14:textId="77777777" w:rsidTr="007A39EB">
              <w:tc>
                <w:tcPr>
                  <w:tcW w:w="1833" w:type="pct"/>
                </w:tcPr>
                <w:p w14:paraId="00718863" w14:textId="77777777" w:rsidR="00534098" w:rsidRDefault="00534098" w:rsidP="007A39EB">
                  <w:pPr>
                    <w:pStyle w:val="TableBodyText"/>
                    <w:jc w:val="left"/>
                  </w:pPr>
                  <w:r w:rsidRPr="003E2EB4">
                    <w:t>Coal Mining</w:t>
                  </w:r>
                </w:p>
              </w:tc>
              <w:tc>
                <w:tcPr>
                  <w:tcW w:w="1167" w:type="pct"/>
                </w:tcPr>
                <w:p w14:paraId="1E89E6E1" w14:textId="77777777" w:rsidR="00534098" w:rsidRDefault="00534098" w:rsidP="007A39EB">
                  <w:pPr>
                    <w:pStyle w:val="TableBodyText"/>
                    <w:jc w:val="left"/>
                  </w:pPr>
                  <w:r w:rsidRPr="003E2EB4">
                    <w:t>Mining</w:t>
                  </w:r>
                </w:p>
              </w:tc>
              <w:tc>
                <w:tcPr>
                  <w:tcW w:w="500" w:type="pct"/>
                </w:tcPr>
                <w:p w14:paraId="2B6AFFF6" w14:textId="77777777" w:rsidR="00534098" w:rsidRDefault="00534098" w:rsidP="007A39EB">
                  <w:pPr>
                    <w:pStyle w:val="TableBodyText"/>
                  </w:pPr>
                  <w:r w:rsidRPr="00D80F99">
                    <w:t>122</w:t>
                  </w:r>
                </w:p>
              </w:tc>
              <w:tc>
                <w:tcPr>
                  <w:tcW w:w="500" w:type="pct"/>
                </w:tcPr>
                <w:p w14:paraId="42EA4484" w14:textId="77777777" w:rsidR="00534098" w:rsidRDefault="00534098" w:rsidP="007A39EB">
                  <w:pPr>
                    <w:pStyle w:val="TableBodyText"/>
                  </w:pPr>
                  <w:r w:rsidRPr="00D80F99">
                    <w:t>115</w:t>
                  </w:r>
                </w:p>
              </w:tc>
              <w:tc>
                <w:tcPr>
                  <w:tcW w:w="501" w:type="pct"/>
                </w:tcPr>
                <w:p w14:paraId="30534A5E" w14:textId="77777777" w:rsidR="00534098" w:rsidRDefault="00534098" w:rsidP="007A39EB">
                  <w:pPr>
                    <w:pStyle w:val="TableBodyText"/>
                  </w:pPr>
                  <w:r w:rsidRPr="00D80F99">
                    <w:t>143</w:t>
                  </w:r>
                </w:p>
              </w:tc>
              <w:tc>
                <w:tcPr>
                  <w:tcW w:w="499" w:type="pct"/>
                </w:tcPr>
                <w:p w14:paraId="0658C22E" w14:textId="77777777" w:rsidR="00534098" w:rsidRDefault="00534098" w:rsidP="007A39EB">
                  <w:pPr>
                    <w:pStyle w:val="TableBodyText"/>
                    <w:ind w:right="28"/>
                  </w:pPr>
                  <w:r w:rsidRPr="00D80F99">
                    <w:t>113</w:t>
                  </w:r>
                </w:p>
              </w:tc>
            </w:tr>
            <w:tr w:rsidR="00534098" w14:paraId="6C77E531" w14:textId="77777777" w:rsidTr="007A39EB">
              <w:tc>
                <w:tcPr>
                  <w:tcW w:w="1833" w:type="pct"/>
                </w:tcPr>
                <w:p w14:paraId="1D52EE97" w14:textId="77777777" w:rsidR="00534098" w:rsidRDefault="00534098" w:rsidP="007A39EB">
                  <w:pPr>
                    <w:pStyle w:val="TableBodyText"/>
                    <w:jc w:val="left"/>
                  </w:pPr>
                  <w:r w:rsidRPr="003E2EB4">
                    <w:t>Oil and Gas Extraction</w:t>
                  </w:r>
                </w:p>
              </w:tc>
              <w:tc>
                <w:tcPr>
                  <w:tcW w:w="1167" w:type="pct"/>
                </w:tcPr>
                <w:p w14:paraId="1197E2C3" w14:textId="77777777" w:rsidR="00534098" w:rsidRDefault="00534098" w:rsidP="007A39EB">
                  <w:pPr>
                    <w:pStyle w:val="TableBodyText"/>
                    <w:jc w:val="left"/>
                  </w:pPr>
                  <w:r w:rsidRPr="003E2EB4">
                    <w:t>Mining</w:t>
                  </w:r>
                </w:p>
              </w:tc>
              <w:tc>
                <w:tcPr>
                  <w:tcW w:w="500" w:type="pct"/>
                </w:tcPr>
                <w:p w14:paraId="0AE30665" w14:textId="77777777" w:rsidR="00534098" w:rsidRDefault="00534098" w:rsidP="007A39EB">
                  <w:pPr>
                    <w:pStyle w:val="TableBodyText"/>
                  </w:pPr>
                  <w:r w:rsidRPr="00D80F99">
                    <w:t>68</w:t>
                  </w:r>
                </w:p>
              </w:tc>
              <w:tc>
                <w:tcPr>
                  <w:tcW w:w="500" w:type="pct"/>
                </w:tcPr>
                <w:p w14:paraId="427902F8" w14:textId="77777777" w:rsidR="00534098" w:rsidRDefault="00534098" w:rsidP="007A39EB">
                  <w:pPr>
                    <w:pStyle w:val="TableBodyText"/>
                  </w:pPr>
                  <w:r w:rsidRPr="00D80F99">
                    <w:t>60</w:t>
                  </w:r>
                </w:p>
              </w:tc>
              <w:tc>
                <w:tcPr>
                  <w:tcW w:w="501" w:type="pct"/>
                </w:tcPr>
                <w:p w14:paraId="3773B95D" w14:textId="77777777" w:rsidR="00534098" w:rsidRDefault="00534098" w:rsidP="007A39EB">
                  <w:pPr>
                    <w:pStyle w:val="TableBodyText"/>
                  </w:pPr>
                  <w:r w:rsidRPr="00D80F99">
                    <w:t>108</w:t>
                  </w:r>
                </w:p>
              </w:tc>
              <w:tc>
                <w:tcPr>
                  <w:tcW w:w="499" w:type="pct"/>
                </w:tcPr>
                <w:p w14:paraId="6D9AF362" w14:textId="77777777" w:rsidR="00534098" w:rsidRDefault="00534098" w:rsidP="007A39EB">
                  <w:pPr>
                    <w:pStyle w:val="TableBodyText"/>
                    <w:ind w:right="28"/>
                  </w:pPr>
                  <w:r w:rsidRPr="00D80F99">
                    <w:t>60</w:t>
                  </w:r>
                </w:p>
              </w:tc>
            </w:tr>
            <w:tr w:rsidR="00534098" w14:paraId="3FC2EF5D" w14:textId="77777777" w:rsidTr="007A39EB">
              <w:tc>
                <w:tcPr>
                  <w:tcW w:w="1833" w:type="pct"/>
                </w:tcPr>
                <w:p w14:paraId="4EA08CE6" w14:textId="77777777" w:rsidR="00534098" w:rsidRDefault="00534098" w:rsidP="007A39EB">
                  <w:pPr>
                    <w:pStyle w:val="TableBodyText"/>
                    <w:jc w:val="left"/>
                  </w:pPr>
                  <w:r w:rsidRPr="003E2EB4">
                    <w:t>Metal Ore Mining</w:t>
                  </w:r>
                </w:p>
              </w:tc>
              <w:tc>
                <w:tcPr>
                  <w:tcW w:w="1167" w:type="pct"/>
                </w:tcPr>
                <w:p w14:paraId="004A3664" w14:textId="77777777" w:rsidR="00534098" w:rsidRDefault="00534098" w:rsidP="007A39EB">
                  <w:pPr>
                    <w:pStyle w:val="TableBodyText"/>
                    <w:jc w:val="left"/>
                  </w:pPr>
                  <w:r w:rsidRPr="003E2EB4">
                    <w:t>Mining</w:t>
                  </w:r>
                </w:p>
              </w:tc>
              <w:tc>
                <w:tcPr>
                  <w:tcW w:w="500" w:type="pct"/>
                </w:tcPr>
                <w:p w14:paraId="3A153DD8" w14:textId="77777777" w:rsidR="00534098" w:rsidRDefault="00534098" w:rsidP="007A39EB">
                  <w:pPr>
                    <w:pStyle w:val="TableBodyText"/>
                  </w:pPr>
                  <w:r w:rsidRPr="00D80F99">
                    <w:t>92</w:t>
                  </w:r>
                </w:p>
              </w:tc>
              <w:tc>
                <w:tcPr>
                  <w:tcW w:w="500" w:type="pct"/>
                </w:tcPr>
                <w:p w14:paraId="5BF2650E" w14:textId="77777777" w:rsidR="00534098" w:rsidRDefault="00534098" w:rsidP="007A39EB">
                  <w:pPr>
                    <w:pStyle w:val="TableBodyText"/>
                  </w:pPr>
                  <w:r w:rsidRPr="00D80F99">
                    <w:t>98</w:t>
                  </w:r>
                </w:p>
              </w:tc>
              <w:tc>
                <w:tcPr>
                  <w:tcW w:w="501" w:type="pct"/>
                </w:tcPr>
                <w:p w14:paraId="7D1BAD4A" w14:textId="77777777" w:rsidR="00534098" w:rsidRDefault="00534098" w:rsidP="007A39EB">
                  <w:pPr>
                    <w:pStyle w:val="TableBodyText"/>
                  </w:pPr>
                  <w:r w:rsidRPr="00D80F99">
                    <w:t>94</w:t>
                  </w:r>
                </w:p>
              </w:tc>
              <w:tc>
                <w:tcPr>
                  <w:tcW w:w="499" w:type="pct"/>
                </w:tcPr>
                <w:p w14:paraId="29D3DC9B" w14:textId="77777777" w:rsidR="00534098" w:rsidRDefault="00534098" w:rsidP="007A39EB">
                  <w:pPr>
                    <w:pStyle w:val="TableBodyText"/>
                    <w:ind w:right="28"/>
                  </w:pPr>
                  <w:r w:rsidRPr="00D80F99">
                    <w:t>105</w:t>
                  </w:r>
                </w:p>
              </w:tc>
            </w:tr>
            <w:tr w:rsidR="00534098" w14:paraId="2B8CE596" w14:textId="77777777" w:rsidTr="007A39EB">
              <w:tc>
                <w:tcPr>
                  <w:tcW w:w="1833" w:type="pct"/>
                </w:tcPr>
                <w:p w14:paraId="3465A072" w14:textId="77777777" w:rsidR="00534098" w:rsidRDefault="00534098" w:rsidP="007A39EB">
                  <w:pPr>
                    <w:pStyle w:val="TableBodyText"/>
                    <w:jc w:val="left"/>
                  </w:pPr>
                  <w:r w:rsidRPr="003E2EB4">
                    <w:t>Non</w:t>
                  </w:r>
                  <w:r>
                    <w:noBreakHyphen/>
                  </w:r>
                  <w:r w:rsidRPr="003E2EB4">
                    <w:t>Metallic Mineral Mining and Quarrying</w:t>
                  </w:r>
                </w:p>
              </w:tc>
              <w:tc>
                <w:tcPr>
                  <w:tcW w:w="1167" w:type="pct"/>
                </w:tcPr>
                <w:p w14:paraId="39C91134" w14:textId="77777777" w:rsidR="00534098" w:rsidRDefault="00534098" w:rsidP="007A39EB">
                  <w:pPr>
                    <w:pStyle w:val="TableBodyText"/>
                    <w:jc w:val="left"/>
                  </w:pPr>
                  <w:r w:rsidRPr="003E2EB4">
                    <w:t>Mining</w:t>
                  </w:r>
                </w:p>
              </w:tc>
              <w:tc>
                <w:tcPr>
                  <w:tcW w:w="500" w:type="pct"/>
                </w:tcPr>
                <w:p w14:paraId="71A5BEEC" w14:textId="77777777" w:rsidR="00534098" w:rsidRDefault="00534098" w:rsidP="007A39EB">
                  <w:pPr>
                    <w:pStyle w:val="TableBodyText"/>
                  </w:pPr>
                  <w:r w:rsidRPr="00D80F99">
                    <w:t>63</w:t>
                  </w:r>
                </w:p>
              </w:tc>
              <w:tc>
                <w:tcPr>
                  <w:tcW w:w="500" w:type="pct"/>
                </w:tcPr>
                <w:p w14:paraId="7E9A4510" w14:textId="77777777" w:rsidR="00534098" w:rsidRDefault="00534098" w:rsidP="007A39EB">
                  <w:pPr>
                    <w:pStyle w:val="TableBodyText"/>
                  </w:pPr>
                  <w:r w:rsidRPr="00D80F99">
                    <w:t>91</w:t>
                  </w:r>
                </w:p>
              </w:tc>
              <w:tc>
                <w:tcPr>
                  <w:tcW w:w="501" w:type="pct"/>
                </w:tcPr>
                <w:p w14:paraId="7F587537" w14:textId="77777777" w:rsidR="00534098" w:rsidRDefault="00534098" w:rsidP="007A39EB">
                  <w:pPr>
                    <w:pStyle w:val="TableBodyText"/>
                  </w:pPr>
                  <w:r w:rsidRPr="00D80F99">
                    <w:t>89</w:t>
                  </w:r>
                </w:p>
              </w:tc>
              <w:tc>
                <w:tcPr>
                  <w:tcW w:w="499" w:type="pct"/>
                </w:tcPr>
                <w:p w14:paraId="7F95A94D" w14:textId="77777777" w:rsidR="00534098" w:rsidRDefault="00534098" w:rsidP="007A39EB">
                  <w:pPr>
                    <w:pStyle w:val="TableBodyText"/>
                    <w:ind w:right="28"/>
                  </w:pPr>
                  <w:r w:rsidRPr="00D80F99">
                    <w:t>97</w:t>
                  </w:r>
                </w:p>
              </w:tc>
            </w:tr>
            <w:tr w:rsidR="00534098" w14:paraId="290CF93F" w14:textId="77777777" w:rsidTr="007A39EB">
              <w:tc>
                <w:tcPr>
                  <w:tcW w:w="1833" w:type="pct"/>
                  <w:shd w:val="clear" w:color="auto" w:fill="auto"/>
                </w:tcPr>
                <w:p w14:paraId="575073A6" w14:textId="77777777" w:rsidR="00534098" w:rsidRDefault="00534098" w:rsidP="007A39EB">
                  <w:pPr>
                    <w:pStyle w:val="TableBodyText"/>
                    <w:jc w:val="left"/>
                  </w:pPr>
                  <w:r w:rsidRPr="003E2EB4">
                    <w:t>Exploration and Other Mining Support Services</w:t>
                  </w:r>
                </w:p>
              </w:tc>
              <w:tc>
                <w:tcPr>
                  <w:tcW w:w="1167" w:type="pct"/>
                </w:tcPr>
                <w:p w14:paraId="44717E12" w14:textId="77777777" w:rsidR="00534098" w:rsidRDefault="00534098" w:rsidP="007A39EB">
                  <w:pPr>
                    <w:pStyle w:val="TableBodyText"/>
                    <w:jc w:val="left"/>
                  </w:pPr>
                  <w:r w:rsidRPr="003E2EB4">
                    <w:t>Mining</w:t>
                  </w:r>
                </w:p>
              </w:tc>
              <w:tc>
                <w:tcPr>
                  <w:tcW w:w="500" w:type="pct"/>
                </w:tcPr>
                <w:p w14:paraId="50FE5F6A" w14:textId="77777777" w:rsidR="00534098" w:rsidRDefault="00534098" w:rsidP="007A39EB">
                  <w:pPr>
                    <w:pStyle w:val="TableBodyText"/>
                  </w:pPr>
                  <w:r w:rsidRPr="00D80F99">
                    <w:t>105</w:t>
                  </w:r>
                </w:p>
              </w:tc>
              <w:tc>
                <w:tcPr>
                  <w:tcW w:w="500" w:type="pct"/>
                </w:tcPr>
                <w:p w14:paraId="499F4E68" w14:textId="77777777" w:rsidR="00534098" w:rsidRDefault="00534098" w:rsidP="007A39EB">
                  <w:pPr>
                    <w:pStyle w:val="TableBodyText"/>
                  </w:pPr>
                  <w:r w:rsidRPr="00D80F99">
                    <w:t>120</w:t>
                  </w:r>
                </w:p>
              </w:tc>
              <w:tc>
                <w:tcPr>
                  <w:tcW w:w="501" w:type="pct"/>
                  <w:shd w:val="clear" w:color="auto" w:fill="auto"/>
                </w:tcPr>
                <w:p w14:paraId="7F8FD101" w14:textId="77777777" w:rsidR="00534098" w:rsidRDefault="00534098" w:rsidP="007A39EB">
                  <w:pPr>
                    <w:pStyle w:val="TableBodyText"/>
                  </w:pPr>
                  <w:r w:rsidRPr="00D80F99">
                    <w:t>127</w:t>
                  </w:r>
                </w:p>
              </w:tc>
              <w:tc>
                <w:tcPr>
                  <w:tcW w:w="499" w:type="pct"/>
                  <w:shd w:val="clear" w:color="auto" w:fill="auto"/>
                </w:tcPr>
                <w:p w14:paraId="4B5222C7" w14:textId="77777777" w:rsidR="00534098" w:rsidRDefault="00534098" w:rsidP="007A39EB">
                  <w:pPr>
                    <w:pStyle w:val="TableBodyText"/>
                    <w:ind w:right="28"/>
                  </w:pPr>
                  <w:r w:rsidRPr="00D80F99">
                    <w:t>127</w:t>
                  </w:r>
                </w:p>
              </w:tc>
            </w:tr>
            <w:tr w:rsidR="00534098" w14:paraId="5801B4A9" w14:textId="77777777" w:rsidTr="007A39EB">
              <w:tc>
                <w:tcPr>
                  <w:tcW w:w="1833" w:type="pct"/>
                  <w:shd w:val="clear" w:color="auto" w:fill="auto"/>
                </w:tcPr>
                <w:p w14:paraId="71C2AE44" w14:textId="77777777" w:rsidR="00534098" w:rsidRDefault="00534098" w:rsidP="007A39EB">
                  <w:pPr>
                    <w:pStyle w:val="TableBodyText"/>
                    <w:jc w:val="left"/>
                  </w:pPr>
                  <w:r w:rsidRPr="003E2EB4">
                    <w:t>Food Product Manufacturing</w:t>
                  </w:r>
                </w:p>
              </w:tc>
              <w:tc>
                <w:tcPr>
                  <w:tcW w:w="1167" w:type="pct"/>
                </w:tcPr>
                <w:p w14:paraId="54A45260" w14:textId="77777777" w:rsidR="00534098" w:rsidRDefault="00534098" w:rsidP="007A39EB">
                  <w:pPr>
                    <w:pStyle w:val="TableBodyText"/>
                    <w:jc w:val="left"/>
                  </w:pPr>
                  <w:r w:rsidRPr="003E2EB4">
                    <w:t>Manufacturing</w:t>
                  </w:r>
                </w:p>
              </w:tc>
              <w:tc>
                <w:tcPr>
                  <w:tcW w:w="500" w:type="pct"/>
                </w:tcPr>
                <w:p w14:paraId="3EF90777" w14:textId="77777777" w:rsidR="00534098" w:rsidRDefault="00534098" w:rsidP="007A39EB">
                  <w:pPr>
                    <w:pStyle w:val="TableBodyText"/>
                  </w:pPr>
                  <w:r w:rsidRPr="00D80F99">
                    <w:t>78</w:t>
                  </w:r>
                </w:p>
              </w:tc>
              <w:tc>
                <w:tcPr>
                  <w:tcW w:w="500" w:type="pct"/>
                </w:tcPr>
                <w:p w14:paraId="72A02ADB" w14:textId="77777777" w:rsidR="00534098" w:rsidRDefault="00534098" w:rsidP="007A39EB">
                  <w:pPr>
                    <w:pStyle w:val="TableBodyText"/>
                  </w:pPr>
                  <w:r w:rsidRPr="00D80F99">
                    <w:t>77</w:t>
                  </w:r>
                </w:p>
              </w:tc>
              <w:tc>
                <w:tcPr>
                  <w:tcW w:w="501" w:type="pct"/>
                  <w:shd w:val="clear" w:color="auto" w:fill="auto"/>
                </w:tcPr>
                <w:p w14:paraId="05991078" w14:textId="77777777" w:rsidR="00534098" w:rsidRDefault="00534098" w:rsidP="007A39EB">
                  <w:pPr>
                    <w:pStyle w:val="TableBodyText"/>
                  </w:pPr>
                  <w:r w:rsidRPr="00D80F99">
                    <w:t>84</w:t>
                  </w:r>
                </w:p>
              </w:tc>
              <w:tc>
                <w:tcPr>
                  <w:tcW w:w="499" w:type="pct"/>
                  <w:shd w:val="clear" w:color="auto" w:fill="auto"/>
                </w:tcPr>
                <w:p w14:paraId="5C197747" w14:textId="77777777" w:rsidR="00534098" w:rsidRDefault="00534098" w:rsidP="007A39EB">
                  <w:pPr>
                    <w:pStyle w:val="TableBodyText"/>
                    <w:ind w:right="28"/>
                  </w:pPr>
                  <w:r w:rsidRPr="00D80F99">
                    <w:t>88</w:t>
                  </w:r>
                </w:p>
              </w:tc>
            </w:tr>
            <w:tr w:rsidR="00534098" w14:paraId="2F5C578E" w14:textId="77777777" w:rsidTr="007A39EB">
              <w:tc>
                <w:tcPr>
                  <w:tcW w:w="1833" w:type="pct"/>
                  <w:shd w:val="clear" w:color="auto" w:fill="auto"/>
                </w:tcPr>
                <w:p w14:paraId="547C9760" w14:textId="77777777" w:rsidR="00534098" w:rsidRDefault="00534098" w:rsidP="007A39EB">
                  <w:pPr>
                    <w:pStyle w:val="TableBodyText"/>
                    <w:jc w:val="left"/>
                  </w:pPr>
                  <w:r w:rsidRPr="003E2EB4">
                    <w:t>Beverage and Tobacco Product Manufacturing</w:t>
                  </w:r>
                </w:p>
              </w:tc>
              <w:tc>
                <w:tcPr>
                  <w:tcW w:w="1167" w:type="pct"/>
                </w:tcPr>
                <w:p w14:paraId="4AC831DD" w14:textId="77777777" w:rsidR="00534098" w:rsidRDefault="00534098" w:rsidP="007A39EB">
                  <w:pPr>
                    <w:pStyle w:val="TableBodyText"/>
                    <w:jc w:val="left"/>
                  </w:pPr>
                  <w:r w:rsidRPr="003E2EB4">
                    <w:t>Manufacturing</w:t>
                  </w:r>
                </w:p>
              </w:tc>
              <w:tc>
                <w:tcPr>
                  <w:tcW w:w="500" w:type="pct"/>
                </w:tcPr>
                <w:p w14:paraId="7D2DCC04" w14:textId="77777777" w:rsidR="00534098" w:rsidRDefault="00534098" w:rsidP="007A39EB">
                  <w:pPr>
                    <w:pStyle w:val="TableBodyText"/>
                  </w:pPr>
                  <w:r w:rsidRPr="00D80F99">
                    <w:t>92</w:t>
                  </w:r>
                </w:p>
              </w:tc>
              <w:tc>
                <w:tcPr>
                  <w:tcW w:w="500" w:type="pct"/>
                </w:tcPr>
                <w:p w14:paraId="60F8A266" w14:textId="77777777" w:rsidR="00534098" w:rsidRDefault="00534098" w:rsidP="007A39EB">
                  <w:pPr>
                    <w:pStyle w:val="TableBodyText"/>
                  </w:pPr>
                  <w:r w:rsidRPr="00D80F99">
                    <w:t>91</w:t>
                  </w:r>
                </w:p>
              </w:tc>
              <w:tc>
                <w:tcPr>
                  <w:tcW w:w="501" w:type="pct"/>
                  <w:shd w:val="clear" w:color="auto" w:fill="auto"/>
                </w:tcPr>
                <w:p w14:paraId="3D7B0117" w14:textId="77777777" w:rsidR="00534098" w:rsidRDefault="00534098" w:rsidP="007A39EB">
                  <w:pPr>
                    <w:pStyle w:val="TableBodyText"/>
                  </w:pPr>
                  <w:r w:rsidRPr="00D80F99">
                    <w:t>95</w:t>
                  </w:r>
                </w:p>
              </w:tc>
              <w:tc>
                <w:tcPr>
                  <w:tcW w:w="499" w:type="pct"/>
                  <w:shd w:val="clear" w:color="auto" w:fill="auto"/>
                </w:tcPr>
                <w:p w14:paraId="32E5A79F" w14:textId="77777777" w:rsidR="00534098" w:rsidRDefault="00534098" w:rsidP="007A39EB">
                  <w:pPr>
                    <w:pStyle w:val="TableBodyText"/>
                    <w:ind w:right="28"/>
                  </w:pPr>
                  <w:r w:rsidRPr="00D80F99">
                    <w:t>110</w:t>
                  </w:r>
                </w:p>
              </w:tc>
            </w:tr>
            <w:tr w:rsidR="00534098" w14:paraId="0645ED02" w14:textId="77777777" w:rsidTr="007A39EB">
              <w:tc>
                <w:tcPr>
                  <w:tcW w:w="1833" w:type="pct"/>
                  <w:shd w:val="clear" w:color="auto" w:fill="auto"/>
                </w:tcPr>
                <w:p w14:paraId="04979F6F" w14:textId="77777777" w:rsidR="00534098" w:rsidRPr="003E2EB4" w:rsidRDefault="00534098" w:rsidP="007A39EB">
                  <w:pPr>
                    <w:pStyle w:val="TableBodyText"/>
                    <w:jc w:val="left"/>
                  </w:pPr>
                  <w:r w:rsidRPr="00880615">
                    <w:t>Textile, Leather, Clothing and Footwear Manufacturing</w:t>
                  </w:r>
                </w:p>
              </w:tc>
              <w:tc>
                <w:tcPr>
                  <w:tcW w:w="1167" w:type="pct"/>
                </w:tcPr>
                <w:p w14:paraId="47CC0552" w14:textId="77777777" w:rsidR="00534098" w:rsidRPr="003E2EB4" w:rsidRDefault="00534098" w:rsidP="007A39EB">
                  <w:pPr>
                    <w:pStyle w:val="TableBodyText"/>
                    <w:jc w:val="left"/>
                  </w:pPr>
                  <w:r w:rsidRPr="00880615">
                    <w:t>Manufacturing</w:t>
                  </w:r>
                </w:p>
              </w:tc>
              <w:tc>
                <w:tcPr>
                  <w:tcW w:w="500" w:type="pct"/>
                </w:tcPr>
                <w:p w14:paraId="78F4E3C4" w14:textId="77777777" w:rsidR="00534098" w:rsidRDefault="00534098" w:rsidP="007A39EB">
                  <w:pPr>
                    <w:pStyle w:val="TableBodyText"/>
                  </w:pPr>
                  <w:r w:rsidRPr="00D80F99">
                    <w:t>91</w:t>
                  </w:r>
                </w:p>
              </w:tc>
              <w:tc>
                <w:tcPr>
                  <w:tcW w:w="500" w:type="pct"/>
                </w:tcPr>
                <w:p w14:paraId="65D2D342" w14:textId="77777777" w:rsidR="00534098" w:rsidRDefault="00534098" w:rsidP="007A39EB">
                  <w:pPr>
                    <w:pStyle w:val="TableBodyText"/>
                  </w:pPr>
                  <w:r w:rsidRPr="00D80F99">
                    <w:t>94</w:t>
                  </w:r>
                </w:p>
              </w:tc>
              <w:tc>
                <w:tcPr>
                  <w:tcW w:w="501" w:type="pct"/>
                  <w:shd w:val="clear" w:color="auto" w:fill="auto"/>
                </w:tcPr>
                <w:p w14:paraId="63FF6AF5" w14:textId="77777777" w:rsidR="00534098" w:rsidRDefault="00534098" w:rsidP="007A39EB">
                  <w:pPr>
                    <w:pStyle w:val="TableBodyText"/>
                  </w:pPr>
                  <w:r w:rsidRPr="00D80F99">
                    <w:t>88</w:t>
                  </w:r>
                </w:p>
              </w:tc>
              <w:tc>
                <w:tcPr>
                  <w:tcW w:w="499" w:type="pct"/>
                  <w:shd w:val="clear" w:color="auto" w:fill="auto"/>
                </w:tcPr>
                <w:p w14:paraId="58B72CFE" w14:textId="77777777" w:rsidR="00534098" w:rsidRDefault="00534098" w:rsidP="007A39EB">
                  <w:pPr>
                    <w:pStyle w:val="TableBodyText"/>
                    <w:ind w:right="28"/>
                  </w:pPr>
                  <w:r w:rsidRPr="00D80F99">
                    <w:t>106</w:t>
                  </w:r>
                </w:p>
              </w:tc>
            </w:tr>
            <w:tr w:rsidR="00534098" w14:paraId="1CD125B6" w14:textId="77777777" w:rsidTr="007A39EB">
              <w:tc>
                <w:tcPr>
                  <w:tcW w:w="1833" w:type="pct"/>
                  <w:shd w:val="clear" w:color="auto" w:fill="auto"/>
                </w:tcPr>
                <w:p w14:paraId="43A22C4F" w14:textId="77777777" w:rsidR="00534098" w:rsidRPr="003E2EB4" w:rsidRDefault="00534098" w:rsidP="007A39EB">
                  <w:pPr>
                    <w:pStyle w:val="TableBodyText"/>
                    <w:jc w:val="left"/>
                  </w:pPr>
                  <w:r w:rsidRPr="00880615">
                    <w:t>Wood Product Manufacturing</w:t>
                  </w:r>
                </w:p>
              </w:tc>
              <w:tc>
                <w:tcPr>
                  <w:tcW w:w="1167" w:type="pct"/>
                </w:tcPr>
                <w:p w14:paraId="3F8AB096" w14:textId="77777777" w:rsidR="00534098" w:rsidRPr="003E2EB4" w:rsidRDefault="00534098" w:rsidP="007A39EB">
                  <w:pPr>
                    <w:pStyle w:val="TableBodyText"/>
                    <w:jc w:val="left"/>
                  </w:pPr>
                  <w:r w:rsidRPr="00880615">
                    <w:t>Manufacturing</w:t>
                  </w:r>
                </w:p>
              </w:tc>
              <w:tc>
                <w:tcPr>
                  <w:tcW w:w="500" w:type="pct"/>
                </w:tcPr>
                <w:p w14:paraId="46A534D2" w14:textId="77777777" w:rsidR="00534098" w:rsidRDefault="00534098" w:rsidP="007A39EB">
                  <w:pPr>
                    <w:pStyle w:val="TableBodyText"/>
                  </w:pPr>
                  <w:r w:rsidRPr="00D80F99">
                    <w:t>100</w:t>
                  </w:r>
                </w:p>
              </w:tc>
              <w:tc>
                <w:tcPr>
                  <w:tcW w:w="500" w:type="pct"/>
                </w:tcPr>
                <w:p w14:paraId="4AE83D52" w14:textId="77777777" w:rsidR="00534098" w:rsidRDefault="00534098" w:rsidP="007A39EB">
                  <w:pPr>
                    <w:pStyle w:val="TableBodyText"/>
                  </w:pPr>
                  <w:r w:rsidRPr="00D80F99">
                    <w:t>100</w:t>
                  </w:r>
                </w:p>
              </w:tc>
              <w:tc>
                <w:tcPr>
                  <w:tcW w:w="501" w:type="pct"/>
                  <w:shd w:val="clear" w:color="auto" w:fill="auto"/>
                </w:tcPr>
                <w:p w14:paraId="4A85553F" w14:textId="77777777" w:rsidR="00534098" w:rsidRDefault="00534098" w:rsidP="007A39EB">
                  <w:pPr>
                    <w:pStyle w:val="TableBodyText"/>
                  </w:pPr>
                  <w:r w:rsidRPr="00D80F99">
                    <w:t>88</w:t>
                  </w:r>
                </w:p>
              </w:tc>
              <w:tc>
                <w:tcPr>
                  <w:tcW w:w="499" w:type="pct"/>
                  <w:shd w:val="clear" w:color="auto" w:fill="auto"/>
                </w:tcPr>
                <w:p w14:paraId="78241F49" w14:textId="77777777" w:rsidR="00534098" w:rsidRDefault="00534098" w:rsidP="007A39EB">
                  <w:pPr>
                    <w:pStyle w:val="TableBodyText"/>
                    <w:ind w:right="28"/>
                  </w:pPr>
                  <w:r w:rsidRPr="00D80F99">
                    <w:t>87</w:t>
                  </w:r>
                </w:p>
              </w:tc>
            </w:tr>
            <w:tr w:rsidR="00534098" w14:paraId="6F1C321C" w14:textId="77777777" w:rsidTr="007A39EB">
              <w:tc>
                <w:tcPr>
                  <w:tcW w:w="1833" w:type="pct"/>
                  <w:shd w:val="clear" w:color="auto" w:fill="auto"/>
                </w:tcPr>
                <w:p w14:paraId="1EA08A11" w14:textId="77777777" w:rsidR="00534098" w:rsidRPr="003E2EB4" w:rsidRDefault="00534098" w:rsidP="007A39EB">
                  <w:pPr>
                    <w:pStyle w:val="TableBodyText"/>
                    <w:jc w:val="left"/>
                  </w:pPr>
                  <w:r w:rsidRPr="00880615">
                    <w:t>Pulp, Paper and Converted Paper Product Manufacturing</w:t>
                  </w:r>
                </w:p>
              </w:tc>
              <w:tc>
                <w:tcPr>
                  <w:tcW w:w="1167" w:type="pct"/>
                </w:tcPr>
                <w:p w14:paraId="0FDD6494" w14:textId="77777777" w:rsidR="00534098" w:rsidRPr="003E2EB4" w:rsidRDefault="00534098" w:rsidP="007A39EB">
                  <w:pPr>
                    <w:pStyle w:val="TableBodyText"/>
                    <w:jc w:val="left"/>
                  </w:pPr>
                  <w:r w:rsidRPr="00880615">
                    <w:t>Manufacturing</w:t>
                  </w:r>
                </w:p>
              </w:tc>
              <w:tc>
                <w:tcPr>
                  <w:tcW w:w="500" w:type="pct"/>
                </w:tcPr>
                <w:p w14:paraId="3B68304C" w14:textId="77777777" w:rsidR="00534098" w:rsidRDefault="00534098" w:rsidP="007A39EB">
                  <w:pPr>
                    <w:pStyle w:val="TableBodyText"/>
                  </w:pPr>
                  <w:r w:rsidRPr="00D80F99">
                    <w:t>97</w:t>
                  </w:r>
                </w:p>
              </w:tc>
              <w:tc>
                <w:tcPr>
                  <w:tcW w:w="500" w:type="pct"/>
                </w:tcPr>
                <w:p w14:paraId="2711A5BC" w14:textId="77777777" w:rsidR="00534098" w:rsidRDefault="00534098" w:rsidP="007A39EB">
                  <w:pPr>
                    <w:pStyle w:val="TableBodyText"/>
                  </w:pPr>
                  <w:r w:rsidRPr="00D80F99">
                    <w:t>107</w:t>
                  </w:r>
                </w:p>
              </w:tc>
              <w:tc>
                <w:tcPr>
                  <w:tcW w:w="501" w:type="pct"/>
                  <w:shd w:val="clear" w:color="auto" w:fill="auto"/>
                </w:tcPr>
                <w:p w14:paraId="6B0FD3C4" w14:textId="77777777" w:rsidR="00534098" w:rsidRDefault="00534098" w:rsidP="007A39EB">
                  <w:pPr>
                    <w:pStyle w:val="TableBodyText"/>
                  </w:pPr>
                  <w:r w:rsidRPr="00D80F99">
                    <w:t>101</w:t>
                  </w:r>
                </w:p>
              </w:tc>
              <w:tc>
                <w:tcPr>
                  <w:tcW w:w="499" w:type="pct"/>
                  <w:shd w:val="clear" w:color="auto" w:fill="auto"/>
                </w:tcPr>
                <w:p w14:paraId="593C086D" w14:textId="77777777" w:rsidR="00534098" w:rsidRDefault="00534098" w:rsidP="007A39EB">
                  <w:pPr>
                    <w:pStyle w:val="TableBodyText"/>
                    <w:ind w:right="28"/>
                  </w:pPr>
                  <w:r w:rsidRPr="00D80F99">
                    <w:t>95</w:t>
                  </w:r>
                </w:p>
              </w:tc>
            </w:tr>
            <w:tr w:rsidR="00534098" w14:paraId="3D12A81B" w14:textId="77777777" w:rsidTr="007A39EB">
              <w:tc>
                <w:tcPr>
                  <w:tcW w:w="1833" w:type="pct"/>
                  <w:shd w:val="clear" w:color="auto" w:fill="auto"/>
                </w:tcPr>
                <w:p w14:paraId="27BB4752" w14:textId="77777777" w:rsidR="00534098" w:rsidRPr="003E2EB4" w:rsidRDefault="00534098" w:rsidP="007A39EB">
                  <w:pPr>
                    <w:pStyle w:val="TableBodyText"/>
                    <w:jc w:val="left"/>
                  </w:pPr>
                  <w:r w:rsidRPr="00880615">
                    <w:t>Printing (including the Reproduction of Recorded Media)</w:t>
                  </w:r>
                </w:p>
              </w:tc>
              <w:tc>
                <w:tcPr>
                  <w:tcW w:w="1167" w:type="pct"/>
                </w:tcPr>
                <w:p w14:paraId="56ABE509" w14:textId="77777777" w:rsidR="00534098" w:rsidRPr="003E2EB4" w:rsidRDefault="00534098" w:rsidP="007A39EB">
                  <w:pPr>
                    <w:pStyle w:val="TableBodyText"/>
                    <w:jc w:val="left"/>
                  </w:pPr>
                  <w:r w:rsidRPr="00880615">
                    <w:t>Manufacturing</w:t>
                  </w:r>
                </w:p>
              </w:tc>
              <w:tc>
                <w:tcPr>
                  <w:tcW w:w="500" w:type="pct"/>
                </w:tcPr>
                <w:p w14:paraId="1B7E78B7" w14:textId="77777777" w:rsidR="00534098" w:rsidRDefault="00534098" w:rsidP="007A39EB">
                  <w:pPr>
                    <w:pStyle w:val="TableBodyText"/>
                  </w:pPr>
                  <w:r w:rsidRPr="00D80F99">
                    <w:t>93</w:t>
                  </w:r>
                </w:p>
              </w:tc>
              <w:tc>
                <w:tcPr>
                  <w:tcW w:w="500" w:type="pct"/>
                </w:tcPr>
                <w:p w14:paraId="5DE9D447" w14:textId="77777777" w:rsidR="00534098" w:rsidRDefault="00534098" w:rsidP="007A39EB">
                  <w:pPr>
                    <w:pStyle w:val="TableBodyText"/>
                  </w:pPr>
                  <w:r w:rsidRPr="00D80F99">
                    <w:t>84</w:t>
                  </w:r>
                </w:p>
              </w:tc>
              <w:tc>
                <w:tcPr>
                  <w:tcW w:w="501" w:type="pct"/>
                  <w:shd w:val="clear" w:color="auto" w:fill="auto"/>
                </w:tcPr>
                <w:p w14:paraId="6E8192CA" w14:textId="77777777" w:rsidR="00534098" w:rsidRDefault="00534098" w:rsidP="007A39EB">
                  <w:pPr>
                    <w:pStyle w:val="TableBodyText"/>
                  </w:pPr>
                  <w:r w:rsidRPr="00D80F99">
                    <w:t>95</w:t>
                  </w:r>
                </w:p>
              </w:tc>
              <w:tc>
                <w:tcPr>
                  <w:tcW w:w="499" w:type="pct"/>
                  <w:shd w:val="clear" w:color="auto" w:fill="auto"/>
                </w:tcPr>
                <w:p w14:paraId="7BE937E8" w14:textId="77777777" w:rsidR="00534098" w:rsidRDefault="00534098" w:rsidP="007A39EB">
                  <w:pPr>
                    <w:pStyle w:val="TableBodyText"/>
                    <w:ind w:right="28"/>
                  </w:pPr>
                  <w:r w:rsidRPr="00D80F99">
                    <w:t>97</w:t>
                  </w:r>
                </w:p>
              </w:tc>
            </w:tr>
            <w:tr w:rsidR="00534098" w14:paraId="3F8B26B9" w14:textId="77777777" w:rsidTr="007A39EB">
              <w:tc>
                <w:tcPr>
                  <w:tcW w:w="1833" w:type="pct"/>
                  <w:shd w:val="clear" w:color="auto" w:fill="auto"/>
                </w:tcPr>
                <w:p w14:paraId="0FC7F226" w14:textId="77777777" w:rsidR="00534098" w:rsidRPr="003E2EB4" w:rsidRDefault="00534098" w:rsidP="007A39EB">
                  <w:pPr>
                    <w:pStyle w:val="TableBodyText"/>
                    <w:jc w:val="left"/>
                  </w:pPr>
                  <w:r w:rsidRPr="00880615">
                    <w:t>Petroleum and Coal Product Manufacturing</w:t>
                  </w:r>
                </w:p>
              </w:tc>
              <w:tc>
                <w:tcPr>
                  <w:tcW w:w="1167" w:type="pct"/>
                </w:tcPr>
                <w:p w14:paraId="04A14339" w14:textId="77777777" w:rsidR="00534098" w:rsidRPr="003E2EB4" w:rsidRDefault="00534098" w:rsidP="007A39EB">
                  <w:pPr>
                    <w:pStyle w:val="TableBodyText"/>
                    <w:jc w:val="left"/>
                  </w:pPr>
                  <w:r w:rsidRPr="00880615">
                    <w:t>Manufacturing</w:t>
                  </w:r>
                </w:p>
              </w:tc>
              <w:tc>
                <w:tcPr>
                  <w:tcW w:w="500" w:type="pct"/>
                </w:tcPr>
                <w:p w14:paraId="399C83A6" w14:textId="77777777" w:rsidR="00534098" w:rsidRDefault="00534098" w:rsidP="007A39EB">
                  <w:pPr>
                    <w:pStyle w:val="TableBodyText"/>
                  </w:pPr>
                  <w:r w:rsidRPr="00D80F99">
                    <w:t>70</w:t>
                  </w:r>
                </w:p>
              </w:tc>
              <w:tc>
                <w:tcPr>
                  <w:tcW w:w="500" w:type="pct"/>
                </w:tcPr>
                <w:p w14:paraId="44735C02" w14:textId="77777777" w:rsidR="00534098" w:rsidRDefault="00534098" w:rsidP="007A39EB">
                  <w:pPr>
                    <w:pStyle w:val="TableBodyText"/>
                  </w:pPr>
                  <w:r w:rsidRPr="00D80F99">
                    <w:t>107</w:t>
                  </w:r>
                </w:p>
              </w:tc>
              <w:tc>
                <w:tcPr>
                  <w:tcW w:w="501" w:type="pct"/>
                  <w:shd w:val="clear" w:color="auto" w:fill="auto"/>
                </w:tcPr>
                <w:p w14:paraId="189D975D" w14:textId="77777777" w:rsidR="00534098" w:rsidRDefault="00534098" w:rsidP="007A39EB">
                  <w:pPr>
                    <w:pStyle w:val="TableBodyText"/>
                  </w:pPr>
                  <w:r w:rsidRPr="00D80F99">
                    <w:t>64</w:t>
                  </w:r>
                </w:p>
              </w:tc>
              <w:tc>
                <w:tcPr>
                  <w:tcW w:w="499" w:type="pct"/>
                  <w:shd w:val="clear" w:color="auto" w:fill="auto"/>
                </w:tcPr>
                <w:p w14:paraId="70C48E11" w14:textId="77777777" w:rsidR="00534098" w:rsidRDefault="00534098" w:rsidP="007A39EB">
                  <w:pPr>
                    <w:pStyle w:val="TableBodyText"/>
                    <w:ind w:right="28"/>
                  </w:pPr>
                  <w:r w:rsidRPr="00D80F99">
                    <w:t>70</w:t>
                  </w:r>
                </w:p>
              </w:tc>
            </w:tr>
            <w:tr w:rsidR="00534098" w14:paraId="39642C43" w14:textId="77777777" w:rsidTr="007A39EB">
              <w:tc>
                <w:tcPr>
                  <w:tcW w:w="1833" w:type="pct"/>
                  <w:shd w:val="clear" w:color="auto" w:fill="auto"/>
                </w:tcPr>
                <w:p w14:paraId="58596D7C" w14:textId="77777777" w:rsidR="00534098" w:rsidRPr="003E2EB4" w:rsidRDefault="00534098" w:rsidP="007A39EB">
                  <w:pPr>
                    <w:pStyle w:val="TableBodyText"/>
                    <w:jc w:val="left"/>
                  </w:pPr>
                  <w:r w:rsidRPr="00880615">
                    <w:t>Basic Chemical and Chemical Product Manufacturing</w:t>
                  </w:r>
                </w:p>
              </w:tc>
              <w:tc>
                <w:tcPr>
                  <w:tcW w:w="1167" w:type="pct"/>
                </w:tcPr>
                <w:p w14:paraId="79CA058F" w14:textId="77777777" w:rsidR="00534098" w:rsidRPr="003E2EB4" w:rsidRDefault="00534098" w:rsidP="007A39EB">
                  <w:pPr>
                    <w:pStyle w:val="TableBodyText"/>
                    <w:jc w:val="left"/>
                  </w:pPr>
                  <w:r w:rsidRPr="00880615">
                    <w:t>Manufacturing</w:t>
                  </w:r>
                </w:p>
              </w:tc>
              <w:tc>
                <w:tcPr>
                  <w:tcW w:w="500" w:type="pct"/>
                </w:tcPr>
                <w:p w14:paraId="56444525" w14:textId="77777777" w:rsidR="00534098" w:rsidRDefault="00534098" w:rsidP="007A39EB">
                  <w:pPr>
                    <w:pStyle w:val="TableBodyText"/>
                  </w:pPr>
                  <w:r w:rsidRPr="00D80F99">
                    <w:t>94</w:t>
                  </w:r>
                </w:p>
              </w:tc>
              <w:tc>
                <w:tcPr>
                  <w:tcW w:w="500" w:type="pct"/>
                </w:tcPr>
                <w:p w14:paraId="141D8292" w14:textId="77777777" w:rsidR="00534098" w:rsidRDefault="00534098" w:rsidP="007A39EB">
                  <w:pPr>
                    <w:pStyle w:val="TableBodyText"/>
                  </w:pPr>
                  <w:r w:rsidRPr="00D80F99">
                    <w:t>98</w:t>
                  </w:r>
                </w:p>
              </w:tc>
              <w:tc>
                <w:tcPr>
                  <w:tcW w:w="501" w:type="pct"/>
                  <w:shd w:val="clear" w:color="auto" w:fill="auto"/>
                </w:tcPr>
                <w:p w14:paraId="4B26E49E" w14:textId="77777777" w:rsidR="00534098" w:rsidRDefault="00534098" w:rsidP="007A39EB">
                  <w:pPr>
                    <w:pStyle w:val="TableBodyText"/>
                  </w:pPr>
                  <w:r w:rsidRPr="00D80F99">
                    <w:t>105</w:t>
                  </w:r>
                </w:p>
              </w:tc>
              <w:tc>
                <w:tcPr>
                  <w:tcW w:w="499" w:type="pct"/>
                  <w:shd w:val="clear" w:color="auto" w:fill="auto"/>
                </w:tcPr>
                <w:p w14:paraId="2E1D697A" w14:textId="77777777" w:rsidR="00534098" w:rsidRDefault="00534098" w:rsidP="007A39EB">
                  <w:pPr>
                    <w:pStyle w:val="TableBodyText"/>
                    <w:ind w:right="28"/>
                  </w:pPr>
                  <w:r w:rsidRPr="00D80F99">
                    <w:t>111</w:t>
                  </w:r>
                </w:p>
              </w:tc>
            </w:tr>
            <w:tr w:rsidR="00534098" w14:paraId="63A42B60" w14:textId="77777777" w:rsidTr="007A39EB">
              <w:tc>
                <w:tcPr>
                  <w:tcW w:w="1833" w:type="pct"/>
                  <w:shd w:val="clear" w:color="auto" w:fill="auto"/>
                </w:tcPr>
                <w:p w14:paraId="5302CFFE" w14:textId="77777777" w:rsidR="00534098" w:rsidRPr="003E2EB4" w:rsidRDefault="00534098" w:rsidP="007A39EB">
                  <w:pPr>
                    <w:pStyle w:val="TableBodyText"/>
                    <w:jc w:val="left"/>
                  </w:pPr>
                  <w:r w:rsidRPr="00880615">
                    <w:t>Polymer Product and Rubber Product Manufacturing</w:t>
                  </w:r>
                </w:p>
              </w:tc>
              <w:tc>
                <w:tcPr>
                  <w:tcW w:w="1167" w:type="pct"/>
                </w:tcPr>
                <w:p w14:paraId="2DF23252" w14:textId="77777777" w:rsidR="00534098" w:rsidRPr="003E2EB4" w:rsidRDefault="00534098" w:rsidP="007A39EB">
                  <w:pPr>
                    <w:pStyle w:val="TableBodyText"/>
                    <w:jc w:val="left"/>
                  </w:pPr>
                  <w:r w:rsidRPr="00880615">
                    <w:t>Manufacturing</w:t>
                  </w:r>
                </w:p>
              </w:tc>
              <w:tc>
                <w:tcPr>
                  <w:tcW w:w="500" w:type="pct"/>
                </w:tcPr>
                <w:p w14:paraId="3F812E9C" w14:textId="77777777" w:rsidR="00534098" w:rsidRDefault="00534098" w:rsidP="007A39EB">
                  <w:pPr>
                    <w:pStyle w:val="TableBodyText"/>
                  </w:pPr>
                  <w:r w:rsidRPr="00D80F99">
                    <w:t>89</w:t>
                  </w:r>
                </w:p>
              </w:tc>
              <w:tc>
                <w:tcPr>
                  <w:tcW w:w="500" w:type="pct"/>
                </w:tcPr>
                <w:p w14:paraId="59E5E0B3" w14:textId="77777777" w:rsidR="00534098" w:rsidRDefault="00534098" w:rsidP="007A39EB">
                  <w:pPr>
                    <w:pStyle w:val="TableBodyText"/>
                  </w:pPr>
                  <w:r w:rsidRPr="00D80F99">
                    <w:t>93</w:t>
                  </w:r>
                </w:p>
              </w:tc>
              <w:tc>
                <w:tcPr>
                  <w:tcW w:w="501" w:type="pct"/>
                  <w:shd w:val="clear" w:color="auto" w:fill="auto"/>
                </w:tcPr>
                <w:p w14:paraId="62EA1E8C" w14:textId="77777777" w:rsidR="00534098" w:rsidRDefault="00534098" w:rsidP="007A39EB">
                  <w:pPr>
                    <w:pStyle w:val="TableBodyText"/>
                  </w:pPr>
                  <w:r w:rsidRPr="00D80F99">
                    <w:t>90</w:t>
                  </w:r>
                </w:p>
              </w:tc>
              <w:tc>
                <w:tcPr>
                  <w:tcW w:w="499" w:type="pct"/>
                  <w:shd w:val="clear" w:color="auto" w:fill="auto"/>
                </w:tcPr>
                <w:p w14:paraId="4AA2D3CD" w14:textId="77777777" w:rsidR="00534098" w:rsidRDefault="00534098" w:rsidP="007A39EB">
                  <w:pPr>
                    <w:pStyle w:val="TableBodyText"/>
                    <w:ind w:right="28"/>
                  </w:pPr>
                  <w:r w:rsidRPr="00D80F99">
                    <w:t>90</w:t>
                  </w:r>
                </w:p>
              </w:tc>
            </w:tr>
          </w:tbl>
          <w:p w14:paraId="2C20DBCA" w14:textId="77777777" w:rsidR="00534098" w:rsidRDefault="00534098" w:rsidP="007A39EB">
            <w:pPr>
              <w:pStyle w:val="Box"/>
            </w:pPr>
          </w:p>
        </w:tc>
      </w:tr>
      <w:tr w:rsidR="00534098" w14:paraId="0D99CE61" w14:textId="77777777" w:rsidTr="007A39EB">
        <w:tc>
          <w:tcPr>
            <w:tcW w:w="5000" w:type="pct"/>
            <w:tcBorders>
              <w:top w:val="nil"/>
              <w:left w:val="nil"/>
              <w:bottom w:val="nil"/>
              <w:right w:val="nil"/>
            </w:tcBorders>
            <w:shd w:val="clear" w:color="auto" w:fill="auto"/>
          </w:tcPr>
          <w:p w14:paraId="2CA69473" w14:textId="77777777" w:rsidR="00534098" w:rsidRDefault="00534098" w:rsidP="007A39EB">
            <w:pPr>
              <w:pStyle w:val="Continued"/>
            </w:pPr>
            <w:r>
              <w:t>(continued next page)</w:t>
            </w:r>
          </w:p>
        </w:tc>
      </w:tr>
      <w:tr w:rsidR="00534098" w14:paraId="6EEA0454" w14:textId="77777777" w:rsidTr="007A39EB">
        <w:tc>
          <w:tcPr>
            <w:tcW w:w="5000" w:type="pct"/>
            <w:tcBorders>
              <w:top w:val="nil"/>
              <w:left w:val="nil"/>
              <w:bottom w:val="single" w:sz="6" w:space="0" w:color="78A22F"/>
              <w:right w:val="nil"/>
            </w:tcBorders>
            <w:shd w:val="clear" w:color="auto" w:fill="auto"/>
          </w:tcPr>
          <w:p w14:paraId="608F2778" w14:textId="77777777" w:rsidR="00534098" w:rsidRDefault="00534098" w:rsidP="007A39EB">
            <w:pPr>
              <w:pStyle w:val="Box"/>
              <w:spacing w:before="0" w:line="120" w:lineRule="exact"/>
            </w:pPr>
          </w:p>
        </w:tc>
      </w:tr>
      <w:tr w:rsidR="00534098" w:rsidRPr="000863A5" w14:paraId="11FF597E" w14:textId="77777777" w:rsidTr="007A39EB">
        <w:tc>
          <w:tcPr>
            <w:tcW w:w="5000" w:type="pct"/>
            <w:tcBorders>
              <w:top w:val="single" w:sz="6" w:space="0" w:color="78A22F"/>
              <w:left w:val="nil"/>
              <w:bottom w:val="nil"/>
              <w:right w:val="nil"/>
            </w:tcBorders>
          </w:tcPr>
          <w:p w14:paraId="22B4ED46" w14:textId="5ABFD04E" w:rsidR="00534098" w:rsidRPr="00626D32" w:rsidRDefault="00534098" w:rsidP="007A39EB">
            <w:pPr>
              <w:pStyle w:val="BoxSpaceBelow"/>
            </w:pPr>
          </w:p>
        </w:tc>
      </w:tr>
    </w:tbl>
    <w:p w14:paraId="0C19000F" w14:textId="2589F7AD"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1A20174F" w14:textId="77777777" w:rsidTr="007A39EB">
        <w:trPr>
          <w:tblHeader/>
        </w:trPr>
        <w:tc>
          <w:tcPr>
            <w:tcW w:w="5000" w:type="pct"/>
            <w:tcBorders>
              <w:top w:val="single" w:sz="6" w:space="0" w:color="78A22F"/>
              <w:left w:val="nil"/>
              <w:bottom w:val="nil"/>
              <w:right w:val="nil"/>
            </w:tcBorders>
            <w:shd w:val="clear" w:color="auto" w:fill="auto"/>
          </w:tcPr>
          <w:p w14:paraId="3623E54A" w14:textId="2A789402" w:rsidR="00534098" w:rsidRPr="00784A05" w:rsidRDefault="00534098" w:rsidP="007A39EB">
            <w:pPr>
              <w:pStyle w:val="TableTitle"/>
            </w:pPr>
            <w:r>
              <w:rPr>
                <w:b w:val="0"/>
              </w:rPr>
              <w:t>Table A.1</w:t>
            </w:r>
            <w:r>
              <w:tab/>
            </w:r>
            <w:r w:rsidRPr="00FD1DD1">
              <w:rPr>
                <w:b w:val="0"/>
                <w:bCs/>
                <w:sz w:val="18"/>
                <w:szCs w:val="18"/>
              </w:rPr>
              <w:t>(continued)</w:t>
            </w:r>
          </w:p>
        </w:tc>
      </w:tr>
      <w:tr w:rsidR="00534098" w14:paraId="5FA8DC97"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1985"/>
              <w:gridCol w:w="850"/>
              <w:gridCol w:w="850"/>
              <w:gridCol w:w="852"/>
              <w:gridCol w:w="849"/>
            </w:tblGrid>
            <w:tr w:rsidR="00534098" w14:paraId="2844747A" w14:textId="77777777" w:rsidTr="007A39EB">
              <w:trPr>
                <w:tblHeader/>
              </w:trPr>
              <w:tc>
                <w:tcPr>
                  <w:tcW w:w="1833" w:type="pct"/>
                  <w:tcBorders>
                    <w:top w:val="single" w:sz="6" w:space="0" w:color="BFBFBF"/>
                    <w:bottom w:val="single" w:sz="6" w:space="0" w:color="BFBFBF"/>
                  </w:tcBorders>
                  <w:shd w:val="clear" w:color="auto" w:fill="auto"/>
                  <w:tcMar>
                    <w:top w:w="28" w:type="dxa"/>
                  </w:tcMar>
                </w:tcPr>
                <w:p w14:paraId="5C2AF9DB" w14:textId="77777777" w:rsidR="00534098" w:rsidRDefault="00534098" w:rsidP="007A39EB">
                  <w:pPr>
                    <w:pStyle w:val="TableColumnHeading"/>
                    <w:jc w:val="left"/>
                  </w:pPr>
                  <w:r w:rsidRPr="00CD275C">
                    <w:t>Anzsic 2</w:t>
                  </w:r>
                </w:p>
              </w:tc>
              <w:tc>
                <w:tcPr>
                  <w:tcW w:w="1167" w:type="pct"/>
                  <w:tcBorders>
                    <w:top w:val="single" w:sz="6" w:space="0" w:color="BFBFBF"/>
                    <w:bottom w:val="single" w:sz="6" w:space="0" w:color="BFBFBF"/>
                  </w:tcBorders>
                </w:tcPr>
                <w:p w14:paraId="77C01D53" w14:textId="77777777" w:rsidR="00534098" w:rsidRDefault="00534098" w:rsidP="007A39EB">
                  <w:pPr>
                    <w:pStyle w:val="TableColumnHeading"/>
                    <w:jc w:val="left"/>
                  </w:pPr>
                  <w:r w:rsidRPr="00CD275C">
                    <w:t>Anzsic 1</w:t>
                  </w:r>
                </w:p>
              </w:tc>
              <w:tc>
                <w:tcPr>
                  <w:tcW w:w="500" w:type="pct"/>
                  <w:tcBorders>
                    <w:top w:val="single" w:sz="6" w:space="0" w:color="BFBFBF"/>
                    <w:bottom w:val="single" w:sz="6" w:space="0" w:color="BFBFBF"/>
                  </w:tcBorders>
                </w:tcPr>
                <w:p w14:paraId="2031E008" w14:textId="77777777" w:rsidR="00534098" w:rsidRDefault="00534098" w:rsidP="007A39EB">
                  <w:pPr>
                    <w:pStyle w:val="TableColumnHeading"/>
                  </w:pPr>
                  <w:r>
                    <w:t>May</w:t>
                  </w:r>
                  <w:r>
                    <w:noBreakHyphen/>
                    <w:t>20</w:t>
                  </w:r>
                </w:p>
              </w:tc>
              <w:tc>
                <w:tcPr>
                  <w:tcW w:w="500" w:type="pct"/>
                  <w:tcBorders>
                    <w:top w:val="single" w:sz="6" w:space="0" w:color="BFBFBF"/>
                    <w:bottom w:val="single" w:sz="6" w:space="0" w:color="BFBFBF"/>
                  </w:tcBorders>
                </w:tcPr>
                <w:p w14:paraId="346C5585" w14:textId="77777777" w:rsidR="00534098" w:rsidRDefault="00534098" w:rsidP="007A39EB">
                  <w:pPr>
                    <w:pStyle w:val="TableColumnHeading"/>
                  </w:pPr>
                  <w:r>
                    <w:t>Aug</w:t>
                  </w:r>
                  <w:r>
                    <w:noBreakHyphen/>
                    <w:t>20</w:t>
                  </w:r>
                </w:p>
              </w:tc>
              <w:tc>
                <w:tcPr>
                  <w:tcW w:w="501" w:type="pct"/>
                  <w:tcBorders>
                    <w:top w:val="single" w:sz="6" w:space="0" w:color="BFBFBF"/>
                    <w:bottom w:val="single" w:sz="6" w:space="0" w:color="BFBFBF"/>
                  </w:tcBorders>
                  <w:shd w:val="clear" w:color="auto" w:fill="auto"/>
                  <w:tcMar>
                    <w:top w:w="28" w:type="dxa"/>
                  </w:tcMar>
                </w:tcPr>
                <w:p w14:paraId="3B199526" w14:textId="77777777" w:rsidR="00534098" w:rsidRDefault="00534098" w:rsidP="007A39EB">
                  <w:pPr>
                    <w:pStyle w:val="TableColumnHeading"/>
                  </w:pPr>
                  <w:r>
                    <w:t>Nov</w:t>
                  </w:r>
                  <w:r>
                    <w:noBreakHyphen/>
                    <w:t>20</w:t>
                  </w:r>
                </w:p>
              </w:tc>
              <w:tc>
                <w:tcPr>
                  <w:tcW w:w="499" w:type="pct"/>
                  <w:tcBorders>
                    <w:top w:val="single" w:sz="6" w:space="0" w:color="BFBFBF"/>
                    <w:bottom w:val="single" w:sz="6" w:space="0" w:color="BFBFBF"/>
                  </w:tcBorders>
                  <w:shd w:val="clear" w:color="auto" w:fill="auto"/>
                  <w:tcMar>
                    <w:top w:w="28" w:type="dxa"/>
                  </w:tcMar>
                </w:tcPr>
                <w:p w14:paraId="5F7BB7BB" w14:textId="77777777" w:rsidR="00534098" w:rsidRDefault="00534098" w:rsidP="007A39EB">
                  <w:pPr>
                    <w:pStyle w:val="TableColumnHeading"/>
                    <w:ind w:right="28"/>
                  </w:pPr>
                  <w:r>
                    <w:t>Feb</w:t>
                  </w:r>
                  <w:r>
                    <w:noBreakHyphen/>
                    <w:t>21</w:t>
                  </w:r>
                </w:p>
              </w:tc>
            </w:tr>
            <w:tr w:rsidR="00534098" w14:paraId="6A8F6A45" w14:textId="77777777" w:rsidTr="007A39EB">
              <w:tc>
                <w:tcPr>
                  <w:tcW w:w="1833" w:type="pct"/>
                  <w:tcBorders>
                    <w:top w:val="single" w:sz="6" w:space="0" w:color="BFBFBF"/>
                  </w:tcBorders>
                </w:tcPr>
                <w:p w14:paraId="6535233E" w14:textId="77777777" w:rsidR="00534098" w:rsidRDefault="00534098" w:rsidP="007A39EB">
                  <w:pPr>
                    <w:pStyle w:val="TableUnitsRow"/>
                    <w:jc w:val="left"/>
                  </w:pPr>
                </w:p>
              </w:tc>
              <w:tc>
                <w:tcPr>
                  <w:tcW w:w="1167" w:type="pct"/>
                  <w:tcBorders>
                    <w:top w:val="single" w:sz="6" w:space="0" w:color="BFBFBF"/>
                  </w:tcBorders>
                </w:tcPr>
                <w:p w14:paraId="4295E0D5" w14:textId="77777777" w:rsidR="00534098" w:rsidRDefault="00534098" w:rsidP="007A39EB">
                  <w:pPr>
                    <w:pStyle w:val="TableUnitsRow"/>
                  </w:pPr>
                </w:p>
              </w:tc>
              <w:tc>
                <w:tcPr>
                  <w:tcW w:w="500" w:type="pct"/>
                  <w:tcBorders>
                    <w:top w:val="single" w:sz="6" w:space="0" w:color="BFBFBF"/>
                  </w:tcBorders>
                </w:tcPr>
                <w:p w14:paraId="0ADF2705" w14:textId="77777777" w:rsidR="00534098" w:rsidRDefault="00534098" w:rsidP="007A39EB">
                  <w:pPr>
                    <w:pStyle w:val="TableUnitsRow"/>
                  </w:pPr>
                  <w:r>
                    <w:t>%</w:t>
                  </w:r>
                </w:p>
              </w:tc>
              <w:tc>
                <w:tcPr>
                  <w:tcW w:w="500" w:type="pct"/>
                  <w:tcBorders>
                    <w:top w:val="single" w:sz="6" w:space="0" w:color="BFBFBF"/>
                  </w:tcBorders>
                </w:tcPr>
                <w:p w14:paraId="2DE8A3EA" w14:textId="77777777" w:rsidR="00534098" w:rsidRDefault="00534098" w:rsidP="007A39EB">
                  <w:pPr>
                    <w:pStyle w:val="TableUnitsRow"/>
                  </w:pPr>
                  <w:r>
                    <w:t>%</w:t>
                  </w:r>
                </w:p>
              </w:tc>
              <w:tc>
                <w:tcPr>
                  <w:tcW w:w="501" w:type="pct"/>
                  <w:tcBorders>
                    <w:top w:val="single" w:sz="6" w:space="0" w:color="BFBFBF"/>
                  </w:tcBorders>
                </w:tcPr>
                <w:p w14:paraId="50E50B38" w14:textId="77777777" w:rsidR="00534098" w:rsidRDefault="00534098" w:rsidP="007A39EB">
                  <w:pPr>
                    <w:pStyle w:val="TableUnitsRow"/>
                  </w:pPr>
                  <w:r>
                    <w:t>%</w:t>
                  </w:r>
                </w:p>
              </w:tc>
              <w:tc>
                <w:tcPr>
                  <w:tcW w:w="499" w:type="pct"/>
                  <w:tcBorders>
                    <w:top w:val="single" w:sz="6" w:space="0" w:color="BFBFBF"/>
                  </w:tcBorders>
                </w:tcPr>
                <w:p w14:paraId="7DEC3A8F" w14:textId="77777777" w:rsidR="00534098" w:rsidRDefault="00534098" w:rsidP="007A39EB">
                  <w:pPr>
                    <w:pStyle w:val="TableUnitsRow"/>
                    <w:ind w:right="28"/>
                  </w:pPr>
                  <w:r>
                    <w:t>%</w:t>
                  </w:r>
                </w:p>
              </w:tc>
            </w:tr>
            <w:tr w:rsidR="00534098" w14:paraId="0FF53C37" w14:textId="77777777" w:rsidTr="007A39EB">
              <w:tc>
                <w:tcPr>
                  <w:tcW w:w="1833" w:type="pct"/>
                </w:tcPr>
                <w:p w14:paraId="1AECCFAE" w14:textId="77777777" w:rsidR="00534098" w:rsidRDefault="00534098" w:rsidP="007A39EB">
                  <w:pPr>
                    <w:pStyle w:val="TableBodyText"/>
                    <w:jc w:val="left"/>
                  </w:pPr>
                  <w:r w:rsidRPr="004B4150">
                    <w:t>Non</w:t>
                  </w:r>
                  <w:r>
                    <w:noBreakHyphen/>
                  </w:r>
                  <w:r w:rsidRPr="004B4150">
                    <w:t>Metallic Mineral Product Manufacturing</w:t>
                  </w:r>
                </w:p>
              </w:tc>
              <w:tc>
                <w:tcPr>
                  <w:tcW w:w="1167" w:type="pct"/>
                </w:tcPr>
                <w:p w14:paraId="09E80E4C" w14:textId="77777777" w:rsidR="00534098" w:rsidRDefault="00534098" w:rsidP="007A39EB">
                  <w:pPr>
                    <w:pStyle w:val="TableBodyText"/>
                    <w:jc w:val="left"/>
                  </w:pPr>
                  <w:r w:rsidRPr="004B4150">
                    <w:t>Manufacturing</w:t>
                  </w:r>
                </w:p>
              </w:tc>
              <w:tc>
                <w:tcPr>
                  <w:tcW w:w="500" w:type="pct"/>
                </w:tcPr>
                <w:p w14:paraId="2679230C" w14:textId="77777777" w:rsidR="00534098" w:rsidRDefault="00534098" w:rsidP="007A39EB">
                  <w:pPr>
                    <w:pStyle w:val="TableBodyText"/>
                  </w:pPr>
                  <w:r w:rsidRPr="00510F08">
                    <w:t>132</w:t>
                  </w:r>
                </w:p>
              </w:tc>
              <w:tc>
                <w:tcPr>
                  <w:tcW w:w="500" w:type="pct"/>
                </w:tcPr>
                <w:p w14:paraId="104247FF" w14:textId="77777777" w:rsidR="00534098" w:rsidRDefault="00534098" w:rsidP="007A39EB">
                  <w:pPr>
                    <w:pStyle w:val="TableBodyText"/>
                  </w:pPr>
                  <w:r w:rsidRPr="00510F08">
                    <w:t>112</w:t>
                  </w:r>
                </w:p>
              </w:tc>
              <w:tc>
                <w:tcPr>
                  <w:tcW w:w="501" w:type="pct"/>
                </w:tcPr>
                <w:p w14:paraId="59D0C3CC" w14:textId="77777777" w:rsidR="00534098" w:rsidRDefault="00534098" w:rsidP="007A39EB">
                  <w:pPr>
                    <w:pStyle w:val="TableBodyText"/>
                  </w:pPr>
                  <w:r w:rsidRPr="00510F08">
                    <w:t>93</w:t>
                  </w:r>
                </w:p>
              </w:tc>
              <w:tc>
                <w:tcPr>
                  <w:tcW w:w="499" w:type="pct"/>
                </w:tcPr>
                <w:p w14:paraId="38F451DC" w14:textId="77777777" w:rsidR="00534098" w:rsidRDefault="00534098" w:rsidP="007A39EB">
                  <w:pPr>
                    <w:pStyle w:val="TableBodyText"/>
                    <w:ind w:right="28"/>
                  </w:pPr>
                  <w:r w:rsidRPr="00510F08">
                    <w:t>101</w:t>
                  </w:r>
                </w:p>
              </w:tc>
            </w:tr>
            <w:tr w:rsidR="00534098" w14:paraId="7BD78903" w14:textId="77777777" w:rsidTr="007A39EB">
              <w:tc>
                <w:tcPr>
                  <w:tcW w:w="1833" w:type="pct"/>
                </w:tcPr>
                <w:p w14:paraId="4E13D4E9" w14:textId="77777777" w:rsidR="00534098" w:rsidRDefault="00534098" w:rsidP="007A39EB">
                  <w:pPr>
                    <w:pStyle w:val="TableBodyText"/>
                    <w:jc w:val="left"/>
                  </w:pPr>
                  <w:r w:rsidRPr="004B4150">
                    <w:t>Primary Metal and Metal Product Manufacturing</w:t>
                  </w:r>
                </w:p>
              </w:tc>
              <w:tc>
                <w:tcPr>
                  <w:tcW w:w="1167" w:type="pct"/>
                </w:tcPr>
                <w:p w14:paraId="69DBBAB2" w14:textId="77777777" w:rsidR="00534098" w:rsidRDefault="00534098" w:rsidP="007A39EB">
                  <w:pPr>
                    <w:pStyle w:val="TableBodyText"/>
                    <w:jc w:val="left"/>
                  </w:pPr>
                  <w:r w:rsidRPr="004B4150">
                    <w:t>Manufacturing</w:t>
                  </w:r>
                </w:p>
              </w:tc>
              <w:tc>
                <w:tcPr>
                  <w:tcW w:w="500" w:type="pct"/>
                </w:tcPr>
                <w:p w14:paraId="2D962684" w14:textId="77777777" w:rsidR="00534098" w:rsidRDefault="00534098" w:rsidP="007A39EB">
                  <w:pPr>
                    <w:pStyle w:val="TableBodyText"/>
                  </w:pPr>
                  <w:r w:rsidRPr="00510F08">
                    <w:t>86</w:t>
                  </w:r>
                </w:p>
              </w:tc>
              <w:tc>
                <w:tcPr>
                  <w:tcW w:w="500" w:type="pct"/>
                </w:tcPr>
                <w:p w14:paraId="74506659" w14:textId="77777777" w:rsidR="00534098" w:rsidRDefault="00534098" w:rsidP="007A39EB">
                  <w:pPr>
                    <w:pStyle w:val="TableBodyText"/>
                  </w:pPr>
                  <w:r w:rsidRPr="00510F08">
                    <w:t>85</w:t>
                  </w:r>
                </w:p>
              </w:tc>
              <w:tc>
                <w:tcPr>
                  <w:tcW w:w="501" w:type="pct"/>
                </w:tcPr>
                <w:p w14:paraId="4B7360B6" w14:textId="77777777" w:rsidR="00534098" w:rsidRDefault="00534098" w:rsidP="007A39EB">
                  <w:pPr>
                    <w:pStyle w:val="TableBodyText"/>
                  </w:pPr>
                  <w:r w:rsidRPr="00510F08">
                    <w:t>91</w:t>
                  </w:r>
                </w:p>
              </w:tc>
              <w:tc>
                <w:tcPr>
                  <w:tcW w:w="499" w:type="pct"/>
                </w:tcPr>
                <w:p w14:paraId="2452140A" w14:textId="77777777" w:rsidR="00534098" w:rsidRDefault="00534098" w:rsidP="007A39EB">
                  <w:pPr>
                    <w:pStyle w:val="TableBodyText"/>
                    <w:ind w:right="28"/>
                  </w:pPr>
                  <w:r w:rsidRPr="00510F08">
                    <w:t>88</w:t>
                  </w:r>
                </w:p>
              </w:tc>
            </w:tr>
            <w:tr w:rsidR="00534098" w14:paraId="24D846AB" w14:textId="77777777" w:rsidTr="007A39EB">
              <w:tc>
                <w:tcPr>
                  <w:tcW w:w="1833" w:type="pct"/>
                </w:tcPr>
                <w:p w14:paraId="16B03FF0" w14:textId="77777777" w:rsidR="00534098" w:rsidRDefault="00534098" w:rsidP="007A39EB">
                  <w:pPr>
                    <w:pStyle w:val="TableBodyText"/>
                    <w:jc w:val="left"/>
                  </w:pPr>
                  <w:r w:rsidRPr="004B4150">
                    <w:t>Fabricated Metal Product Manufacturing</w:t>
                  </w:r>
                </w:p>
              </w:tc>
              <w:tc>
                <w:tcPr>
                  <w:tcW w:w="1167" w:type="pct"/>
                </w:tcPr>
                <w:p w14:paraId="029199CE" w14:textId="77777777" w:rsidR="00534098" w:rsidRDefault="00534098" w:rsidP="007A39EB">
                  <w:pPr>
                    <w:pStyle w:val="TableBodyText"/>
                    <w:jc w:val="left"/>
                  </w:pPr>
                  <w:r w:rsidRPr="004B4150">
                    <w:t>Manufacturing</w:t>
                  </w:r>
                </w:p>
              </w:tc>
              <w:tc>
                <w:tcPr>
                  <w:tcW w:w="500" w:type="pct"/>
                </w:tcPr>
                <w:p w14:paraId="26C62F7B" w14:textId="77777777" w:rsidR="00534098" w:rsidRDefault="00534098" w:rsidP="007A39EB">
                  <w:pPr>
                    <w:pStyle w:val="TableBodyText"/>
                  </w:pPr>
                  <w:r w:rsidRPr="00510F08">
                    <w:t>104</w:t>
                  </w:r>
                </w:p>
              </w:tc>
              <w:tc>
                <w:tcPr>
                  <w:tcW w:w="500" w:type="pct"/>
                </w:tcPr>
                <w:p w14:paraId="1C184BA5" w14:textId="77777777" w:rsidR="00534098" w:rsidRDefault="00534098" w:rsidP="007A39EB">
                  <w:pPr>
                    <w:pStyle w:val="TableBodyText"/>
                  </w:pPr>
                  <w:r w:rsidRPr="00510F08">
                    <w:t>115</w:t>
                  </w:r>
                </w:p>
              </w:tc>
              <w:tc>
                <w:tcPr>
                  <w:tcW w:w="501" w:type="pct"/>
                </w:tcPr>
                <w:p w14:paraId="6B1AA7C5" w14:textId="77777777" w:rsidR="00534098" w:rsidRDefault="00534098" w:rsidP="007A39EB">
                  <w:pPr>
                    <w:pStyle w:val="TableBodyText"/>
                  </w:pPr>
                  <w:r w:rsidRPr="00510F08">
                    <w:t>99</w:t>
                  </w:r>
                </w:p>
              </w:tc>
              <w:tc>
                <w:tcPr>
                  <w:tcW w:w="499" w:type="pct"/>
                </w:tcPr>
                <w:p w14:paraId="78A31E8F" w14:textId="77777777" w:rsidR="00534098" w:rsidRDefault="00534098" w:rsidP="007A39EB">
                  <w:pPr>
                    <w:pStyle w:val="TableBodyText"/>
                    <w:ind w:right="28"/>
                  </w:pPr>
                  <w:r w:rsidRPr="00510F08">
                    <w:t>113</w:t>
                  </w:r>
                </w:p>
              </w:tc>
            </w:tr>
            <w:tr w:rsidR="00534098" w14:paraId="2B8297CE" w14:textId="77777777" w:rsidTr="007A39EB">
              <w:tc>
                <w:tcPr>
                  <w:tcW w:w="1833" w:type="pct"/>
                </w:tcPr>
                <w:p w14:paraId="181BC532" w14:textId="77777777" w:rsidR="00534098" w:rsidRDefault="00534098" w:rsidP="007A39EB">
                  <w:pPr>
                    <w:pStyle w:val="TableBodyText"/>
                    <w:jc w:val="left"/>
                  </w:pPr>
                  <w:r w:rsidRPr="004B4150">
                    <w:t>Transport Equipment Manufacturing</w:t>
                  </w:r>
                </w:p>
              </w:tc>
              <w:tc>
                <w:tcPr>
                  <w:tcW w:w="1167" w:type="pct"/>
                </w:tcPr>
                <w:p w14:paraId="7C68D60B" w14:textId="77777777" w:rsidR="00534098" w:rsidRDefault="00534098" w:rsidP="007A39EB">
                  <w:pPr>
                    <w:pStyle w:val="TableBodyText"/>
                    <w:jc w:val="left"/>
                  </w:pPr>
                  <w:r w:rsidRPr="004B4150">
                    <w:t>Manufacturing</w:t>
                  </w:r>
                </w:p>
              </w:tc>
              <w:tc>
                <w:tcPr>
                  <w:tcW w:w="500" w:type="pct"/>
                </w:tcPr>
                <w:p w14:paraId="5CE85DC1" w14:textId="77777777" w:rsidR="00534098" w:rsidRDefault="00534098" w:rsidP="007A39EB">
                  <w:pPr>
                    <w:pStyle w:val="TableBodyText"/>
                  </w:pPr>
                  <w:r w:rsidRPr="00510F08">
                    <w:t>114</w:t>
                  </w:r>
                </w:p>
              </w:tc>
              <w:tc>
                <w:tcPr>
                  <w:tcW w:w="500" w:type="pct"/>
                </w:tcPr>
                <w:p w14:paraId="59619565" w14:textId="77777777" w:rsidR="00534098" w:rsidRDefault="00534098" w:rsidP="007A39EB">
                  <w:pPr>
                    <w:pStyle w:val="TableBodyText"/>
                  </w:pPr>
                  <w:r w:rsidRPr="00510F08">
                    <w:t>101</w:t>
                  </w:r>
                </w:p>
              </w:tc>
              <w:tc>
                <w:tcPr>
                  <w:tcW w:w="501" w:type="pct"/>
                </w:tcPr>
                <w:p w14:paraId="0FAD2D32" w14:textId="77777777" w:rsidR="00534098" w:rsidRDefault="00534098" w:rsidP="007A39EB">
                  <w:pPr>
                    <w:pStyle w:val="TableBodyText"/>
                  </w:pPr>
                  <w:r w:rsidRPr="00510F08">
                    <w:t>89</w:t>
                  </w:r>
                </w:p>
              </w:tc>
              <w:tc>
                <w:tcPr>
                  <w:tcW w:w="499" w:type="pct"/>
                </w:tcPr>
                <w:p w14:paraId="01AB810E" w14:textId="77777777" w:rsidR="00534098" w:rsidRDefault="00534098" w:rsidP="007A39EB">
                  <w:pPr>
                    <w:pStyle w:val="TableBodyText"/>
                    <w:ind w:right="28"/>
                  </w:pPr>
                  <w:r w:rsidRPr="00510F08">
                    <w:t>91</w:t>
                  </w:r>
                </w:p>
              </w:tc>
            </w:tr>
            <w:tr w:rsidR="00534098" w14:paraId="6B1AABB8" w14:textId="77777777" w:rsidTr="007A39EB">
              <w:tc>
                <w:tcPr>
                  <w:tcW w:w="1833" w:type="pct"/>
                </w:tcPr>
                <w:p w14:paraId="4C0689A3" w14:textId="77777777" w:rsidR="00534098" w:rsidRDefault="00534098" w:rsidP="007A39EB">
                  <w:pPr>
                    <w:pStyle w:val="TableBodyText"/>
                    <w:jc w:val="left"/>
                  </w:pPr>
                  <w:r w:rsidRPr="004B4150">
                    <w:t>Machinery and Equipment Manufacturing</w:t>
                  </w:r>
                </w:p>
              </w:tc>
              <w:tc>
                <w:tcPr>
                  <w:tcW w:w="1167" w:type="pct"/>
                </w:tcPr>
                <w:p w14:paraId="31DB0DDA" w14:textId="77777777" w:rsidR="00534098" w:rsidRDefault="00534098" w:rsidP="007A39EB">
                  <w:pPr>
                    <w:pStyle w:val="TableBodyText"/>
                    <w:jc w:val="left"/>
                  </w:pPr>
                  <w:r w:rsidRPr="004B4150">
                    <w:t>Manufacturing</w:t>
                  </w:r>
                </w:p>
              </w:tc>
              <w:tc>
                <w:tcPr>
                  <w:tcW w:w="500" w:type="pct"/>
                </w:tcPr>
                <w:p w14:paraId="3BAF43A8" w14:textId="77777777" w:rsidR="00534098" w:rsidRDefault="00534098" w:rsidP="007A39EB">
                  <w:pPr>
                    <w:pStyle w:val="TableBodyText"/>
                  </w:pPr>
                  <w:r w:rsidRPr="00510F08">
                    <w:t>108</w:t>
                  </w:r>
                </w:p>
              </w:tc>
              <w:tc>
                <w:tcPr>
                  <w:tcW w:w="500" w:type="pct"/>
                </w:tcPr>
                <w:p w14:paraId="4DC3473E" w14:textId="77777777" w:rsidR="00534098" w:rsidRDefault="00534098" w:rsidP="007A39EB">
                  <w:pPr>
                    <w:pStyle w:val="TableBodyText"/>
                  </w:pPr>
                  <w:r w:rsidRPr="00510F08">
                    <w:t>98</w:t>
                  </w:r>
                </w:p>
              </w:tc>
              <w:tc>
                <w:tcPr>
                  <w:tcW w:w="501" w:type="pct"/>
                </w:tcPr>
                <w:p w14:paraId="5790ECBD" w14:textId="77777777" w:rsidR="00534098" w:rsidRDefault="00534098" w:rsidP="007A39EB">
                  <w:pPr>
                    <w:pStyle w:val="TableBodyText"/>
                  </w:pPr>
                  <w:r w:rsidRPr="00510F08">
                    <w:t>95</w:t>
                  </w:r>
                </w:p>
              </w:tc>
              <w:tc>
                <w:tcPr>
                  <w:tcW w:w="499" w:type="pct"/>
                </w:tcPr>
                <w:p w14:paraId="6DD6F8FB" w14:textId="77777777" w:rsidR="00534098" w:rsidRDefault="00534098" w:rsidP="007A39EB">
                  <w:pPr>
                    <w:pStyle w:val="TableBodyText"/>
                    <w:ind w:right="28"/>
                  </w:pPr>
                  <w:r w:rsidRPr="00510F08">
                    <w:t>116</w:t>
                  </w:r>
                </w:p>
              </w:tc>
            </w:tr>
            <w:tr w:rsidR="00534098" w14:paraId="5FE51308" w14:textId="77777777" w:rsidTr="007A39EB">
              <w:tc>
                <w:tcPr>
                  <w:tcW w:w="1833" w:type="pct"/>
                </w:tcPr>
                <w:p w14:paraId="793A9977" w14:textId="77777777" w:rsidR="00534098" w:rsidRDefault="00534098" w:rsidP="007A39EB">
                  <w:pPr>
                    <w:pStyle w:val="TableBodyText"/>
                    <w:jc w:val="left"/>
                  </w:pPr>
                  <w:r w:rsidRPr="004B4150">
                    <w:t>Furniture and Other Manufacturing</w:t>
                  </w:r>
                </w:p>
              </w:tc>
              <w:tc>
                <w:tcPr>
                  <w:tcW w:w="1167" w:type="pct"/>
                </w:tcPr>
                <w:p w14:paraId="581E7286" w14:textId="77777777" w:rsidR="00534098" w:rsidRDefault="00534098" w:rsidP="007A39EB">
                  <w:pPr>
                    <w:pStyle w:val="TableBodyText"/>
                    <w:jc w:val="left"/>
                  </w:pPr>
                  <w:r w:rsidRPr="004B4150">
                    <w:t>Manufacturing</w:t>
                  </w:r>
                </w:p>
              </w:tc>
              <w:tc>
                <w:tcPr>
                  <w:tcW w:w="500" w:type="pct"/>
                </w:tcPr>
                <w:p w14:paraId="231C681B" w14:textId="77777777" w:rsidR="00534098" w:rsidRDefault="00534098" w:rsidP="007A39EB">
                  <w:pPr>
                    <w:pStyle w:val="TableBodyText"/>
                  </w:pPr>
                  <w:r w:rsidRPr="00510F08">
                    <w:t>104</w:t>
                  </w:r>
                </w:p>
              </w:tc>
              <w:tc>
                <w:tcPr>
                  <w:tcW w:w="500" w:type="pct"/>
                </w:tcPr>
                <w:p w14:paraId="13D29D17" w14:textId="77777777" w:rsidR="00534098" w:rsidRDefault="00534098" w:rsidP="007A39EB">
                  <w:pPr>
                    <w:pStyle w:val="TableBodyText"/>
                  </w:pPr>
                  <w:r w:rsidRPr="00510F08">
                    <w:t>103</w:t>
                  </w:r>
                </w:p>
              </w:tc>
              <w:tc>
                <w:tcPr>
                  <w:tcW w:w="501" w:type="pct"/>
                </w:tcPr>
                <w:p w14:paraId="11E14790" w14:textId="77777777" w:rsidR="00534098" w:rsidRDefault="00534098" w:rsidP="007A39EB">
                  <w:pPr>
                    <w:pStyle w:val="TableBodyText"/>
                  </w:pPr>
                  <w:r w:rsidRPr="00510F08">
                    <w:t>110</w:t>
                  </w:r>
                </w:p>
              </w:tc>
              <w:tc>
                <w:tcPr>
                  <w:tcW w:w="499" w:type="pct"/>
                </w:tcPr>
                <w:p w14:paraId="0A830860" w14:textId="77777777" w:rsidR="00534098" w:rsidRDefault="00534098" w:rsidP="007A39EB">
                  <w:pPr>
                    <w:pStyle w:val="TableBodyText"/>
                    <w:ind w:right="28"/>
                  </w:pPr>
                  <w:r w:rsidRPr="00510F08">
                    <w:t>99</w:t>
                  </w:r>
                </w:p>
              </w:tc>
            </w:tr>
            <w:tr w:rsidR="00534098" w14:paraId="6CBE16EF" w14:textId="77777777" w:rsidTr="007A39EB">
              <w:tc>
                <w:tcPr>
                  <w:tcW w:w="1833" w:type="pct"/>
                </w:tcPr>
                <w:p w14:paraId="7217F0AC" w14:textId="77777777" w:rsidR="00534098" w:rsidRDefault="00534098" w:rsidP="007A39EB">
                  <w:pPr>
                    <w:pStyle w:val="TableBodyText"/>
                    <w:jc w:val="left"/>
                  </w:pPr>
                  <w:r w:rsidRPr="004B4150">
                    <w:t>Electricity Supply</w:t>
                  </w:r>
                </w:p>
              </w:tc>
              <w:tc>
                <w:tcPr>
                  <w:tcW w:w="1167" w:type="pct"/>
                </w:tcPr>
                <w:p w14:paraId="1B78DD5D" w14:textId="77777777" w:rsidR="00534098" w:rsidRDefault="00534098" w:rsidP="007A39EB">
                  <w:pPr>
                    <w:pStyle w:val="TableBodyText"/>
                    <w:jc w:val="left"/>
                  </w:pPr>
                  <w:r w:rsidRPr="004B4150">
                    <w:t>Electricity, Gas, Water and Waste Services</w:t>
                  </w:r>
                </w:p>
              </w:tc>
              <w:tc>
                <w:tcPr>
                  <w:tcW w:w="500" w:type="pct"/>
                </w:tcPr>
                <w:p w14:paraId="06D0FB66" w14:textId="77777777" w:rsidR="00534098" w:rsidRDefault="00534098" w:rsidP="007A39EB">
                  <w:pPr>
                    <w:pStyle w:val="TableBodyText"/>
                  </w:pPr>
                  <w:r w:rsidRPr="00510F08">
                    <w:t>136</w:t>
                  </w:r>
                </w:p>
              </w:tc>
              <w:tc>
                <w:tcPr>
                  <w:tcW w:w="500" w:type="pct"/>
                </w:tcPr>
                <w:p w14:paraId="1A493DE4" w14:textId="77777777" w:rsidR="00534098" w:rsidRDefault="00534098" w:rsidP="007A39EB">
                  <w:pPr>
                    <w:pStyle w:val="TableBodyText"/>
                  </w:pPr>
                  <w:r w:rsidRPr="00510F08">
                    <w:t>113</w:t>
                  </w:r>
                </w:p>
              </w:tc>
              <w:tc>
                <w:tcPr>
                  <w:tcW w:w="501" w:type="pct"/>
                </w:tcPr>
                <w:p w14:paraId="06D81266" w14:textId="77777777" w:rsidR="00534098" w:rsidRDefault="00534098" w:rsidP="007A39EB">
                  <w:pPr>
                    <w:pStyle w:val="TableBodyText"/>
                  </w:pPr>
                  <w:r w:rsidRPr="00510F08">
                    <w:t>99</w:t>
                  </w:r>
                </w:p>
              </w:tc>
              <w:tc>
                <w:tcPr>
                  <w:tcW w:w="499" w:type="pct"/>
                </w:tcPr>
                <w:p w14:paraId="2A4679DF" w14:textId="77777777" w:rsidR="00534098" w:rsidRDefault="00534098" w:rsidP="007A39EB">
                  <w:pPr>
                    <w:pStyle w:val="TableBodyText"/>
                    <w:ind w:right="28"/>
                  </w:pPr>
                  <w:r w:rsidRPr="00510F08">
                    <w:t>107</w:t>
                  </w:r>
                </w:p>
              </w:tc>
            </w:tr>
            <w:tr w:rsidR="00534098" w14:paraId="1C25B5E3" w14:textId="77777777" w:rsidTr="007A39EB">
              <w:tc>
                <w:tcPr>
                  <w:tcW w:w="1833" w:type="pct"/>
                </w:tcPr>
                <w:p w14:paraId="5382AE22" w14:textId="77777777" w:rsidR="00534098" w:rsidRDefault="00534098" w:rsidP="007A39EB">
                  <w:pPr>
                    <w:pStyle w:val="TableBodyText"/>
                    <w:jc w:val="left"/>
                  </w:pPr>
                  <w:r w:rsidRPr="004B4150">
                    <w:t>Gas Supply</w:t>
                  </w:r>
                </w:p>
              </w:tc>
              <w:tc>
                <w:tcPr>
                  <w:tcW w:w="1167" w:type="pct"/>
                </w:tcPr>
                <w:p w14:paraId="575F29FD" w14:textId="77777777" w:rsidR="00534098" w:rsidRDefault="00534098" w:rsidP="007A39EB">
                  <w:pPr>
                    <w:pStyle w:val="TableBodyText"/>
                    <w:jc w:val="left"/>
                  </w:pPr>
                  <w:r w:rsidRPr="004B4150">
                    <w:t>Electricity, Gas, Water and Waste Services</w:t>
                  </w:r>
                </w:p>
              </w:tc>
              <w:tc>
                <w:tcPr>
                  <w:tcW w:w="500" w:type="pct"/>
                </w:tcPr>
                <w:p w14:paraId="78DAAE5E" w14:textId="77777777" w:rsidR="00534098" w:rsidRDefault="00534098" w:rsidP="007A39EB">
                  <w:pPr>
                    <w:pStyle w:val="TableBodyText"/>
                  </w:pPr>
                  <w:r w:rsidRPr="00510F08">
                    <w:t>150</w:t>
                  </w:r>
                </w:p>
              </w:tc>
              <w:tc>
                <w:tcPr>
                  <w:tcW w:w="500" w:type="pct"/>
                </w:tcPr>
                <w:p w14:paraId="786035B8" w14:textId="77777777" w:rsidR="00534098" w:rsidRDefault="00534098" w:rsidP="007A39EB">
                  <w:pPr>
                    <w:pStyle w:val="TableBodyText"/>
                  </w:pPr>
                  <w:r w:rsidRPr="00510F08">
                    <w:t>132</w:t>
                  </w:r>
                </w:p>
              </w:tc>
              <w:tc>
                <w:tcPr>
                  <w:tcW w:w="501" w:type="pct"/>
                </w:tcPr>
                <w:p w14:paraId="1DF9D180" w14:textId="77777777" w:rsidR="00534098" w:rsidRDefault="00534098" w:rsidP="007A39EB">
                  <w:pPr>
                    <w:pStyle w:val="TableBodyText"/>
                  </w:pPr>
                  <w:r w:rsidRPr="00510F08">
                    <w:t>172</w:t>
                  </w:r>
                </w:p>
              </w:tc>
              <w:tc>
                <w:tcPr>
                  <w:tcW w:w="499" w:type="pct"/>
                </w:tcPr>
                <w:p w14:paraId="13E6E682" w14:textId="77777777" w:rsidR="00534098" w:rsidRDefault="00534098" w:rsidP="007A39EB">
                  <w:pPr>
                    <w:pStyle w:val="TableBodyText"/>
                    <w:ind w:right="28"/>
                  </w:pPr>
                  <w:r w:rsidRPr="00510F08">
                    <w:t>136</w:t>
                  </w:r>
                </w:p>
              </w:tc>
            </w:tr>
            <w:tr w:rsidR="00534098" w14:paraId="5AF36AE8" w14:textId="77777777" w:rsidTr="007A39EB">
              <w:tc>
                <w:tcPr>
                  <w:tcW w:w="1833" w:type="pct"/>
                </w:tcPr>
                <w:p w14:paraId="6DBF82D4" w14:textId="77777777" w:rsidR="00534098" w:rsidRDefault="00534098" w:rsidP="007A39EB">
                  <w:pPr>
                    <w:pStyle w:val="TableBodyText"/>
                    <w:jc w:val="left"/>
                  </w:pPr>
                  <w:r w:rsidRPr="004B4150">
                    <w:t>Water Supply, Sewerage and Drainage Services</w:t>
                  </w:r>
                </w:p>
              </w:tc>
              <w:tc>
                <w:tcPr>
                  <w:tcW w:w="1167" w:type="pct"/>
                </w:tcPr>
                <w:p w14:paraId="670AF626" w14:textId="77777777" w:rsidR="00534098" w:rsidRDefault="00534098" w:rsidP="007A39EB">
                  <w:pPr>
                    <w:pStyle w:val="TableBodyText"/>
                    <w:jc w:val="left"/>
                  </w:pPr>
                  <w:r w:rsidRPr="004B4150">
                    <w:t>Electricity, Gas, Water and Waste Services</w:t>
                  </w:r>
                </w:p>
              </w:tc>
              <w:tc>
                <w:tcPr>
                  <w:tcW w:w="500" w:type="pct"/>
                </w:tcPr>
                <w:p w14:paraId="2A9208D1" w14:textId="77777777" w:rsidR="00534098" w:rsidRDefault="00534098" w:rsidP="007A39EB">
                  <w:pPr>
                    <w:pStyle w:val="TableBodyText"/>
                  </w:pPr>
                  <w:r w:rsidRPr="00510F08">
                    <w:t>119</w:t>
                  </w:r>
                </w:p>
              </w:tc>
              <w:tc>
                <w:tcPr>
                  <w:tcW w:w="500" w:type="pct"/>
                </w:tcPr>
                <w:p w14:paraId="3F68FAD0" w14:textId="77777777" w:rsidR="00534098" w:rsidRDefault="00534098" w:rsidP="007A39EB">
                  <w:pPr>
                    <w:pStyle w:val="TableBodyText"/>
                  </w:pPr>
                  <w:r w:rsidRPr="00510F08">
                    <w:t>116</w:t>
                  </w:r>
                </w:p>
              </w:tc>
              <w:tc>
                <w:tcPr>
                  <w:tcW w:w="501" w:type="pct"/>
                </w:tcPr>
                <w:p w14:paraId="396AE2F1" w14:textId="77777777" w:rsidR="00534098" w:rsidRDefault="00534098" w:rsidP="007A39EB">
                  <w:pPr>
                    <w:pStyle w:val="TableBodyText"/>
                  </w:pPr>
                  <w:r w:rsidRPr="00510F08">
                    <w:t>142</w:t>
                  </w:r>
                </w:p>
              </w:tc>
              <w:tc>
                <w:tcPr>
                  <w:tcW w:w="499" w:type="pct"/>
                </w:tcPr>
                <w:p w14:paraId="5491082C" w14:textId="77777777" w:rsidR="00534098" w:rsidRDefault="00534098" w:rsidP="007A39EB">
                  <w:pPr>
                    <w:pStyle w:val="TableBodyText"/>
                    <w:ind w:right="28"/>
                  </w:pPr>
                  <w:r w:rsidRPr="00510F08">
                    <w:t>118</w:t>
                  </w:r>
                </w:p>
              </w:tc>
            </w:tr>
            <w:tr w:rsidR="00534098" w14:paraId="7714AB2E" w14:textId="77777777" w:rsidTr="007A39EB">
              <w:tc>
                <w:tcPr>
                  <w:tcW w:w="1833" w:type="pct"/>
                  <w:shd w:val="clear" w:color="auto" w:fill="auto"/>
                </w:tcPr>
                <w:p w14:paraId="475927D6" w14:textId="77777777" w:rsidR="00534098" w:rsidRDefault="00534098" w:rsidP="007A39EB">
                  <w:pPr>
                    <w:pStyle w:val="TableBodyText"/>
                    <w:jc w:val="left"/>
                  </w:pPr>
                  <w:r w:rsidRPr="004B4150">
                    <w:t>Waste Collection, Treatment and Disposal Services</w:t>
                  </w:r>
                </w:p>
              </w:tc>
              <w:tc>
                <w:tcPr>
                  <w:tcW w:w="1167" w:type="pct"/>
                </w:tcPr>
                <w:p w14:paraId="425A299D" w14:textId="77777777" w:rsidR="00534098" w:rsidRDefault="00534098" w:rsidP="007A39EB">
                  <w:pPr>
                    <w:pStyle w:val="TableBodyText"/>
                    <w:jc w:val="left"/>
                  </w:pPr>
                  <w:r w:rsidRPr="004B4150">
                    <w:t>Electricity, Gas, Water and Waste Services</w:t>
                  </w:r>
                </w:p>
              </w:tc>
              <w:tc>
                <w:tcPr>
                  <w:tcW w:w="500" w:type="pct"/>
                </w:tcPr>
                <w:p w14:paraId="17FB42F4" w14:textId="77777777" w:rsidR="00534098" w:rsidRDefault="00534098" w:rsidP="007A39EB">
                  <w:pPr>
                    <w:pStyle w:val="TableBodyText"/>
                  </w:pPr>
                  <w:r w:rsidRPr="00510F08">
                    <w:t>98</w:t>
                  </w:r>
                </w:p>
              </w:tc>
              <w:tc>
                <w:tcPr>
                  <w:tcW w:w="500" w:type="pct"/>
                </w:tcPr>
                <w:p w14:paraId="1D445918" w14:textId="77777777" w:rsidR="00534098" w:rsidRDefault="00534098" w:rsidP="007A39EB">
                  <w:pPr>
                    <w:pStyle w:val="TableBodyText"/>
                  </w:pPr>
                  <w:r w:rsidRPr="00510F08">
                    <w:t>100</w:t>
                  </w:r>
                </w:p>
              </w:tc>
              <w:tc>
                <w:tcPr>
                  <w:tcW w:w="501" w:type="pct"/>
                  <w:shd w:val="clear" w:color="auto" w:fill="auto"/>
                </w:tcPr>
                <w:p w14:paraId="621AA803" w14:textId="77777777" w:rsidR="00534098" w:rsidRDefault="00534098" w:rsidP="007A39EB">
                  <w:pPr>
                    <w:pStyle w:val="TableBodyText"/>
                  </w:pPr>
                  <w:r w:rsidRPr="00510F08">
                    <w:t>105</w:t>
                  </w:r>
                </w:p>
              </w:tc>
              <w:tc>
                <w:tcPr>
                  <w:tcW w:w="499" w:type="pct"/>
                  <w:shd w:val="clear" w:color="auto" w:fill="auto"/>
                </w:tcPr>
                <w:p w14:paraId="33AC6111" w14:textId="77777777" w:rsidR="00534098" w:rsidRDefault="00534098" w:rsidP="007A39EB">
                  <w:pPr>
                    <w:pStyle w:val="TableBodyText"/>
                    <w:ind w:right="28"/>
                  </w:pPr>
                  <w:r w:rsidRPr="00510F08">
                    <w:t>111</w:t>
                  </w:r>
                </w:p>
              </w:tc>
            </w:tr>
            <w:tr w:rsidR="00534098" w14:paraId="67A383A0" w14:textId="77777777" w:rsidTr="007A39EB">
              <w:tc>
                <w:tcPr>
                  <w:tcW w:w="1833" w:type="pct"/>
                  <w:shd w:val="clear" w:color="auto" w:fill="auto"/>
                </w:tcPr>
                <w:p w14:paraId="6EF7F407" w14:textId="77777777" w:rsidR="00534098" w:rsidRDefault="00534098" w:rsidP="007A39EB">
                  <w:pPr>
                    <w:pStyle w:val="TableBodyText"/>
                    <w:jc w:val="left"/>
                  </w:pPr>
                  <w:r w:rsidRPr="004B4150">
                    <w:t>Building Construction</w:t>
                  </w:r>
                </w:p>
              </w:tc>
              <w:tc>
                <w:tcPr>
                  <w:tcW w:w="1167" w:type="pct"/>
                </w:tcPr>
                <w:p w14:paraId="3959952C" w14:textId="77777777" w:rsidR="00534098" w:rsidRDefault="00534098" w:rsidP="007A39EB">
                  <w:pPr>
                    <w:pStyle w:val="TableBodyText"/>
                    <w:jc w:val="left"/>
                  </w:pPr>
                  <w:r w:rsidRPr="004B4150">
                    <w:t>Construction</w:t>
                  </w:r>
                </w:p>
              </w:tc>
              <w:tc>
                <w:tcPr>
                  <w:tcW w:w="500" w:type="pct"/>
                </w:tcPr>
                <w:p w14:paraId="3CBC90BA" w14:textId="77777777" w:rsidR="00534098" w:rsidRDefault="00534098" w:rsidP="007A39EB">
                  <w:pPr>
                    <w:pStyle w:val="TableBodyText"/>
                  </w:pPr>
                  <w:r w:rsidRPr="00510F08">
                    <w:t>110</w:t>
                  </w:r>
                </w:p>
              </w:tc>
              <w:tc>
                <w:tcPr>
                  <w:tcW w:w="500" w:type="pct"/>
                </w:tcPr>
                <w:p w14:paraId="2908FDF2" w14:textId="77777777" w:rsidR="00534098" w:rsidRDefault="00534098" w:rsidP="007A39EB">
                  <w:pPr>
                    <w:pStyle w:val="TableBodyText"/>
                  </w:pPr>
                  <w:r w:rsidRPr="00510F08">
                    <w:t>109</w:t>
                  </w:r>
                </w:p>
              </w:tc>
              <w:tc>
                <w:tcPr>
                  <w:tcW w:w="501" w:type="pct"/>
                  <w:shd w:val="clear" w:color="auto" w:fill="auto"/>
                </w:tcPr>
                <w:p w14:paraId="5903069A" w14:textId="77777777" w:rsidR="00534098" w:rsidRDefault="00534098" w:rsidP="007A39EB">
                  <w:pPr>
                    <w:pStyle w:val="TableBodyText"/>
                  </w:pPr>
                  <w:r w:rsidRPr="00510F08">
                    <w:t>117</w:t>
                  </w:r>
                </w:p>
              </w:tc>
              <w:tc>
                <w:tcPr>
                  <w:tcW w:w="499" w:type="pct"/>
                  <w:shd w:val="clear" w:color="auto" w:fill="auto"/>
                </w:tcPr>
                <w:p w14:paraId="64212C0B" w14:textId="77777777" w:rsidR="00534098" w:rsidRDefault="00534098" w:rsidP="007A39EB">
                  <w:pPr>
                    <w:pStyle w:val="TableBodyText"/>
                    <w:ind w:right="28"/>
                  </w:pPr>
                  <w:r w:rsidRPr="00510F08">
                    <w:t>108</w:t>
                  </w:r>
                </w:p>
              </w:tc>
            </w:tr>
            <w:tr w:rsidR="00534098" w14:paraId="7CEE9FF6" w14:textId="77777777" w:rsidTr="007A39EB">
              <w:tc>
                <w:tcPr>
                  <w:tcW w:w="1833" w:type="pct"/>
                  <w:shd w:val="clear" w:color="auto" w:fill="auto"/>
                </w:tcPr>
                <w:p w14:paraId="06FD84F8" w14:textId="77777777" w:rsidR="00534098" w:rsidRDefault="00534098" w:rsidP="007A39EB">
                  <w:pPr>
                    <w:pStyle w:val="TableBodyText"/>
                    <w:jc w:val="left"/>
                  </w:pPr>
                  <w:r w:rsidRPr="004B4150">
                    <w:t>Heavy and Civil Engineering Construction</w:t>
                  </w:r>
                </w:p>
              </w:tc>
              <w:tc>
                <w:tcPr>
                  <w:tcW w:w="1167" w:type="pct"/>
                </w:tcPr>
                <w:p w14:paraId="46E2CA87" w14:textId="77777777" w:rsidR="00534098" w:rsidRDefault="00534098" w:rsidP="007A39EB">
                  <w:pPr>
                    <w:pStyle w:val="TableBodyText"/>
                    <w:jc w:val="left"/>
                  </w:pPr>
                  <w:r w:rsidRPr="004B4150">
                    <w:t>Construction</w:t>
                  </w:r>
                </w:p>
              </w:tc>
              <w:tc>
                <w:tcPr>
                  <w:tcW w:w="500" w:type="pct"/>
                </w:tcPr>
                <w:p w14:paraId="05806BDF" w14:textId="77777777" w:rsidR="00534098" w:rsidRDefault="00534098" w:rsidP="007A39EB">
                  <w:pPr>
                    <w:pStyle w:val="TableBodyText"/>
                  </w:pPr>
                  <w:r w:rsidRPr="00510F08">
                    <w:t>110</w:t>
                  </w:r>
                </w:p>
              </w:tc>
              <w:tc>
                <w:tcPr>
                  <w:tcW w:w="500" w:type="pct"/>
                </w:tcPr>
                <w:p w14:paraId="2AB700C9" w14:textId="77777777" w:rsidR="00534098" w:rsidRDefault="00534098" w:rsidP="007A39EB">
                  <w:pPr>
                    <w:pStyle w:val="TableBodyText"/>
                  </w:pPr>
                  <w:r w:rsidRPr="00510F08">
                    <w:t>111</w:t>
                  </w:r>
                </w:p>
              </w:tc>
              <w:tc>
                <w:tcPr>
                  <w:tcW w:w="501" w:type="pct"/>
                  <w:shd w:val="clear" w:color="auto" w:fill="auto"/>
                </w:tcPr>
                <w:p w14:paraId="49A5F064" w14:textId="77777777" w:rsidR="00534098" w:rsidRDefault="00534098" w:rsidP="007A39EB">
                  <w:pPr>
                    <w:pStyle w:val="TableBodyText"/>
                  </w:pPr>
                  <w:r w:rsidRPr="00510F08">
                    <w:t>94</w:t>
                  </w:r>
                </w:p>
              </w:tc>
              <w:tc>
                <w:tcPr>
                  <w:tcW w:w="499" w:type="pct"/>
                  <w:shd w:val="clear" w:color="auto" w:fill="auto"/>
                </w:tcPr>
                <w:p w14:paraId="7E041034" w14:textId="77777777" w:rsidR="00534098" w:rsidRDefault="00534098" w:rsidP="007A39EB">
                  <w:pPr>
                    <w:pStyle w:val="TableBodyText"/>
                    <w:ind w:right="28"/>
                  </w:pPr>
                  <w:r w:rsidRPr="00510F08">
                    <w:t>105</w:t>
                  </w:r>
                </w:p>
              </w:tc>
            </w:tr>
            <w:tr w:rsidR="00534098" w14:paraId="6509C30B" w14:textId="77777777" w:rsidTr="007A39EB">
              <w:tc>
                <w:tcPr>
                  <w:tcW w:w="1833" w:type="pct"/>
                  <w:shd w:val="clear" w:color="auto" w:fill="auto"/>
                </w:tcPr>
                <w:p w14:paraId="697B90FB" w14:textId="77777777" w:rsidR="00534098" w:rsidRPr="003E2EB4" w:rsidRDefault="00534098" w:rsidP="007A39EB">
                  <w:pPr>
                    <w:pStyle w:val="TableBodyText"/>
                    <w:jc w:val="left"/>
                  </w:pPr>
                  <w:r w:rsidRPr="004B4150">
                    <w:t>Construction Services</w:t>
                  </w:r>
                </w:p>
              </w:tc>
              <w:tc>
                <w:tcPr>
                  <w:tcW w:w="1167" w:type="pct"/>
                </w:tcPr>
                <w:p w14:paraId="4475EDB0" w14:textId="77777777" w:rsidR="00534098" w:rsidRPr="003E2EB4" w:rsidRDefault="00534098" w:rsidP="007A39EB">
                  <w:pPr>
                    <w:pStyle w:val="TableBodyText"/>
                    <w:jc w:val="left"/>
                  </w:pPr>
                  <w:r w:rsidRPr="004B4150">
                    <w:t>Construction</w:t>
                  </w:r>
                </w:p>
              </w:tc>
              <w:tc>
                <w:tcPr>
                  <w:tcW w:w="500" w:type="pct"/>
                </w:tcPr>
                <w:p w14:paraId="7B2C401E" w14:textId="77777777" w:rsidR="00534098" w:rsidRDefault="00534098" w:rsidP="007A39EB">
                  <w:pPr>
                    <w:pStyle w:val="TableBodyText"/>
                  </w:pPr>
                  <w:r w:rsidRPr="00510F08">
                    <w:t>94</w:t>
                  </w:r>
                </w:p>
              </w:tc>
              <w:tc>
                <w:tcPr>
                  <w:tcW w:w="500" w:type="pct"/>
                </w:tcPr>
                <w:p w14:paraId="6BA4AE2A" w14:textId="77777777" w:rsidR="00534098" w:rsidRDefault="00534098" w:rsidP="007A39EB">
                  <w:pPr>
                    <w:pStyle w:val="TableBodyText"/>
                  </w:pPr>
                  <w:r w:rsidRPr="00510F08">
                    <w:t>91</w:t>
                  </w:r>
                </w:p>
              </w:tc>
              <w:tc>
                <w:tcPr>
                  <w:tcW w:w="501" w:type="pct"/>
                  <w:shd w:val="clear" w:color="auto" w:fill="auto"/>
                </w:tcPr>
                <w:p w14:paraId="27BA776C" w14:textId="77777777" w:rsidR="00534098" w:rsidRDefault="00534098" w:rsidP="007A39EB">
                  <w:pPr>
                    <w:pStyle w:val="TableBodyText"/>
                  </w:pPr>
                  <w:r w:rsidRPr="00510F08">
                    <w:t>93</w:t>
                  </w:r>
                </w:p>
              </w:tc>
              <w:tc>
                <w:tcPr>
                  <w:tcW w:w="499" w:type="pct"/>
                  <w:shd w:val="clear" w:color="auto" w:fill="auto"/>
                </w:tcPr>
                <w:p w14:paraId="37842EF2" w14:textId="77777777" w:rsidR="00534098" w:rsidRDefault="00534098" w:rsidP="007A39EB">
                  <w:pPr>
                    <w:pStyle w:val="TableBodyText"/>
                    <w:ind w:right="28"/>
                  </w:pPr>
                  <w:r w:rsidRPr="00510F08">
                    <w:t>92</w:t>
                  </w:r>
                </w:p>
              </w:tc>
            </w:tr>
            <w:tr w:rsidR="00534098" w14:paraId="12EF798A" w14:textId="77777777" w:rsidTr="007A39EB">
              <w:tc>
                <w:tcPr>
                  <w:tcW w:w="1833" w:type="pct"/>
                  <w:shd w:val="clear" w:color="auto" w:fill="auto"/>
                </w:tcPr>
                <w:p w14:paraId="428C61A0" w14:textId="77777777" w:rsidR="00534098" w:rsidRPr="003E2EB4" w:rsidRDefault="00534098" w:rsidP="007A39EB">
                  <w:pPr>
                    <w:pStyle w:val="TableBodyText"/>
                    <w:jc w:val="left"/>
                  </w:pPr>
                  <w:r w:rsidRPr="004B4150">
                    <w:t>Basic Material Wholesaling</w:t>
                  </w:r>
                </w:p>
              </w:tc>
              <w:tc>
                <w:tcPr>
                  <w:tcW w:w="1167" w:type="pct"/>
                </w:tcPr>
                <w:p w14:paraId="1E8A0ECB" w14:textId="77777777" w:rsidR="00534098" w:rsidRPr="003E2EB4" w:rsidRDefault="00534098" w:rsidP="007A39EB">
                  <w:pPr>
                    <w:pStyle w:val="TableBodyText"/>
                    <w:jc w:val="left"/>
                  </w:pPr>
                  <w:r w:rsidRPr="004B4150">
                    <w:t>Wholesale Trade</w:t>
                  </w:r>
                </w:p>
              </w:tc>
              <w:tc>
                <w:tcPr>
                  <w:tcW w:w="500" w:type="pct"/>
                </w:tcPr>
                <w:p w14:paraId="31664927" w14:textId="77777777" w:rsidR="00534098" w:rsidRDefault="00534098" w:rsidP="007A39EB">
                  <w:pPr>
                    <w:pStyle w:val="TableBodyText"/>
                  </w:pPr>
                  <w:r w:rsidRPr="00510F08">
                    <w:t>94</w:t>
                  </w:r>
                </w:p>
              </w:tc>
              <w:tc>
                <w:tcPr>
                  <w:tcW w:w="500" w:type="pct"/>
                </w:tcPr>
                <w:p w14:paraId="3C113AFB" w14:textId="77777777" w:rsidR="00534098" w:rsidRDefault="00534098" w:rsidP="007A39EB">
                  <w:pPr>
                    <w:pStyle w:val="TableBodyText"/>
                  </w:pPr>
                  <w:r w:rsidRPr="00510F08">
                    <w:t>94</w:t>
                  </w:r>
                </w:p>
              </w:tc>
              <w:tc>
                <w:tcPr>
                  <w:tcW w:w="501" w:type="pct"/>
                  <w:shd w:val="clear" w:color="auto" w:fill="auto"/>
                </w:tcPr>
                <w:p w14:paraId="7C10728A" w14:textId="77777777" w:rsidR="00534098" w:rsidRDefault="00534098" w:rsidP="007A39EB">
                  <w:pPr>
                    <w:pStyle w:val="TableBodyText"/>
                  </w:pPr>
                  <w:r w:rsidRPr="00510F08">
                    <w:t>96</w:t>
                  </w:r>
                </w:p>
              </w:tc>
              <w:tc>
                <w:tcPr>
                  <w:tcW w:w="499" w:type="pct"/>
                  <w:shd w:val="clear" w:color="auto" w:fill="auto"/>
                </w:tcPr>
                <w:p w14:paraId="1E0723A7" w14:textId="77777777" w:rsidR="00534098" w:rsidRDefault="00534098" w:rsidP="007A39EB">
                  <w:pPr>
                    <w:pStyle w:val="TableBodyText"/>
                    <w:ind w:right="28"/>
                  </w:pPr>
                  <w:r w:rsidRPr="00510F08">
                    <w:t>111</w:t>
                  </w:r>
                </w:p>
              </w:tc>
            </w:tr>
            <w:tr w:rsidR="00534098" w14:paraId="21DA9ED5" w14:textId="77777777" w:rsidTr="007A39EB">
              <w:tc>
                <w:tcPr>
                  <w:tcW w:w="1833" w:type="pct"/>
                  <w:shd w:val="clear" w:color="auto" w:fill="auto"/>
                </w:tcPr>
                <w:p w14:paraId="08165BA2" w14:textId="77777777" w:rsidR="00534098" w:rsidRPr="003E2EB4" w:rsidRDefault="00534098" w:rsidP="007A39EB">
                  <w:pPr>
                    <w:pStyle w:val="TableBodyText"/>
                    <w:jc w:val="left"/>
                  </w:pPr>
                  <w:r w:rsidRPr="004B4150">
                    <w:t>Machinery and Equipment Wholesaling</w:t>
                  </w:r>
                </w:p>
              </w:tc>
              <w:tc>
                <w:tcPr>
                  <w:tcW w:w="1167" w:type="pct"/>
                </w:tcPr>
                <w:p w14:paraId="5CC607AD" w14:textId="77777777" w:rsidR="00534098" w:rsidRPr="003E2EB4" w:rsidRDefault="00534098" w:rsidP="007A39EB">
                  <w:pPr>
                    <w:pStyle w:val="TableBodyText"/>
                    <w:jc w:val="left"/>
                  </w:pPr>
                  <w:r w:rsidRPr="004B4150">
                    <w:t>Wholesale Trade</w:t>
                  </w:r>
                </w:p>
              </w:tc>
              <w:tc>
                <w:tcPr>
                  <w:tcW w:w="500" w:type="pct"/>
                </w:tcPr>
                <w:p w14:paraId="34217009" w14:textId="77777777" w:rsidR="00534098" w:rsidRDefault="00534098" w:rsidP="007A39EB">
                  <w:pPr>
                    <w:pStyle w:val="TableBodyText"/>
                  </w:pPr>
                  <w:r w:rsidRPr="00510F08">
                    <w:t>112</w:t>
                  </w:r>
                </w:p>
              </w:tc>
              <w:tc>
                <w:tcPr>
                  <w:tcW w:w="500" w:type="pct"/>
                </w:tcPr>
                <w:p w14:paraId="01D3CA3D" w14:textId="77777777" w:rsidR="00534098" w:rsidRDefault="00534098" w:rsidP="007A39EB">
                  <w:pPr>
                    <w:pStyle w:val="TableBodyText"/>
                  </w:pPr>
                  <w:r w:rsidRPr="00510F08">
                    <w:t>104</w:t>
                  </w:r>
                </w:p>
              </w:tc>
              <w:tc>
                <w:tcPr>
                  <w:tcW w:w="501" w:type="pct"/>
                  <w:shd w:val="clear" w:color="auto" w:fill="auto"/>
                </w:tcPr>
                <w:p w14:paraId="350225C8" w14:textId="77777777" w:rsidR="00534098" w:rsidRDefault="00534098" w:rsidP="007A39EB">
                  <w:pPr>
                    <w:pStyle w:val="TableBodyText"/>
                  </w:pPr>
                  <w:r w:rsidRPr="00510F08">
                    <w:t>97</w:t>
                  </w:r>
                </w:p>
              </w:tc>
              <w:tc>
                <w:tcPr>
                  <w:tcW w:w="499" w:type="pct"/>
                  <w:shd w:val="clear" w:color="auto" w:fill="auto"/>
                </w:tcPr>
                <w:p w14:paraId="2E703629" w14:textId="77777777" w:rsidR="00534098" w:rsidRDefault="00534098" w:rsidP="007A39EB">
                  <w:pPr>
                    <w:pStyle w:val="TableBodyText"/>
                    <w:ind w:right="28"/>
                  </w:pPr>
                  <w:r w:rsidRPr="00510F08">
                    <w:t>83</w:t>
                  </w:r>
                </w:p>
              </w:tc>
            </w:tr>
            <w:tr w:rsidR="00534098" w14:paraId="46F3F6C0" w14:textId="77777777" w:rsidTr="007A39EB">
              <w:tc>
                <w:tcPr>
                  <w:tcW w:w="1833" w:type="pct"/>
                  <w:shd w:val="clear" w:color="auto" w:fill="auto"/>
                </w:tcPr>
                <w:p w14:paraId="5B0C2659" w14:textId="77777777" w:rsidR="00534098" w:rsidRPr="003E2EB4" w:rsidRDefault="00534098" w:rsidP="007A39EB">
                  <w:pPr>
                    <w:pStyle w:val="TableBodyText"/>
                    <w:jc w:val="left"/>
                  </w:pPr>
                  <w:r w:rsidRPr="004B4150">
                    <w:t>Motor Vehicle and Motor Vehicle Parts Wholesaling</w:t>
                  </w:r>
                </w:p>
              </w:tc>
              <w:tc>
                <w:tcPr>
                  <w:tcW w:w="1167" w:type="pct"/>
                </w:tcPr>
                <w:p w14:paraId="7C27FD6B" w14:textId="77777777" w:rsidR="00534098" w:rsidRPr="003E2EB4" w:rsidRDefault="00534098" w:rsidP="007A39EB">
                  <w:pPr>
                    <w:pStyle w:val="TableBodyText"/>
                    <w:jc w:val="left"/>
                  </w:pPr>
                  <w:r w:rsidRPr="004B4150">
                    <w:t>Wholesale Trade</w:t>
                  </w:r>
                </w:p>
              </w:tc>
              <w:tc>
                <w:tcPr>
                  <w:tcW w:w="500" w:type="pct"/>
                </w:tcPr>
                <w:p w14:paraId="2531F0F4" w14:textId="77777777" w:rsidR="00534098" w:rsidRDefault="00534098" w:rsidP="007A39EB">
                  <w:pPr>
                    <w:pStyle w:val="TableBodyText"/>
                  </w:pPr>
                  <w:r w:rsidRPr="00510F08">
                    <w:t>118</w:t>
                  </w:r>
                </w:p>
              </w:tc>
              <w:tc>
                <w:tcPr>
                  <w:tcW w:w="500" w:type="pct"/>
                </w:tcPr>
                <w:p w14:paraId="07F57685" w14:textId="77777777" w:rsidR="00534098" w:rsidRDefault="00534098" w:rsidP="007A39EB">
                  <w:pPr>
                    <w:pStyle w:val="TableBodyText"/>
                  </w:pPr>
                  <w:r w:rsidRPr="00510F08">
                    <w:t>107</w:t>
                  </w:r>
                </w:p>
              </w:tc>
              <w:tc>
                <w:tcPr>
                  <w:tcW w:w="501" w:type="pct"/>
                  <w:shd w:val="clear" w:color="auto" w:fill="auto"/>
                </w:tcPr>
                <w:p w14:paraId="6ED0706E" w14:textId="77777777" w:rsidR="00534098" w:rsidRDefault="00534098" w:rsidP="007A39EB">
                  <w:pPr>
                    <w:pStyle w:val="TableBodyText"/>
                  </w:pPr>
                  <w:r w:rsidRPr="00510F08">
                    <w:t>126</w:t>
                  </w:r>
                </w:p>
              </w:tc>
              <w:tc>
                <w:tcPr>
                  <w:tcW w:w="499" w:type="pct"/>
                  <w:shd w:val="clear" w:color="auto" w:fill="auto"/>
                </w:tcPr>
                <w:p w14:paraId="4D761AEE" w14:textId="77777777" w:rsidR="00534098" w:rsidRDefault="00534098" w:rsidP="007A39EB">
                  <w:pPr>
                    <w:pStyle w:val="TableBodyText"/>
                    <w:ind w:right="28"/>
                  </w:pPr>
                  <w:r w:rsidRPr="00510F08">
                    <w:t>153</w:t>
                  </w:r>
                </w:p>
              </w:tc>
            </w:tr>
            <w:tr w:rsidR="00534098" w14:paraId="6A5FC80B" w14:textId="77777777" w:rsidTr="007A39EB">
              <w:tc>
                <w:tcPr>
                  <w:tcW w:w="1833" w:type="pct"/>
                  <w:shd w:val="clear" w:color="auto" w:fill="auto"/>
                </w:tcPr>
                <w:p w14:paraId="184DF8DF" w14:textId="77777777" w:rsidR="00534098" w:rsidRPr="003E2EB4" w:rsidRDefault="00534098" w:rsidP="007A39EB">
                  <w:pPr>
                    <w:pStyle w:val="TableBodyText"/>
                    <w:jc w:val="left"/>
                  </w:pPr>
                  <w:r w:rsidRPr="004B4150">
                    <w:t>Grocery, Liquor and Tobacco Product Wholesaling</w:t>
                  </w:r>
                </w:p>
              </w:tc>
              <w:tc>
                <w:tcPr>
                  <w:tcW w:w="1167" w:type="pct"/>
                </w:tcPr>
                <w:p w14:paraId="025143AE" w14:textId="77777777" w:rsidR="00534098" w:rsidRPr="003E2EB4" w:rsidRDefault="00534098" w:rsidP="007A39EB">
                  <w:pPr>
                    <w:pStyle w:val="TableBodyText"/>
                    <w:jc w:val="left"/>
                  </w:pPr>
                  <w:r w:rsidRPr="004B4150">
                    <w:t>Wholesale Trade</w:t>
                  </w:r>
                </w:p>
              </w:tc>
              <w:tc>
                <w:tcPr>
                  <w:tcW w:w="500" w:type="pct"/>
                </w:tcPr>
                <w:p w14:paraId="029E1453" w14:textId="77777777" w:rsidR="00534098" w:rsidRDefault="00534098" w:rsidP="007A39EB">
                  <w:pPr>
                    <w:pStyle w:val="TableBodyText"/>
                  </w:pPr>
                  <w:r w:rsidRPr="00510F08">
                    <w:t>113</w:t>
                  </w:r>
                </w:p>
              </w:tc>
              <w:tc>
                <w:tcPr>
                  <w:tcW w:w="500" w:type="pct"/>
                </w:tcPr>
                <w:p w14:paraId="057E6AC8" w14:textId="77777777" w:rsidR="00534098" w:rsidRDefault="00534098" w:rsidP="007A39EB">
                  <w:pPr>
                    <w:pStyle w:val="TableBodyText"/>
                  </w:pPr>
                  <w:r w:rsidRPr="00510F08">
                    <w:t>121</w:t>
                  </w:r>
                </w:p>
              </w:tc>
              <w:tc>
                <w:tcPr>
                  <w:tcW w:w="501" w:type="pct"/>
                  <w:shd w:val="clear" w:color="auto" w:fill="auto"/>
                </w:tcPr>
                <w:p w14:paraId="5DD32EBA" w14:textId="77777777" w:rsidR="00534098" w:rsidRDefault="00534098" w:rsidP="007A39EB">
                  <w:pPr>
                    <w:pStyle w:val="TableBodyText"/>
                  </w:pPr>
                  <w:r w:rsidRPr="00510F08">
                    <w:t>105</w:t>
                  </w:r>
                </w:p>
              </w:tc>
              <w:tc>
                <w:tcPr>
                  <w:tcW w:w="499" w:type="pct"/>
                  <w:shd w:val="clear" w:color="auto" w:fill="auto"/>
                </w:tcPr>
                <w:p w14:paraId="09B47100" w14:textId="77777777" w:rsidR="00534098" w:rsidRDefault="00534098" w:rsidP="007A39EB">
                  <w:pPr>
                    <w:pStyle w:val="TableBodyText"/>
                    <w:ind w:right="28"/>
                  </w:pPr>
                  <w:r w:rsidRPr="00510F08">
                    <w:t>112</w:t>
                  </w:r>
                </w:p>
              </w:tc>
            </w:tr>
            <w:tr w:rsidR="00534098" w14:paraId="11A18563" w14:textId="77777777" w:rsidTr="007A39EB">
              <w:tc>
                <w:tcPr>
                  <w:tcW w:w="1833" w:type="pct"/>
                  <w:shd w:val="clear" w:color="auto" w:fill="auto"/>
                </w:tcPr>
                <w:p w14:paraId="778A2CED" w14:textId="77777777" w:rsidR="00534098" w:rsidRPr="003E2EB4" w:rsidRDefault="00534098" w:rsidP="007A39EB">
                  <w:pPr>
                    <w:pStyle w:val="TableBodyText"/>
                    <w:jc w:val="left"/>
                  </w:pPr>
                  <w:r w:rsidRPr="004B4150">
                    <w:t>Other Goods Wholesaling</w:t>
                  </w:r>
                </w:p>
              </w:tc>
              <w:tc>
                <w:tcPr>
                  <w:tcW w:w="1167" w:type="pct"/>
                </w:tcPr>
                <w:p w14:paraId="0AEA85A0" w14:textId="77777777" w:rsidR="00534098" w:rsidRPr="003E2EB4" w:rsidRDefault="00534098" w:rsidP="007A39EB">
                  <w:pPr>
                    <w:pStyle w:val="TableBodyText"/>
                    <w:jc w:val="left"/>
                  </w:pPr>
                  <w:r w:rsidRPr="004B4150">
                    <w:t>Wholesale Trade</w:t>
                  </w:r>
                </w:p>
              </w:tc>
              <w:tc>
                <w:tcPr>
                  <w:tcW w:w="500" w:type="pct"/>
                </w:tcPr>
                <w:p w14:paraId="6214F29C" w14:textId="77777777" w:rsidR="00534098" w:rsidRDefault="00534098" w:rsidP="007A39EB">
                  <w:pPr>
                    <w:pStyle w:val="TableBodyText"/>
                  </w:pPr>
                  <w:r w:rsidRPr="00510F08">
                    <w:t>87</w:t>
                  </w:r>
                </w:p>
              </w:tc>
              <w:tc>
                <w:tcPr>
                  <w:tcW w:w="500" w:type="pct"/>
                </w:tcPr>
                <w:p w14:paraId="58AC404F" w14:textId="77777777" w:rsidR="00534098" w:rsidRDefault="00534098" w:rsidP="007A39EB">
                  <w:pPr>
                    <w:pStyle w:val="TableBodyText"/>
                  </w:pPr>
                  <w:r w:rsidRPr="00510F08">
                    <w:t>103</w:t>
                  </w:r>
                </w:p>
              </w:tc>
              <w:tc>
                <w:tcPr>
                  <w:tcW w:w="501" w:type="pct"/>
                  <w:shd w:val="clear" w:color="auto" w:fill="auto"/>
                </w:tcPr>
                <w:p w14:paraId="632BF748" w14:textId="77777777" w:rsidR="00534098" w:rsidRDefault="00534098" w:rsidP="007A39EB">
                  <w:pPr>
                    <w:pStyle w:val="TableBodyText"/>
                  </w:pPr>
                  <w:r w:rsidRPr="00510F08">
                    <w:t>81</w:t>
                  </w:r>
                </w:p>
              </w:tc>
              <w:tc>
                <w:tcPr>
                  <w:tcW w:w="499" w:type="pct"/>
                  <w:shd w:val="clear" w:color="auto" w:fill="auto"/>
                </w:tcPr>
                <w:p w14:paraId="28BA642B" w14:textId="77777777" w:rsidR="00534098" w:rsidRDefault="00534098" w:rsidP="007A39EB">
                  <w:pPr>
                    <w:pStyle w:val="TableBodyText"/>
                    <w:ind w:right="28"/>
                  </w:pPr>
                  <w:r w:rsidRPr="00510F08">
                    <w:t>94</w:t>
                  </w:r>
                </w:p>
              </w:tc>
            </w:tr>
            <w:tr w:rsidR="00534098" w14:paraId="4AB97237" w14:textId="77777777" w:rsidTr="007A39EB">
              <w:tc>
                <w:tcPr>
                  <w:tcW w:w="1833" w:type="pct"/>
                  <w:shd w:val="clear" w:color="auto" w:fill="auto"/>
                </w:tcPr>
                <w:p w14:paraId="7C86F08B" w14:textId="77777777" w:rsidR="00534098" w:rsidRPr="00880615" w:rsidRDefault="00534098" w:rsidP="007A39EB">
                  <w:pPr>
                    <w:pStyle w:val="TableBodyText"/>
                    <w:jc w:val="left"/>
                  </w:pPr>
                  <w:r w:rsidRPr="004B4150">
                    <w:t>Commission</w:t>
                  </w:r>
                  <w:r>
                    <w:noBreakHyphen/>
                  </w:r>
                  <w:r w:rsidRPr="004B4150">
                    <w:t>Based Wholesaling</w:t>
                  </w:r>
                </w:p>
              </w:tc>
              <w:tc>
                <w:tcPr>
                  <w:tcW w:w="1167" w:type="pct"/>
                </w:tcPr>
                <w:p w14:paraId="5FC6EC92" w14:textId="77777777" w:rsidR="00534098" w:rsidRPr="00880615" w:rsidRDefault="00534098" w:rsidP="007A39EB">
                  <w:pPr>
                    <w:pStyle w:val="TableBodyText"/>
                    <w:jc w:val="left"/>
                  </w:pPr>
                  <w:r w:rsidRPr="004B4150">
                    <w:t>Wholesale Trade</w:t>
                  </w:r>
                </w:p>
              </w:tc>
              <w:tc>
                <w:tcPr>
                  <w:tcW w:w="500" w:type="pct"/>
                </w:tcPr>
                <w:p w14:paraId="6D6E826A" w14:textId="77777777" w:rsidR="00534098" w:rsidRDefault="00534098" w:rsidP="007A39EB">
                  <w:pPr>
                    <w:pStyle w:val="TableBodyText"/>
                  </w:pPr>
                  <w:r w:rsidRPr="00510F08">
                    <w:t>82</w:t>
                  </w:r>
                </w:p>
              </w:tc>
              <w:tc>
                <w:tcPr>
                  <w:tcW w:w="500" w:type="pct"/>
                </w:tcPr>
                <w:p w14:paraId="438E137E" w14:textId="77777777" w:rsidR="00534098" w:rsidRDefault="00534098" w:rsidP="007A39EB">
                  <w:pPr>
                    <w:pStyle w:val="TableBodyText"/>
                  </w:pPr>
                  <w:r w:rsidRPr="00510F08">
                    <w:t>100</w:t>
                  </w:r>
                </w:p>
              </w:tc>
              <w:tc>
                <w:tcPr>
                  <w:tcW w:w="501" w:type="pct"/>
                  <w:shd w:val="clear" w:color="auto" w:fill="auto"/>
                </w:tcPr>
                <w:p w14:paraId="3C8EB3B2" w14:textId="77777777" w:rsidR="00534098" w:rsidRDefault="00534098" w:rsidP="007A39EB">
                  <w:pPr>
                    <w:pStyle w:val="TableBodyText"/>
                  </w:pPr>
                  <w:r w:rsidRPr="00510F08">
                    <w:t>83</w:t>
                  </w:r>
                </w:p>
              </w:tc>
              <w:tc>
                <w:tcPr>
                  <w:tcW w:w="499" w:type="pct"/>
                  <w:shd w:val="clear" w:color="auto" w:fill="auto"/>
                </w:tcPr>
                <w:p w14:paraId="49909538" w14:textId="77777777" w:rsidR="00534098" w:rsidRDefault="00534098" w:rsidP="007A39EB">
                  <w:pPr>
                    <w:pStyle w:val="TableBodyText"/>
                    <w:ind w:right="28"/>
                  </w:pPr>
                  <w:r w:rsidRPr="00510F08">
                    <w:t>63</w:t>
                  </w:r>
                </w:p>
              </w:tc>
            </w:tr>
            <w:tr w:rsidR="00534098" w14:paraId="47920FBB" w14:textId="77777777" w:rsidTr="007A39EB">
              <w:tc>
                <w:tcPr>
                  <w:tcW w:w="1833" w:type="pct"/>
                  <w:shd w:val="clear" w:color="auto" w:fill="auto"/>
                </w:tcPr>
                <w:p w14:paraId="475F7EE6" w14:textId="77777777" w:rsidR="00534098" w:rsidRPr="00880615" w:rsidRDefault="00534098" w:rsidP="007A39EB">
                  <w:pPr>
                    <w:pStyle w:val="TableBodyText"/>
                    <w:jc w:val="left"/>
                  </w:pPr>
                  <w:r w:rsidRPr="004B4150">
                    <w:t>Motor Vehicle and Motor Vehicle Parts Retailing</w:t>
                  </w:r>
                </w:p>
              </w:tc>
              <w:tc>
                <w:tcPr>
                  <w:tcW w:w="1167" w:type="pct"/>
                </w:tcPr>
                <w:p w14:paraId="35940C01" w14:textId="77777777" w:rsidR="00534098" w:rsidRPr="00880615" w:rsidRDefault="00534098" w:rsidP="007A39EB">
                  <w:pPr>
                    <w:pStyle w:val="TableBodyText"/>
                    <w:jc w:val="left"/>
                  </w:pPr>
                  <w:r w:rsidRPr="004B4150">
                    <w:t>Retail Trade</w:t>
                  </w:r>
                </w:p>
              </w:tc>
              <w:tc>
                <w:tcPr>
                  <w:tcW w:w="500" w:type="pct"/>
                </w:tcPr>
                <w:p w14:paraId="0B9D6306" w14:textId="77777777" w:rsidR="00534098" w:rsidRDefault="00534098" w:rsidP="007A39EB">
                  <w:pPr>
                    <w:pStyle w:val="TableBodyText"/>
                  </w:pPr>
                  <w:r w:rsidRPr="00510F08">
                    <w:t>94</w:t>
                  </w:r>
                </w:p>
              </w:tc>
              <w:tc>
                <w:tcPr>
                  <w:tcW w:w="500" w:type="pct"/>
                </w:tcPr>
                <w:p w14:paraId="2FEC9CCC" w14:textId="77777777" w:rsidR="00534098" w:rsidRDefault="00534098" w:rsidP="007A39EB">
                  <w:pPr>
                    <w:pStyle w:val="TableBodyText"/>
                  </w:pPr>
                  <w:r w:rsidRPr="00510F08">
                    <w:t>90</w:t>
                  </w:r>
                </w:p>
              </w:tc>
              <w:tc>
                <w:tcPr>
                  <w:tcW w:w="501" w:type="pct"/>
                  <w:shd w:val="clear" w:color="auto" w:fill="auto"/>
                </w:tcPr>
                <w:p w14:paraId="2347F9C1" w14:textId="77777777" w:rsidR="00534098" w:rsidRDefault="00534098" w:rsidP="007A39EB">
                  <w:pPr>
                    <w:pStyle w:val="TableBodyText"/>
                  </w:pPr>
                  <w:r w:rsidRPr="00510F08">
                    <w:t>102</w:t>
                  </w:r>
                </w:p>
              </w:tc>
              <w:tc>
                <w:tcPr>
                  <w:tcW w:w="499" w:type="pct"/>
                  <w:shd w:val="clear" w:color="auto" w:fill="auto"/>
                </w:tcPr>
                <w:p w14:paraId="1B452B12" w14:textId="77777777" w:rsidR="00534098" w:rsidRDefault="00534098" w:rsidP="007A39EB">
                  <w:pPr>
                    <w:pStyle w:val="TableBodyText"/>
                    <w:ind w:right="28"/>
                  </w:pPr>
                  <w:r w:rsidRPr="00510F08">
                    <w:t>103</w:t>
                  </w:r>
                </w:p>
              </w:tc>
            </w:tr>
            <w:tr w:rsidR="00534098" w14:paraId="38C53E85" w14:textId="77777777" w:rsidTr="007A39EB">
              <w:tc>
                <w:tcPr>
                  <w:tcW w:w="1833" w:type="pct"/>
                  <w:shd w:val="clear" w:color="auto" w:fill="auto"/>
                </w:tcPr>
                <w:p w14:paraId="497249A2" w14:textId="77777777" w:rsidR="00534098" w:rsidRPr="00880615" w:rsidRDefault="00534098" w:rsidP="007A39EB">
                  <w:pPr>
                    <w:pStyle w:val="TableBodyText"/>
                    <w:jc w:val="left"/>
                  </w:pPr>
                  <w:r w:rsidRPr="004B4150">
                    <w:t>Fuel Retailing</w:t>
                  </w:r>
                </w:p>
              </w:tc>
              <w:tc>
                <w:tcPr>
                  <w:tcW w:w="1167" w:type="pct"/>
                </w:tcPr>
                <w:p w14:paraId="407F9761" w14:textId="77777777" w:rsidR="00534098" w:rsidRPr="00880615" w:rsidRDefault="00534098" w:rsidP="007A39EB">
                  <w:pPr>
                    <w:pStyle w:val="TableBodyText"/>
                    <w:jc w:val="left"/>
                  </w:pPr>
                  <w:r w:rsidRPr="004B4150">
                    <w:t>Retail Trade</w:t>
                  </w:r>
                </w:p>
              </w:tc>
              <w:tc>
                <w:tcPr>
                  <w:tcW w:w="500" w:type="pct"/>
                </w:tcPr>
                <w:p w14:paraId="79DF41AC" w14:textId="77777777" w:rsidR="00534098" w:rsidRDefault="00534098" w:rsidP="007A39EB">
                  <w:pPr>
                    <w:pStyle w:val="TableBodyText"/>
                  </w:pPr>
                  <w:r w:rsidRPr="00510F08">
                    <w:t>94</w:t>
                  </w:r>
                </w:p>
              </w:tc>
              <w:tc>
                <w:tcPr>
                  <w:tcW w:w="500" w:type="pct"/>
                </w:tcPr>
                <w:p w14:paraId="04E750BC" w14:textId="77777777" w:rsidR="00534098" w:rsidRDefault="00534098" w:rsidP="007A39EB">
                  <w:pPr>
                    <w:pStyle w:val="TableBodyText"/>
                  </w:pPr>
                  <w:r w:rsidRPr="00510F08">
                    <w:t>100</w:t>
                  </w:r>
                </w:p>
              </w:tc>
              <w:tc>
                <w:tcPr>
                  <w:tcW w:w="501" w:type="pct"/>
                  <w:shd w:val="clear" w:color="auto" w:fill="auto"/>
                </w:tcPr>
                <w:p w14:paraId="3910E97B" w14:textId="77777777" w:rsidR="00534098" w:rsidRDefault="00534098" w:rsidP="007A39EB">
                  <w:pPr>
                    <w:pStyle w:val="TableBodyText"/>
                  </w:pPr>
                  <w:r w:rsidRPr="00510F08">
                    <w:t>102</w:t>
                  </w:r>
                </w:p>
              </w:tc>
              <w:tc>
                <w:tcPr>
                  <w:tcW w:w="499" w:type="pct"/>
                  <w:shd w:val="clear" w:color="auto" w:fill="auto"/>
                </w:tcPr>
                <w:p w14:paraId="58D9DB77" w14:textId="77777777" w:rsidR="00534098" w:rsidRDefault="00534098" w:rsidP="007A39EB">
                  <w:pPr>
                    <w:pStyle w:val="TableBodyText"/>
                    <w:ind w:right="28"/>
                  </w:pPr>
                  <w:r w:rsidRPr="00510F08">
                    <w:t>100</w:t>
                  </w:r>
                </w:p>
              </w:tc>
            </w:tr>
            <w:tr w:rsidR="00534098" w14:paraId="022AEE8C" w14:textId="77777777" w:rsidTr="007A39EB">
              <w:tc>
                <w:tcPr>
                  <w:tcW w:w="1833" w:type="pct"/>
                  <w:shd w:val="clear" w:color="auto" w:fill="auto"/>
                </w:tcPr>
                <w:p w14:paraId="01FC4970" w14:textId="77777777" w:rsidR="00534098" w:rsidRPr="00880615" w:rsidRDefault="00534098" w:rsidP="007A39EB">
                  <w:pPr>
                    <w:pStyle w:val="TableBodyText"/>
                    <w:jc w:val="left"/>
                  </w:pPr>
                  <w:r w:rsidRPr="004B4150">
                    <w:t>Food Retailing</w:t>
                  </w:r>
                </w:p>
              </w:tc>
              <w:tc>
                <w:tcPr>
                  <w:tcW w:w="1167" w:type="pct"/>
                </w:tcPr>
                <w:p w14:paraId="469A0E5A" w14:textId="77777777" w:rsidR="00534098" w:rsidRPr="00880615" w:rsidRDefault="00534098" w:rsidP="007A39EB">
                  <w:pPr>
                    <w:pStyle w:val="TableBodyText"/>
                    <w:jc w:val="left"/>
                  </w:pPr>
                  <w:r w:rsidRPr="004B4150">
                    <w:t>Retail Trade</w:t>
                  </w:r>
                </w:p>
              </w:tc>
              <w:tc>
                <w:tcPr>
                  <w:tcW w:w="500" w:type="pct"/>
                </w:tcPr>
                <w:p w14:paraId="1F25632C" w14:textId="77777777" w:rsidR="00534098" w:rsidRDefault="00534098" w:rsidP="007A39EB">
                  <w:pPr>
                    <w:pStyle w:val="TableBodyText"/>
                  </w:pPr>
                  <w:r w:rsidRPr="00510F08">
                    <w:t>96</w:t>
                  </w:r>
                </w:p>
              </w:tc>
              <w:tc>
                <w:tcPr>
                  <w:tcW w:w="500" w:type="pct"/>
                </w:tcPr>
                <w:p w14:paraId="785A5C9B" w14:textId="77777777" w:rsidR="00534098" w:rsidRDefault="00534098" w:rsidP="007A39EB">
                  <w:pPr>
                    <w:pStyle w:val="TableBodyText"/>
                  </w:pPr>
                  <w:r w:rsidRPr="00510F08">
                    <w:t>96</w:t>
                  </w:r>
                </w:p>
              </w:tc>
              <w:tc>
                <w:tcPr>
                  <w:tcW w:w="501" w:type="pct"/>
                  <w:shd w:val="clear" w:color="auto" w:fill="auto"/>
                </w:tcPr>
                <w:p w14:paraId="3D9FAD68" w14:textId="77777777" w:rsidR="00534098" w:rsidRDefault="00534098" w:rsidP="007A39EB">
                  <w:pPr>
                    <w:pStyle w:val="TableBodyText"/>
                  </w:pPr>
                  <w:r w:rsidRPr="00510F08">
                    <w:t>101</w:t>
                  </w:r>
                </w:p>
              </w:tc>
              <w:tc>
                <w:tcPr>
                  <w:tcW w:w="499" w:type="pct"/>
                  <w:shd w:val="clear" w:color="auto" w:fill="auto"/>
                </w:tcPr>
                <w:p w14:paraId="31CC3571" w14:textId="77777777" w:rsidR="00534098" w:rsidRDefault="00534098" w:rsidP="007A39EB">
                  <w:pPr>
                    <w:pStyle w:val="TableBodyText"/>
                    <w:ind w:right="28"/>
                  </w:pPr>
                  <w:r w:rsidRPr="00510F08">
                    <w:t>106</w:t>
                  </w:r>
                </w:p>
              </w:tc>
            </w:tr>
            <w:tr w:rsidR="00534098" w14:paraId="330E1276" w14:textId="77777777" w:rsidTr="007A39EB">
              <w:tc>
                <w:tcPr>
                  <w:tcW w:w="1833" w:type="pct"/>
                  <w:shd w:val="clear" w:color="auto" w:fill="auto"/>
                </w:tcPr>
                <w:p w14:paraId="440E10B4" w14:textId="77777777" w:rsidR="00534098" w:rsidRPr="00880615" w:rsidRDefault="00534098" w:rsidP="007A39EB">
                  <w:pPr>
                    <w:pStyle w:val="TableBodyText"/>
                    <w:jc w:val="left"/>
                  </w:pPr>
                  <w:r w:rsidRPr="004B4150">
                    <w:t>Other Store</w:t>
                  </w:r>
                  <w:r>
                    <w:noBreakHyphen/>
                  </w:r>
                  <w:r w:rsidRPr="004B4150">
                    <w:t>Based Retailing</w:t>
                  </w:r>
                </w:p>
              </w:tc>
              <w:tc>
                <w:tcPr>
                  <w:tcW w:w="1167" w:type="pct"/>
                </w:tcPr>
                <w:p w14:paraId="6AA3AACC" w14:textId="77777777" w:rsidR="00534098" w:rsidRPr="00880615" w:rsidRDefault="00534098" w:rsidP="007A39EB">
                  <w:pPr>
                    <w:pStyle w:val="TableBodyText"/>
                    <w:jc w:val="left"/>
                  </w:pPr>
                  <w:r w:rsidRPr="004B4150">
                    <w:t>Retail Trade</w:t>
                  </w:r>
                </w:p>
              </w:tc>
              <w:tc>
                <w:tcPr>
                  <w:tcW w:w="500" w:type="pct"/>
                </w:tcPr>
                <w:p w14:paraId="23DC4A0C" w14:textId="77777777" w:rsidR="00534098" w:rsidRDefault="00534098" w:rsidP="007A39EB">
                  <w:pPr>
                    <w:pStyle w:val="TableBodyText"/>
                  </w:pPr>
                  <w:r w:rsidRPr="00510F08">
                    <w:t>91</w:t>
                  </w:r>
                </w:p>
              </w:tc>
              <w:tc>
                <w:tcPr>
                  <w:tcW w:w="500" w:type="pct"/>
                </w:tcPr>
                <w:p w14:paraId="55118473" w14:textId="77777777" w:rsidR="00534098" w:rsidRDefault="00534098" w:rsidP="007A39EB">
                  <w:pPr>
                    <w:pStyle w:val="TableBodyText"/>
                  </w:pPr>
                  <w:r w:rsidRPr="00510F08">
                    <w:t>96</w:t>
                  </w:r>
                </w:p>
              </w:tc>
              <w:tc>
                <w:tcPr>
                  <w:tcW w:w="501" w:type="pct"/>
                  <w:shd w:val="clear" w:color="auto" w:fill="auto"/>
                </w:tcPr>
                <w:p w14:paraId="1C1324AB" w14:textId="77777777" w:rsidR="00534098" w:rsidRDefault="00534098" w:rsidP="007A39EB">
                  <w:pPr>
                    <w:pStyle w:val="TableBodyText"/>
                  </w:pPr>
                  <w:r w:rsidRPr="00510F08">
                    <w:t>106</w:t>
                  </w:r>
                </w:p>
              </w:tc>
              <w:tc>
                <w:tcPr>
                  <w:tcW w:w="499" w:type="pct"/>
                  <w:shd w:val="clear" w:color="auto" w:fill="auto"/>
                </w:tcPr>
                <w:p w14:paraId="25727563" w14:textId="77777777" w:rsidR="00534098" w:rsidRDefault="00534098" w:rsidP="007A39EB">
                  <w:pPr>
                    <w:pStyle w:val="TableBodyText"/>
                    <w:ind w:right="28"/>
                  </w:pPr>
                  <w:r w:rsidRPr="00510F08">
                    <w:t>107</w:t>
                  </w:r>
                </w:p>
              </w:tc>
            </w:tr>
            <w:tr w:rsidR="00534098" w14:paraId="105D2E73" w14:textId="77777777" w:rsidTr="007A39EB">
              <w:tc>
                <w:tcPr>
                  <w:tcW w:w="1833" w:type="pct"/>
                  <w:shd w:val="clear" w:color="auto" w:fill="auto"/>
                </w:tcPr>
                <w:p w14:paraId="3DE6F4E3" w14:textId="77777777" w:rsidR="00534098" w:rsidRPr="00880615" w:rsidRDefault="00534098" w:rsidP="007A39EB">
                  <w:pPr>
                    <w:pStyle w:val="TableBodyText"/>
                    <w:jc w:val="left"/>
                  </w:pPr>
                  <w:r w:rsidRPr="004B4150">
                    <w:t>Non</w:t>
                  </w:r>
                  <w:r>
                    <w:noBreakHyphen/>
                  </w:r>
                  <w:r w:rsidRPr="004B4150">
                    <w:t>Store Retailing and Retail Commission</w:t>
                  </w:r>
                  <w:r>
                    <w:noBreakHyphen/>
                  </w:r>
                  <w:r w:rsidRPr="004B4150">
                    <w:t>Based Buying and/or Selling</w:t>
                  </w:r>
                </w:p>
              </w:tc>
              <w:tc>
                <w:tcPr>
                  <w:tcW w:w="1167" w:type="pct"/>
                </w:tcPr>
                <w:p w14:paraId="604D6EE5" w14:textId="77777777" w:rsidR="00534098" w:rsidRPr="00880615" w:rsidRDefault="00534098" w:rsidP="007A39EB">
                  <w:pPr>
                    <w:pStyle w:val="TableBodyText"/>
                    <w:jc w:val="left"/>
                  </w:pPr>
                  <w:r w:rsidRPr="004B4150">
                    <w:t>Retail Trade</w:t>
                  </w:r>
                </w:p>
              </w:tc>
              <w:tc>
                <w:tcPr>
                  <w:tcW w:w="500" w:type="pct"/>
                </w:tcPr>
                <w:p w14:paraId="15A43D82" w14:textId="77777777" w:rsidR="00534098" w:rsidRDefault="00534098" w:rsidP="007A39EB">
                  <w:pPr>
                    <w:pStyle w:val="TableBodyText"/>
                  </w:pPr>
                  <w:r w:rsidRPr="00510F08">
                    <w:t>118</w:t>
                  </w:r>
                </w:p>
              </w:tc>
              <w:tc>
                <w:tcPr>
                  <w:tcW w:w="500" w:type="pct"/>
                </w:tcPr>
                <w:p w14:paraId="58D8506F" w14:textId="77777777" w:rsidR="00534098" w:rsidRDefault="00534098" w:rsidP="007A39EB">
                  <w:pPr>
                    <w:pStyle w:val="TableBodyText"/>
                  </w:pPr>
                  <w:r w:rsidRPr="00510F08">
                    <w:t>104</w:t>
                  </w:r>
                </w:p>
              </w:tc>
              <w:tc>
                <w:tcPr>
                  <w:tcW w:w="501" w:type="pct"/>
                  <w:shd w:val="clear" w:color="auto" w:fill="auto"/>
                </w:tcPr>
                <w:p w14:paraId="7D92929B" w14:textId="77777777" w:rsidR="00534098" w:rsidRDefault="00534098" w:rsidP="007A39EB">
                  <w:pPr>
                    <w:pStyle w:val="TableBodyText"/>
                  </w:pPr>
                  <w:r w:rsidRPr="00510F08">
                    <w:t>82</w:t>
                  </w:r>
                </w:p>
              </w:tc>
              <w:tc>
                <w:tcPr>
                  <w:tcW w:w="499" w:type="pct"/>
                  <w:shd w:val="clear" w:color="auto" w:fill="auto"/>
                </w:tcPr>
                <w:p w14:paraId="7B0F2DCE" w14:textId="77777777" w:rsidR="00534098" w:rsidRDefault="00534098" w:rsidP="007A39EB">
                  <w:pPr>
                    <w:pStyle w:val="TableBodyText"/>
                    <w:ind w:right="28"/>
                  </w:pPr>
                  <w:r w:rsidRPr="00510F08">
                    <w:t>80</w:t>
                  </w:r>
                </w:p>
              </w:tc>
            </w:tr>
          </w:tbl>
          <w:p w14:paraId="61CBB9EE" w14:textId="77777777" w:rsidR="00534098" w:rsidRDefault="00534098" w:rsidP="007A39EB">
            <w:pPr>
              <w:pStyle w:val="Box"/>
            </w:pPr>
          </w:p>
        </w:tc>
      </w:tr>
      <w:tr w:rsidR="00534098" w14:paraId="271BB5D6" w14:textId="77777777" w:rsidTr="007A39EB">
        <w:tc>
          <w:tcPr>
            <w:tcW w:w="5000" w:type="pct"/>
            <w:tcBorders>
              <w:top w:val="nil"/>
              <w:left w:val="nil"/>
              <w:bottom w:val="nil"/>
              <w:right w:val="nil"/>
            </w:tcBorders>
            <w:shd w:val="clear" w:color="auto" w:fill="auto"/>
          </w:tcPr>
          <w:p w14:paraId="6C2373BB" w14:textId="77777777" w:rsidR="00534098" w:rsidRPr="005D74B4" w:rsidRDefault="00534098" w:rsidP="007A39EB">
            <w:pPr>
              <w:pStyle w:val="Continued"/>
            </w:pPr>
            <w:r>
              <w:t>(continued next page)</w:t>
            </w:r>
          </w:p>
        </w:tc>
      </w:tr>
      <w:tr w:rsidR="00534098" w14:paraId="55ADD05B" w14:textId="77777777" w:rsidTr="007A39EB">
        <w:tc>
          <w:tcPr>
            <w:tcW w:w="5000" w:type="pct"/>
            <w:tcBorders>
              <w:top w:val="nil"/>
              <w:left w:val="nil"/>
              <w:bottom w:val="single" w:sz="6" w:space="0" w:color="78A22F"/>
              <w:right w:val="nil"/>
            </w:tcBorders>
            <w:shd w:val="clear" w:color="auto" w:fill="auto"/>
          </w:tcPr>
          <w:p w14:paraId="6D1B919B" w14:textId="77777777" w:rsidR="00534098" w:rsidRDefault="00534098" w:rsidP="007A39EB">
            <w:pPr>
              <w:pStyle w:val="Box"/>
              <w:spacing w:before="0" w:line="120" w:lineRule="exact"/>
            </w:pPr>
          </w:p>
        </w:tc>
      </w:tr>
      <w:tr w:rsidR="00534098" w:rsidRPr="000863A5" w14:paraId="2E0FF942" w14:textId="77777777" w:rsidTr="007A39EB">
        <w:tc>
          <w:tcPr>
            <w:tcW w:w="5000" w:type="pct"/>
            <w:tcBorders>
              <w:top w:val="single" w:sz="6" w:space="0" w:color="78A22F"/>
              <w:left w:val="nil"/>
              <w:bottom w:val="nil"/>
              <w:right w:val="nil"/>
            </w:tcBorders>
          </w:tcPr>
          <w:p w14:paraId="081F2661" w14:textId="38EF6A76" w:rsidR="00534098" w:rsidRPr="00626D32" w:rsidRDefault="00534098" w:rsidP="007A39EB">
            <w:pPr>
              <w:pStyle w:val="BoxSpaceBelow"/>
            </w:pPr>
          </w:p>
        </w:tc>
      </w:tr>
    </w:tbl>
    <w:p w14:paraId="35DA1E49" w14:textId="05AC15F6"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2D3C69EE" w14:textId="77777777" w:rsidTr="007A39EB">
        <w:trPr>
          <w:tblHeader/>
        </w:trPr>
        <w:tc>
          <w:tcPr>
            <w:tcW w:w="5000" w:type="pct"/>
            <w:tcBorders>
              <w:top w:val="single" w:sz="6" w:space="0" w:color="78A22F"/>
              <w:left w:val="nil"/>
              <w:bottom w:val="nil"/>
              <w:right w:val="nil"/>
            </w:tcBorders>
            <w:shd w:val="clear" w:color="auto" w:fill="auto"/>
          </w:tcPr>
          <w:p w14:paraId="0BC8B109" w14:textId="77203AB1" w:rsidR="00534098" w:rsidRPr="00784A05" w:rsidRDefault="00534098" w:rsidP="007A39EB">
            <w:pPr>
              <w:pStyle w:val="TableTitle"/>
            </w:pPr>
            <w:r>
              <w:rPr>
                <w:b w:val="0"/>
              </w:rPr>
              <w:t>Table A.1</w:t>
            </w:r>
            <w:r>
              <w:tab/>
            </w:r>
            <w:r w:rsidRPr="00FD1DD1">
              <w:rPr>
                <w:b w:val="0"/>
                <w:bCs/>
                <w:sz w:val="18"/>
                <w:szCs w:val="18"/>
              </w:rPr>
              <w:t>(continued)</w:t>
            </w:r>
          </w:p>
        </w:tc>
      </w:tr>
      <w:tr w:rsidR="00534098" w14:paraId="34140AE9"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1985"/>
              <w:gridCol w:w="850"/>
              <w:gridCol w:w="850"/>
              <w:gridCol w:w="852"/>
              <w:gridCol w:w="849"/>
            </w:tblGrid>
            <w:tr w:rsidR="00534098" w14:paraId="6FD67095" w14:textId="77777777" w:rsidTr="007A39EB">
              <w:trPr>
                <w:tblHeader/>
              </w:trPr>
              <w:tc>
                <w:tcPr>
                  <w:tcW w:w="1833" w:type="pct"/>
                  <w:tcBorders>
                    <w:top w:val="single" w:sz="6" w:space="0" w:color="BFBFBF"/>
                    <w:bottom w:val="single" w:sz="6" w:space="0" w:color="BFBFBF"/>
                  </w:tcBorders>
                  <w:shd w:val="clear" w:color="auto" w:fill="auto"/>
                  <w:tcMar>
                    <w:top w:w="28" w:type="dxa"/>
                  </w:tcMar>
                </w:tcPr>
                <w:p w14:paraId="01B8AA21" w14:textId="77777777" w:rsidR="00534098" w:rsidRDefault="00534098" w:rsidP="007A39EB">
                  <w:pPr>
                    <w:pStyle w:val="TableColumnHeading"/>
                    <w:jc w:val="left"/>
                  </w:pPr>
                  <w:r w:rsidRPr="00CD275C">
                    <w:t>Anzsic 2</w:t>
                  </w:r>
                </w:p>
              </w:tc>
              <w:tc>
                <w:tcPr>
                  <w:tcW w:w="1167" w:type="pct"/>
                  <w:tcBorders>
                    <w:top w:val="single" w:sz="6" w:space="0" w:color="BFBFBF"/>
                    <w:bottom w:val="single" w:sz="6" w:space="0" w:color="BFBFBF"/>
                  </w:tcBorders>
                </w:tcPr>
                <w:p w14:paraId="24635F39" w14:textId="77777777" w:rsidR="00534098" w:rsidRDefault="00534098" w:rsidP="007A39EB">
                  <w:pPr>
                    <w:pStyle w:val="TableColumnHeading"/>
                    <w:jc w:val="left"/>
                  </w:pPr>
                  <w:r w:rsidRPr="00CD275C">
                    <w:t>Anzsic 1</w:t>
                  </w:r>
                </w:p>
              </w:tc>
              <w:tc>
                <w:tcPr>
                  <w:tcW w:w="500" w:type="pct"/>
                  <w:tcBorders>
                    <w:top w:val="single" w:sz="6" w:space="0" w:color="BFBFBF"/>
                    <w:bottom w:val="single" w:sz="6" w:space="0" w:color="BFBFBF"/>
                  </w:tcBorders>
                </w:tcPr>
                <w:p w14:paraId="1348E022" w14:textId="77777777" w:rsidR="00534098" w:rsidRDefault="00534098" w:rsidP="007A39EB">
                  <w:pPr>
                    <w:pStyle w:val="TableColumnHeading"/>
                  </w:pPr>
                  <w:r>
                    <w:t>May</w:t>
                  </w:r>
                  <w:r>
                    <w:noBreakHyphen/>
                    <w:t>20</w:t>
                  </w:r>
                </w:p>
              </w:tc>
              <w:tc>
                <w:tcPr>
                  <w:tcW w:w="500" w:type="pct"/>
                  <w:tcBorders>
                    <w:top w:val="single" w:sz="6" w:space="0" w:color="BFBFBF"/>
                    <w:bottom w:val="single" w:sz="6" w:space="0" w:color="BFBFBF"/>
                  </w:tcBorders>
                </w:tcPr>
                <w:p w14:paraId="6DCB3B56" w14:textId="77777777" w:rsidR="00534098" w:rsidRDefault="00534098" w:rsidP="007A39EB">
                  <w:pPr>
                    <w:pStyle w:val="TableColumnHeading"/>
                  </w:pPr>
                  <w:r>
                    <w:t>Aug</w:t>
                  </w:r>
                  <w:r>
                    <w:noBreakHyphen/>
                    <w:t>20</w:t>
                  </w:r>
                </w:p>
              </w:tc>
              <w:tc>
                <w:tcPr>
                  <w:tcW w:w="501" w:type="pct"/>
                  <w:tcBorders>
                    <w:top w:val="single" w:sz="6" w:space="0" w:color="BFBFBF"/>
                    <w:bottom w:val="single" w:sz="6" w:space="0" w:color="BFBFBF"/>
                  </w:tcBorders>
                  <w:shd w:val="clear" w:color="auto" w:fill="auto"/>
                  <w:tcMar>
                    <w:top w:w="28" w:type="dxa"/>
                  </w:tcMar>
                </w:tcPr>
                <w:p w14:paraId="28B03AEB" w14:textId="77777777" w:rsidR="00534098" w:rsidRDefault="00534098" w:rsidP="007A39EB">
                  <w:pPr>
                    <w:pStyle w:val="TableColumnHeading"/>
                  </w:pPr>
                  <w:r>
                    <w:t>Nov</w:t>
                  </w:r>
                  <w:r>
                    <w:noBreakHyphen/>
                    <w:t>20</w:t>
                  </w:r>
                </w:p>
              </w:tc>
              <w:tc>
                <w:tcPr>
                  <w:tcW w:w="499" w:type="pct"/>
                  <w:tcBorders>
                    <w:top w:val="single" w:sz="6" w:space="0" w:color="BFBFBF"/>
                    <w:bottom w:val="single" w:sz="6" w:space="0" w:color="BFBFBF"/>
                  </w:tcBorders>
                  <w:shd w:val="clear" w:color="auto" w:fill="auto"/>
                  <w:tcMar>
                    <w:top w:w="28" w:type="dxa"/>
                  </w:tcMar>
                </w:tcPr>
                <w:p w14:paraId="0BD119C6" w14:textId="77777777" w:rsidR="00534098" w:rsidRDefault="00534098" w:rsidP="007A39EB">
                  <w:pPr>
                    <w:pStyle w:val="TableColumnHeading"/>
                    <w:ind w:right="28"/>
                  </w:pPr>
                  <w:r>
                    <w:t>Feb</w:t>
                  </w:r>
                  <w:r>
                    <w:noBreakHyphen/>
                    <w:t>21</w:t>
                  </w:r>
                </w:p>
              </w:tc>
            </w:tr>
            <w:tr w:rsidR="00534098" w14:paraId="64BAA1C4" w14:textId="77777777" w:rsidTr="007A39EB">
              <w:tc>
                <w:tcPr>
                  <w:tcW w:w="1833" w:type="pct"/>
                  <w:tcBorders>
                    <w:top w:val="single" w:sz="6" w:space="0" w:color="BFBFBF"/>
                  </w:tcBorders>
                </w:tcPr>
                <w:p w14:paraId="10A9F20D" w14:textId="77777777" w:rsidR="00534098" w:rsidRDefault="00534098" w:rsidP="007A39EB">
                  <w:pPr>
                    <w:pStyle w:val="TableUnitsRow"/>
                    <w:jc w:val="left"/>
                  </w:pPr>
                </w:p>
              </w:tc>
              <w:tc>
                <w:tcPr>
                  <w:tcW w:w="1167" w:type="pct"/>
                  <w:tcBorders>
                    <w:top w:val="single" w:sz="6" w:space="0" w:color="BFBFBF"/>
                  </w:tcBorders>
                </w:tcPr>
                <w:p w14:paraId="62B7A22E" w14:textId="77777777" w:rsidR="00534098" w:rsidRDefault="00534098" w:rsidP="007A39EB">
                  <w:pPr>
                    <w:pStyle w:val="TableUnitsRow"/>
                  </w:pPr>
                </w:p>
              </w:tc>
              <w:tc>
                <w:tcPr>
                  <w:tcW w:w="500" w:type="pct"/>
                  <w:tcBorders>
                    <w:top w:val="single" w:sz="6" w:space="0" w:color="BFBFBF"/>
                  </w:tcBorders>
                </w:tcPr>
                <w:p w14:paraId="39D5A729" w14:textId="77777777" w:rsidR="00534098" w:rsidRDefault="00534098" w:rsidP="007A39EB">
                  <w:pPr>
                    <w:pStyle w:val="TableUnitsRow"/>
                  </w:pPr>
                  <w:r>
                    <w:t>%</w:t>
                  </w:r>
                </w:p>
              </w:tc>
              <w:tc>
                <w:tcPr>
                  <w:tcW w:w="500" w:type="pct"/>
                  <w:tcBorders>
                    <w:top w:val="single" w:sz="6" w:space="0" w:color="BFBFBF"/>
                  </w:tcBorders>
                </w:tcPr>
                <w:p w14:paraId="547AB1AD" w14:textId="77777777" w:rsidR="00534098" w:rsidRDefault="00534098" w:rsidP="007A39EB">
                  <w:pPr>
                    <w:pStyle w:val="TableUnitsRow"/>
                  </w:pPr>
                  <w:r>
                    <w:t>%</w:t>
                  </w:r>
                </w:p>
              </w:tc>
              <w:tc>
                <w:tcPr>
                  <w:tcW w:w="501" w:type="pct"/>
                  <w:tcBorders>
                    <w:top w:val="single" w:sz="6" w:space="0" w:color="BFBFBF"/>
                  </w:tcBorders>
                </w:tcPr>
                <w:p w14:paraId="01FF1544" w14:textId="77777777" w:rsidR="00534098" w:rsidRDefault="00534098" w:rsidP="007A39EB">
                  <w:pPr>
                    <w:pStyle w:val="TableUnitsRow"/>
                  </w:pPr>
                  <w:r>
                    <w:t>%</w:t>
                  </w:r>
                </w:p>
              </w:tc>
              <w:tc>
                <w:tcPr>
                  <w:tcW w:w="499" w:type="pct"/>
                  <w:tcBorders>
                    <w:top w:val="single" w:sz="6" w:space="0" w:color="BFBFBF"/>
                  </w:tcBorders>
                </w:tcPr>
                <w:p w14:paraId="31DF75E5" w14:textId="77777777" w:rsidR="00534098" w:rsidRDefault="00534098" w:rsidP="007A39EB">
                  <w:pPr>
                    <w:pStyle w:val="TableUnitsRow"/>
                    <w:ind w:right="28"/>
                  </w:pPr>
                  <w:r>
                    <w:t>%</w:t>
                  </w:r>
                </w:p>
              </w:tc>
            </w:tr>
            <w:tr w:rsidR="00534098" w14:paraId="72D5A703" w14:textId="77777777" w:rsidTr="007A39EB">
              <w:tc>
                <w:tcPr>
                  <w:tcW w:w="1833" w:type="pct"/>
                </w:tcPr>
                <w:p w14:paraId="66DCC94C" w14:textId="77777777" w:rsidR="00534098" w:rsidRDefault="00534098" w:rsidP="007A39EB">
                  <w:pPr>
                    <w:pStyle w:val="TableBodyText"/>
                    <w:jc w:val="left"/>
                  </w:pPr>
                  <w:r w:rsidRPr="004124DD">
                    <w:t>Accommodation</w:t>
                  </w:r>
                </w:p>
              </w:tc>
              <w:tc>
                <w:tcPr>
                  <w:tcW w:w="1167" w:type="pct"/>
                </w:tcPr>
                <w:p w14:paraId="3F23546E" w14:textId="77777777" w:rsidR="00534098" w:rsidRDefault="00534098" w:rsidP="007A39EB">
                  <w:pPr>
                    <w:pStyle w:val="TableBodyText"/>
                    <w:jc w:val="left"/>
                  </w:pPr>
                  <w:r w:rsidRPr="004124DD">
                    <w:t>Accommodation and Food Services</w:t>
                  </w:r>
                </w:p>
              </w:tc>
              <w:tc>
                <w:tcPr>
                  <w:tcW w:w="500" w:type="pct"/>
                </w:tcPr>
                <w:p w14:paraId="496AE869" w14:textId="77777777" w:rsidR="00534098" w:rsidRDefault="00534098" w:rsidP="007A39EB">
                  <w:pPr>
                    <w:pStyle w:val="TableBodyText"/>
                  </w:pPr>
                  <w:r w:rsidRPr="00A75C9D">
                    <w:t>78</w:t>
                  </w:r>
                </w:p>
              </w:tc>
              <w:tc>
                <w:tcPr>
                  <w:tcW w:w="500" w:type="pct"/>
                </w:tcPr>
                <w:p w14:paraId="2562E5EE" w14:textId="77777777" w:rsidR="00534098" w:rsidRDefault="00534098" w:rsidP="007A39EB">
                  <w:pPr>
                    <w:pStyle w:val="TableBodyText"/>
                  </w:pPr>
                  <w:r w:rsidRPr="00A75C9D">
                    <w:t>86</w:t>
                  </w:r>
                </w:p>
              </w:tc>
              <w:tc>
                <w:tcPr>
                  <w:tcW w:w="501" w:type="pct"/>
                </w:tcPr>
                <w:p w14:paraId="5E1B9082" w14:textId="77777777" w:rsidR="00534098" w:rsidRDefault="00534098" w:rsidP="007A39EB">
                  <w:pPr>
                    <w:pStyle w:val="TableBodyText"/>
                  </w:pPr>
                  <w:r w:rsidRPr="00A75C9D">
                    <w:t>82</w:t>
                  </w:r>
                </w:p>
              </w:tc>
              <w:tc>
                <w:tcPr>
                  <w:tcW w:w="499" w:type="pct"/>
                </w:tcPr>
                <w:p w14:paraId="6283BC24" w14:textId="77777777" w:rsidR="00534098" w:rsidRDefault="00534098" w:rsidP="007A39EB">
                  <w:pPr>
                    <w:pStyle w:val="TableBodyText"/>
                    <w:ind w:right="28"/>
                  </w:pPr>
                  <w:r w:rsidRPr="00A75C9D">
                    <w:t>76</w:t>
                  </w:r>
                </w:p>
              </w:tc>
            </w:tr>
            <w:tr w:rsidR="00534098" w14:paraId="002FA8C2" w14:textId="77777777" w:rsidTr="007A39EB">
              <w:tc>
                <w:tcPr>
                  <w:tcW w:w="1833" w:type="pct"/>
                </w:tcPr>
                <w:p w14:paraId="09751A8D" w14:textId="77777777" w:rsidR="00534098" w:rsidRDefault="00534098" w:rsidP="007A39EB">
                  <w:pPr>
                    <w:pStyle w:val="TableBodyText"/>
                    <w:jc w:val="left"/>
                  </w:pPr>
                  <w:r w:rsidRPr="004124DD">
                    <w:t>Food and Beverage Services</w:t>
                  </w:r>
                </w:p>
              </w:tc>
              <w:tc>
                <w:tcPr>
                  <w:tcW w:w="1167" w:type="pct"/>
                </w:tcPr>
                <w:p w14:paraId="6C883B75" w14:textId="77777777" w:rsidR="00534098" w:rsidRDefault="00534098" w:rsidP="007A39EB">
                  <w:pPr>
                    <w:pStyle w:val="TableBodyText"/>
                    <w:jc w:val="left"/>
                  </w:pPr>
                  <w:r w:rsidRPr="004124DD">
                    <w:t>Accommodation and Food Services</w:t>
                  </w:r>
                </w:p>
              </w:tc>
              <w:tc>
                <w:tcPr>
                  <w:tcW w:w="500" w:type="pct"/>
                </w:tcPr>
                <w:p w14:paraId="415DE619" w14:textId="77777777" w:rsidR="00534098" w:rsidRDefault="00534098" w:rsidP="007A39EB">
                  <w:pPr>
                    <w:pStyle w:val="TableBodyText"/>
                  </w:pPr>
                  <w:r w:rsidRPr="00A75C9D">
                    <w:t>69</w:t>
                  </w:r>
                </w:p>
              </w:tc>
              <w:tc>
                <w:tcPr>
                  <w:tcW w:w="500" w:type="pct"/>
                </w:tcPr>
                <w:p w14:paraId="4A512AD1" w14:textId="77777777" w:rsidR="00534098" w:rsidRDefault="00534098" w:rsidP="007A39EB">
                  <w:pPr>
                    <w:pStyle w:val="TableBodyText"/>
                  </w:pPr>
                  <w:r w:rsidRPr="00A75C9D">
                    <w:t>83</w:t>
                  </w:r>
                </w:p>
              </w:tc>
              <w:tc>
                <w:tcPr>
                  <w:tcW w:w="501" w:type="pct"/>
                </w:tcPr>
                <w:p w14:paraId="26E476AF" w14:textId="77777777" w:rsidR="00534098" w:rsidRDefault="00534098" w:rsidP="007A39EB">
                  <w:pPr>
                    <w:pStyle w:val="TableBodyText"/>
                  </w:pPr>
                  <w:r w:rsidRPr="00A75C9D">
                    <w:t>90</w:t>
                  </w:r>
                </w:p>
              </w:tc>
              <w:tc>
                <w:tcPr>
                  <w:tcW w:w="499" w:type="pct"/>
                </w:tcPr>
                <w:p w14:paraId="25A9DA7D" w14:textId="77777777" w:rsidR="00534098" w:rsidRDefault="00534098" w:rsidP="007A39EB">
                  <w:pPr>
                    <w:pStyle w:val="TableBodyText"/>
                    <w:ind w:right="28"/>
                  </w:pPr>
                  <w:r w:rsidRPr="00A75C9D">
                    <w:t>93</w:t>
                  </w:r>
                </w:p>
              </w:tc>
            </w:tr>
            <w:tr w:rsidR="00534098" w14:paraId="1F0DEC44" w14:textId="77777777" w:rsidTr="007A39EB">
              <w:tc>
                <w:tcPr>
                  <w:tcW w:w="1833" w:type="pct"/>
                </w:tcPr>
                <w:p w14:paraId="3F69C88F" w14:textId="77777777" w:rsidR="00534098" w:rsidRDefault="00534098" w:rsidP="007A39EB">
                  <w:pPr>
                    <w:pStyle w:val="TableBodyText"/>
                    <w:jc w:val="left"/>
                  </w:pPr>
                  <w:r w:rsidRPr="004124DD">
                    <w:t>Road Transport</w:t>
                  </w:r>
                </w:p>
              </w:tc>
              <w:tc>
                <w:tcPr>
                  <w:tcW w:w="1167" w:type="pct"/>
                </w:tcPr>
                <w:p w14:paraId="583FE4A0" w14:textId="77777777" w:rsidR="00534098" w:rsidRDefault="00534098" w:rsidP="007A39EB">
                  <w:pPr>
                    <w:pStyle w:val="TableBodyText"/>
                    <w:jc w:val="left"/>
                  </w:pPr>
                  <w:r w:rsidRPr="004124DD">
                    <w:t>Transport, Postal and Warehousing</w:t>
                  </w:r>
                </w:p>
              </w:tc>
              <w:tc>
                <w:tcPr>
                  <w:tcW w:w="500" w:type="pct"/>
                </w:tcPr>
                <w:p w14:paraId="2632ABB6" w14:textId="77777777" w:rsidR="00534098" w:rsidRDefault="00534098" w:rsidP="007A39EB">
                  <w:pPr>
                    <w:pStyle w:val="TableBodyText"/>
                  </w:pPr>
                  <w:r w:rsidRPr="00A75C9D">
                    <w:t>80</w:t>
                  </w:r>
                </w:p>
              </w:tc>
              <w:tc>
                <w:tcPr>
                  <w:tcW w:w="500" w:type="pct"/>
                </w:tcPr>
                <w:p w14:paraId="00F239F1" w14:textId="77777777" w:rsidR="00534098" w:rsidRDefault="00534098" w:rsidP="007A39EB">
                  <w:pPr>
                    <w:pStyle w:val="TableBodyText"/>
                  </w:pPr>
                  <w:r w:rsidRPr="00A75C9D">
                    <w:t>99</w:t>
                  </w:r>
                </w:p>
              </w:tc>
              <w:tc>
                <w:tcPr>
                  <w:tcW w:w="501" w:type="pct"/>
                </w:tcPr>
                <w:p w14:paraId="67A57757" w14:textId="77777777" w:rsidR="00534098" w:rsidRDefault="00534098" w:rsidP="007A39EB">
                  <w:pPr>
                    <w:pStyle w:val="TableBodyText"/>
                  </w:pPr>
                  <w:r w:rsidRPr="00A75C9D">
                    <w:t>105</w:t>
                  </w:r>
                </w:p>
              </w:tc>
              <w:tc>
                <w:tcPr>
                  <w:tcW w:w="499" w:type="pct"/>
                </w:tcPr>
                <w:p w14:paraId="51E02590" w14:textId="77777777" w:rsidR="00534098" w:rsidRDefault="00534098" w:rsidP="007A39EB">
                  <w:pPr>
                    <w:pStyle w:val="TableBodyText"/>
                    <w:ind w:right="28"/>
                  </w:pPr>
                  <w:r w:rsidRPr="00A75C9D">
                    <w:t>115</w:t>
                  </w:r>
                </w:p>
              </w:tc>
            </w:tr>
            <w:tr w:rsidR="00534098" w14:paraId="5027BA26" w14:textId="77777777" w:rsidTr="007A39EB">
              <w:tc>
                <w:tcPr>
                  <w:tcW w:w="1833" w:type="pct"/>
                </w:tcPr>
                <w:p w14:paraId="742DB634" w14:textId="77777777" w:rsidR="00534098" w:rsidRDefault="00534098" w:rsidP="007A39EB">
                  <w:pPr>
                    <w:pStyle w:val="TableBodyText"/>
                    <w:jc w:val="left"/>
                  </w:pPr>
                  <w:r w:rsidRPr="004124DD">
                    <w:t>Rail Transport</w:t>
                  </w:r>
                </w:p>
              </w:tc>
              <w:tc>
                <w:tcPr>
                  <w:tcW w:w="1167" w:type="pct"/>
                </w:tcPr>
                <w:p w14:paraId="18B3F05D" w14:textId="77777777" w:rsidR="00534098" w:rsidRDefault="00534098" w:rsidP="007A39EB">
                  <w:pPr>
                    <w:pStyle w:val="TableBodyText"/>
                    <w:jc w:val="left"/>
                  </w:pPr>
                  <w:r w:rsidRPr="004124DD">
                    <w:t>Transport, Postal and Warehousing</w:t>
                  </w:r>
                </w:p>
              </w:tc>
              <w:tc>
                <w:tcPr>
                  <w:tcW w:w="500" w:type="pct"/>
                </w:tcPr>
                <w:p w14:paraId="4A18E2D8" w14:textId="77777777" w:rsidR="00534098" w:rsidRDefault="00534098" w:rsidP="007A39EB">
                  <w:pPr>
                    <w:pStyle w:val="TableBodyText"/>
                  </w:pPr>
                  <w:r w:rsidRPr="00A75C9D">
                    <w:t>94</w:t>
                  </w:r>
                </w:p>
              </w:tc>
              <w:tc>
                <w:tcPr>
                  <w:tcW w:w="500" w:type="pct"/>
                </w:tcPr>
                <w:p w14:paraId="37C3681D" w14:textId="77777777" w:rsidR="00534098" w:rsidRDefault="00534098" w:rsidP="007A39EB">
                  <w:pPr>
                    <w:pStyle w:val="TableBodyText"/>
                  </w:pPr>
                  <w:r w:rsidRPr="00A75C9D">
                    <w:t>100</w:t>
                  </w:r>
                </w:p>
              </w:tc>
              <w:tc>
                <w:tcPr>
                  <w:tcW w:w="501" w:type="pct"/>
                </w:tcPr>
                <w:p w14:paraId="5E7DECBC" w14:textId="77777777" w:rsidR="00534098" w:rsidRDefault="00534098" w:rsidP="007A39EB">
                  <w:pPr>
                    <w:pStyle w:val="TableBodyText"/>
                  </w:pPr>
                  <w:r w:rsidRPr="00A75C9D">
                    <w:t>103</w:t>
                  </w:r>
                </w:p>
              </w:tc>
              <w:tc>
                <w:tcPr>
                  <w:tcW w:w="499" w:type="pct"/>
                </w:tcPr>
                <w:p w14:paraId="1FEFDE16" w14:textId="77777777" w:rsidR="00534098" w:rsidRDefault="00534098" w:rsidP="007A39EB">
                  <w:pPr>
                    <w:pStyle w:val="TableBodyText"/>
                    <w:ind w:right="28"/>
                  </w:pPr>
                  <w:r w:rsidRPr="00A75C9D">
                    <w:t>99</w:t>
                  </w:r>
                </w:p>
              </w:tc>
            </w:tr>
            <w:tr w:rsidR="00534098" w14:paraId="786DA0EA" w14:textId="77777777" w:rsidTr="007A39EB">
              <w:tc>
                <w:tcPr>
                  <w:tcW w:w="1833" w:type="pct"/>
                </w:tcPr>
                <w:p w14:paraId="1F1D1A93" w14:textId="77777777" w:rsidR="00534098" w:rsidRDefault="00534098" w:rsidP="007A39EB">
                  <w:pPr>
                    <w:pStyle w:val="TableBodyText"/>
                    <w:jc w:val="left"/>
                  </w:pPr>
                  <w:r w:rsidRPr="004124DD">
                    <w:t>Water Transport</w:t>
                  </w:r>
                </w:p>
              </w:tc>
              <w:tc>
                <w:tcPr>
                  <w:tcW w:w="1167" w:type="pct"/>
                </w:tcPr>
                <w:p w14:paraId="3A9139EB" w14:textId="77777777" w:rsidR="00534098" w:rsidRDefault="00534098" w:rsidP="007A39EB">
                  <w:pPr>
                    <w:pStyle w:val="TableBodyText"/>
                    <w:jc w:val="left"/>
                  </w:pPr>
                  <w:r w:rsidRPr="004124DD">
                    <w:t>Transport, Postal and Warehousing</w:t>
                  </w:r>
                </w:p>
              </w:tc>
              <w:tc>
                <w:tcPr>
                  <w:tcW w:w="500" w:type="pct"/>
                </w:tcPr>
                <w:p w14:paraId="7067AEE8" w14:textId="77777777" w:rsidR="00534098" w:rsidRDefault="00534098" w:rsidP="007A39EB">
                  <w:pPr>
                    <w:pStyle w:val="TableBodyText"/>
                  </w:pPr>
                  <w:r w:rsidRPr="00A75C9D">
                    <w:t>101</w:t>
                  </w:r>
                </w:p>
              </w:tc>
              <w:tc>
                <w:tcPr>
                  <w:tcW w:w="500" w:type="pct"/>
                </w:tcPr>
                <w:p w14:paraId="54ADDF82" w14:textId="77777777" w:rsidR="00534098" w:rsidRDefault="00534098" w:rsidP="007A39EB">
                  <w:pPr>
                    <w:pStyle w:val="TableBodyText"/>
                  </w:pPr>
                  <w:r w:rsidRPr="00A75C9D">
                    <w:t>85</w:t>
                  </w:r>
                </w:p>
              </w:tc>
              <w:tc>
                <w:tcPr>
                  <w:tcW w:w="501" w:type="pct"/>
                </w:tcPr>
                <w:p w14:paraId="2D64675A" w14:textId="77777777" w:rsidR="00534098" w:rsidRDefault="00534098" w:rsidP="007A39EB">
                  <w:pPr>
                    <w:pStyle w:val="TableBodyText"/>
                  </w:pPr>
                  <w:r w:rsidRPr="00A75C9D">
                    <w:t>113</w:t>
                  </w:r>
                </w:p>
              </w:tc>
              <w:tc>
                <w:tcPr>
                  <w:tcW w:w="499" w:type="pct"/>
                </w:tcPr>
                <w:p w14:paraId="7FDDBB76" w14:textId="77777777" w:rsidR="00534098" w:rsidRDefault="00534098" w:rsidP="007A39EB">
                  <w:pPr>
                    <w:pStyle w:val="TableBodyText"/>
                    <w:ind w:right="28"/>
                  </w:pPr>
                  <w:r w:rsidRPr="00A75C9D">
                    <w:t>71</w:t>
                  </w:r>
                </w:p>
              </w:tc>
            </w:tr>
            <w:tr w:rsidR="00534098" w14:paraId="618A20C3" w14:textId="77777777" w:rsidTr="007A39EB">
              <w:tc>
                <w:tcPr>
                  <w:tcW w:w="1833" w:type="pct"/>
                </w:tcPr>
                <w:p w14:paraId="20C32560" w14:textId="77777777" w:rsidR="00534098" w:rsidRDefault="00534098" w:rsidP="007A39EB">
                  <w:pPr>
                    <w:pStyle w:val="TableBodyText"/>
                    <w:jc w:val="left"/>
                  </w:pPr>
                  <w:r w:rsidRPr="004124DD">
                    <w:t>Air and Space Transport</w:t>
                  </w:r>
                </w:p>
              </w:tc>
              <w:tc>
                <w:tcPr>
                  <w:tcW w:w="1167" w:type="pct"/>
                </w:tcPr>
                <w:p w14:paraId="797D8ACB" w14:textId="77777777" w:rsidR="00534098" w:rsidRDefault="00534098" w:rsidP="007A39EB">
                  <w:pPr>
                    <w:pStyle w:val="TableBodyText"/>
                    <w:jc w:val="left"/>
                  </w:pPr>
                  <w:r w:rsidRPr="004124DD">
                    <w:t>Transport, Postal and Warehousing</w:t>
                  </w:r>
                </w:p>
              </w:tc>
              <w:tc>
                <w:tcPr>
                  <w:tcW w:w="500" w:type="pct"/>
                </w:tcPr>
                <w:p w14:paraId="6042936B" w14:textId="77777777" w:rsidR="00534098" w:rsidRDefault="00534098" w:rsidP="007A39EB">
                  <w:pPr>
                    <w:pStyle w:val="TableBodyText"/>
                  </w:pPr>
                  <w:r w:rsidRPr="00A75C9D">
                    <w:t>66</w:t>
                  </w:r>
                </w:p>
              </w:tc>
              <w:tc>
                <w:tcPr>
                  <w:tcW w:w="500" w:type="pct"/>
                </w:tcPr>
                <w:p w14:paraId="751E4B81" w14:textId="77777777" w:rsidR="00534098" w:rsidRDefault="00534098" w:rsidP="007A39EB">
                  <w:pPr>
                    <w:pStyle w:val="TableBodyText"/>
                  </w:pPr>
                  <w:r w:rsidRPr="00A75C9D">
                    <w:t>76</w:t>
                  </w:r>
                </w:p>
              </w:tc>
              <w:tc>
                <w:tcPr>
                  <w:tcW w:w="501" w:type="pct"/>
                </w:tcPr>
                <w:p w14:paraId="264399B0" w14:textId="77777777" w:rsidR="00534098" w:rsidRDefault="00534098" w:rsidP="007A39EB">
                  <w:pPr>
                    <w:pStyle w:val="TableBodyText"/>
                  </w:pPr>
                  <w:r w:rsidRPr="00A75C9D">
                    <w:t>73</w:t>
                  </w:r>
                </w:p>
              </w:tc>
              <w:tc>
                <w:tcPr>
                  <w:tcW w:w="499" w:type="pct"/>
                </w:tcPr>
                <w:p w14:paraId="0A6BB84D" w14:textId="77777777" w:rsidR="00534098" w:rsidRDefault="00534098" w:rsidP="007A39EB">
                  <w:pPr>
                    <w:pStyle w:val="TableBodyText"/>
                    <w:ind w:right="28"/>
                  </w:pPr>
                  <w:r w:rsidRPr="00A75C9D">
                    <w:t>78</w:t>
                  </w:r>
                </w:p>
              </w:tc>
            </w:tr>
            <w:tr w:rsidR="00534098" w14:paraId="61A16C3A" w14:textId="77777777" w:rsidTr="007A39EB">
              <w:tc>
                <w:tcPr>
                  <w:tcW w:w="1833" w:type="pct"/>
                </w:tcPr>
                <w:p w14:paraId="0B17BAED" w14:textId="77777777" w:rsidR="00534098" w:rsidRDefault="00534098" w:rsidP="007A39EB">
                  <w:pPr>
                    <w:pStyle w:val="TableBodyText"/>
                    <w:jc w:val="left"/>
                  </w:pPr>
                  <w:r w:rsidRPr="004124DD">
                    <w:t>Other Transport</w:t>
                  </w:r>
                </w:p>
              </w:tc>
              <w:tc>
                <w:tcPr>
                  <w:tcW w:w="1167" w:type="pct"/>
                </w:tcPr>
                <w:p w14:paraId="286AC0A9" w14:textId="77777777" w:rsidR="00534098" w:rsidRDefault="00534098" w:rsidP="007A39EB">
                  <w:pPr>
                    <w:pStyle w:val="TableBodyText"/>
                    <w:jc w:val="left"/>
                  </w:pPr>
                  <w:r w:rsidRPr="004124DD">
                    <w:t>Transport, Postal and Warehousing</w:t>
                  </w:r>
                </w:p>
              </w:tc>
              <w:tc>
                <w:tcPr>
                  <w:tcW w:w="500" w:type="pct"/>
                </w:tcPr>
                <w:p w14:paraId="226DCD77" w14:textId="77777777" w:rsidR="00534098" w:rsidRDefault="00534098" w:rsidP="007A39EB">
                  <w:pPr>
                    <w:pStyle w:val="TableBodyText"/>
                  </w:pPr>
                  <w:r w:rsidRPr="00A75C9D">
                    <w:t>71</w:t>
                  </w:r>
                </w:p>
              </w:tc>
              <w:tc>
                <w:tcPr>
                  <w:tcW w:w="500" w:type="pct"/>
                </w:tcPr>
                <w:p w14:paraId="69701F4D" w14:textId="77777777" w:rsidR="00534098" w:rsidRDefault="00534098" w:rsidP="007A39EB">
                  <w:pPr>
                    <w:pStyle w:val="TableBodyText"/>
                  </w:pPr>
                  <w:r w:rsidRPr="00A75C9D">
                    <w:t>138</w:t>
                  </w:r>
                </w:p>
              </w:tc>
              <w:tc>
                <w:tcPr>
                  <w:tcW w:w="501" w:type="pct"/>
                </w:tcPr>
                <w:p w14:paraId="0D6DBB58" w14:textId="77777777" w:rsidR="00534098" w:rsidRDefault="00534098" w:rsidP="007A39EB">
                  <w:pPr>
                    <w:pStyle w:val="TableBodyText"/>
                  </w:pPr>
                  <w:r w:rsidRPr="00A75C9D">
                    <w:t>151</w:t>
                  </w:r>
                </w:p>
              </w:tc>
              <w:tc>
                <w:tcPr>
                  <w:tcW w:w="499" w:type="pct"/>
                </w:tcPr>
                <w:p w14:paraId="45B8E7CD" w14:textId="77777777" w:rsidR="00534098" w:rsidRDefault="00534098" w:rsidP="007A39EB">
                  <w:pPr>
                    <w:pStyle w:val="TableBodyText"/>
                    <w:ind w:right="28"/>
                  </w:pPr>
                  <w:r w:rsidRPr="00A75C9D">
                    <w:t>163</w:t>
                  </w:r>
                </w:p>
              </w:tc>
            </w:tr>
            <w:tr w:rsidR="00534098" w14:paraId="519CEEB7" w14:textId="77777777" w:rsidTr="007A39EB">
              <w:tc>
                <w:tcPr>
                  <w:tcW w:w="1833" w:type="pct"/>
                </w:tcPr>
                <w:p w14:paraId="08C1D539" w14:textId="77777777" w:rsidR="00534098" w:rsidRDefault="00534098" w:rsidP="007A39EB">
                  <w:pPr>
                    <w:pStyle w:val="TableBodyText"/>
                    <w:jc w:val="left"/>
                  </w:pPr>
                  <w:r w:rsidRPr="004124DD">
                    <w:t>Postal and Courier Pick</w:t>
                  </w:r>
                  <w:r>
                    <w:noBreakHyphen/>
                  </w:r>
                  <w:r w:rsidRPr="004124DD">
                    <w:t>up and Delivery Services</w:t>
                  </w:r>
                </w:p>
              </w:tc>
              <w:tc>
                <w:tcPr>
                  <w:tcW w:w="1167" w:type="pct"/>
                </w:tcPr>
                <w:p w14:paraId="0F1DB19E" w14:textId="77777777" w:rsidR="00534098" w:rsidRDefault="00534098" w:rsidP="007A39EB">
                  <w:pPr>
                    <w:pStyle w:val="TableBodyText"/>
                    <w:jc w:val="left"/>
                  </w:pPr>
                  <w:r w:rsidRPr="004124DD">
                    <w:t>Transport, Postal and Warehousing</w:t>
                  </w:r>
                </w:p>
              </w:tc>
              <w:tc>
                <w:tcPr>
                  <w:tcW w:w="500" w:type="pct"/>
                </w:tcPr>
                <w:p w14:paraId="0133BFF0" w14:textId="77777777" w:rsidR="00534098" w:rsidRDefault="00534098" w:rsidP="007A39EB">
                  <w:pPr>
                    <w:pStyle w:val="TableBodyText"/>
                  </w:pPr>
                  <w:r w:rsidRPr="00A75C9D">
                    <w:t>95</w:t>
                  </w:r>
                </w:p>
              </w:tc>
              <w:tc>
                <w:tcPr>
                  <w:tcW w:w="500" w:type="pct"/>
                </w:tcPr>
                <w:p w14:paraId="3956FCE1" w14:textId="77777777" w:rsidR="00534098" w:rsidRDefault="00534098" w:rsidP="007A39EB">
                  <w:pPr>
                    <w:pStyle w:val="TableBodyText"/>
                  </w:pPr>
                  <w:r w:rsidRPr="00A75C9D">
                    <w:t>95</w:t>
                  </w:r>
                </w:p>
              </w:tc>
              <w:tc>
                <w:tcPr>
                  <w:tcW w:w="501" w:type="pct"/>
                </w:tcPr>
                <w:p w14:paraId="59302166" w14:textId="77777777" w:rsidR="00534098" w:rsidRDefault="00534098" w:rsidP="007A39EB">
                  <w:pPr>
                    <w:pStyle w:val="TableBodyText"/>
                  </w:pPr>
                  <w:r w:rsidRPr="00A75C9D">
                    <w:t>96</w:t>
                  </w:r>
                </w:p>
              </w:tc>
              <w:tc>
                <w:tcPr>
                  <w:tcW w:w="499" w:type="pct"/>
                </w:tcPr>
                <w:p w14:paraId="267E2D4F" w14:textId="77777777" w:rsidR="00534098" w:rsidRDefault="00534098" w:rsidP="007A39EB">
                  <w:pPr>
                    <w:pStyle w:val="TableBodyText"/>
                    <w:ind w:right="28"/>
                  </w:pPr>
                  <w:r w:rsidRPr="00A75C9D">
                    <w:t>114</w:t>
                  </w:r>
                </w:p>
              </w:tc>
            </w:tr>
            <w:tr w:rsidR="00534098" w14:paraId="6F7059A8" w14:textId="77777777" w:rsidTr="007A39EB">
              <w:tc>
                <w:tcPr>
                  <w:tcW w:w="1833" w:type="pct"/>
                  <w:shd w:val="clear" w:color="auto" w:fill="auto"/>
                </w:tcPr>
                <w:p w14:paraId="0C7EB31B" w14:textId="77777777" w:rsidR="00534098" w:rsidRDefault="00534098" w:rsidP="007A39EB">
                  <w:pPr>
                    <w:pStyle w:val="TableBodyText"/>
                    <w:jc w:val="left"/>
                  </w:pPr>
                  <w:r w:rsidRPr="004124DD">
                    <w:t>Transport Support Services</w:t>
                  </w:r>
                </w:p>
              </w:tc>
              <w:tc>
                <w:tcPr>
                  <w:tcW w:w="1167" w:type="pct"/>
                </w:tcPr>
                <w:p w14:paraId="73A9D75D" w14:textId="77777777" w:rsidR="00534098" w:rsidRDefault="00534098" w:rsidP="007A39EB">
                  <w:pPr>
                    <w:pStyle w:val="TableBodyText"/>
                    <w:jc w:val="left"/>
                  </w:pPr>
                  <w:r w:rsidRPr="004124DD">
                    <w:t>Transport, Postal and Warehousing</w:t>
                  </w:r>
                </w:p>
              </w:tc>
              <w:tc>
                <w:tcPr>
                  <w:tcW w:w="500" w:type="pct"/>
                </w:tcPr>
                <w:p w14:paraId="55B812B4" w14:textId="77777777" w:rsidR="00534098" w:rsidRDefault="00534098" w:rsidP="007A39EB">
                  <w:pPr>
                    <w:pStyle w:val="TableBodyText"/>
                  </w:pPr>
                  <w:r w:rsidRPr="00A75C9D">
                    <w:t>76</w:t>
                  </w:r>
                </w:p>
              </w:tc>
              <w:tc>
                <w:tcPr>
                  <w:tcW w:w="500" w:type="pct"/>
                </w:tcPr>
                <w:p w14:paraId="11B2706A" w14:textId="77777777" w:rsidR="00534098" w:rsidRDefault="00534098" w:rsidP="007A39EB">
                  <w:pPr>
                    <w:pStyle w:val="TableBodyText"/>
                  </w:pPr>
                  <w:r w:rsidRPr="00A75C9D">
                    <w:t>64</w:t>
                  </w:r>
                </w:p>
              </w:tc>
              <w:tc>
                <w:tcPr>
                  <w:tcW w:w="501" w:type="pct"/>
                  <w:shd w:val="clear" w:color="auto" w:fill="auto"/>
                </w:tcPr>
                <w:p w14:paraId="058F5100" w14:textId="77777777" w:rsidR="00534098" w:rsidRDefault="00534098" w:rsidP="007A39EB">
                  <w:pPr>
                    <w:pStyle w:val="TableBodyText"/>
                  </w:pPr>
                  <w:r w:rsidRPr="00A75C9D">
                    <w:t>84</w:t>
                  </w:r>
                </w:p>
              </w:tc>
              <w:tc>
                <w:tcPr>
                  <w:tcW w:w="499" w:type="pct"/>
                  <w:shd w:val="clear" w:color="auto" w:fill="auto"/>
                </w:tcPr>
                <w:p w14:paraId="66233335" w14:textId="77777777" w:rsidR="00534098" w:rsidRDefault="00534098" w:rsidP="007A39EB">
                  <w:pPr>
                    <w:pStyle w:val="TableBodyText"/>
                    <w:ind w:right="28"/>
                  </w:pPr>
                  <w:r w:rsidRPr="00A75C9D">
                    <w:t>85</w:t>
                  </w:r>
                </w:p>
              </w:tc>
            </w:tr>
            <w:tr w:rsidR="00534098" w14:paraId="77AA6DFE" w14:textId="77777777" w:rsidTr="007A39EB">
              <w:tc>
                <w:tcPr>
                  <w:tcW w:w="1833" w:type="pct"/>
                  <w:shd w:val="clear" w:color="auto" w:fill="auto"/>
                </w:tcPr>
                <w:p w14:paraId="442C8754" w14:textId="77777777" w:rsidR="00534098" w:rsidRDefault="00534098" w:rsidP="007A39EB">
                  <w:pPr>
                    <w:pStyle w:val="TableBodyText"/>
                    <w:jc w:val="left"/>
                  </w:pPr>
                  <w:r w:rsidRPr="004124DD">
                    <w:t>Warehousing and Storage Services</w:t>
                  </w:r>
                </w:p>
              </w:tc>
              <w:tc>
                <w:tcPr>
                  <w:tcW w:w="1167" w:type="pct"/>
                </w:tcPr>
                <w:p w14:paraId="7B5080BF" w14:textId="77777777" w:rsidR="00534098" w:rsidRDefault="00534098" w:rsidP="007A39EB">
                  <w:pPr>
                    <w:pStyle w:val="TableBodyText"/>
                    <w:jc w:val="left"/>
                  </w:pPr>
                  <w:r w:rsidRPr="004124DD">
                    <w:t>Transport, Postal and Warehousing</w:t>
                  </w:r>
                </w:p>
              </w:tc>
              <w:tc>
                <w:tcPr>
                  <w:tcW w:w="500" w:type="pct"/>
                </w:tcPr>
                <w:p w14:paraId="5A681A6B" w14:textId="77777777" w:rsidR="00534098" w:rsidRDefault="00534098" w:rsidP="007A39EB">
                  <w:pPr>
                    <w:pStyle w:val="TableBodyText"/>
                  </w:pPr>
                  <w:r w:rsidRPr="00A75C9D">
                    <w:t>111</w:t>
                  </w:r>
                </w:p>
              </w:tc>
              <w:tc>
                <w:tcPr>
                  <w:tcW w:w="500" w:type="pct"/>
                </w:tcPr>
                <w:p w14:paraId="66CA5E99" w14:textId="77777777" w:rsidR="00534098" w:rsidRDefault="00534098" w:rsidP="007A39EB">
                  <w:pPr>
                    <w:pStyle w:val="TableBodyText"/>
                  </w:pPr>
                  <w:r w:rsidRPr="00A75C9D">
                    <w:t>99</w:t>
                  </w:r>
                </w:p>
              </w:tc>
              <w:tc>
                <w:tcPr>
                  <w:tcW w:w="501" w:type="pct"/>
                  <w:shd w:val="clear" w:color="auto" w:fill="auto"/>
                </w:tcPr>
                <w:p w14:paraId="7C9C0AB7" w14:textId="77777777" w:rsidR="00534098" w:rsidRDefault="00534098" w:rsidP="007A39EB">
                  <w:pPr>
                    <w:pStyle w:val="TableBodyText"/>
                  </w:pPr>
                  <w:r w:rsidRPr="00A75C9D">
                    <w:t>101</w:t>
                  </w:r>
                </w:p>
              </w:tc>
              <w:tc>
                <w:tcPr>
                  <w:tcW w:w="499" w:type="pct"/>
                  <w:shd w:val="clear" w:color="auto" w:fill="auto"/>
                </w:tcPr>
                <w:p w14:paraId="09540758" w14:textId="77777777" w:rsidR="00534098" w:rsidRDefault="00534098" w:rsidP="007A39EB">
                  <w:pPr>
                    <w:pStyle w:val="TableBodyText"/>
                    <w:ind w:right="28"/>
                  </w:pPr>
                  <w:r w:rsidRPr="00A75C9D">
                    <w:t>89</w:t>
                  </w:r>
                </w:p>
              </w:tc>
            </w:tr>
            <w:tr w:rsidR="00534098" w14:paraId="7BA25D37" w14:textId="77777777" w:rsidTr="007A39EB">
              <w:tc>
                <w:tcPr>
                  <w:tcW w:w="1833" w:type="pct"/>
                  <w:shd w:val="clear" w:color="auto" w:fill="auto"/>
                </w:tcPr>
                <w:p w14:paraId="604A9DDC" w14:textId="77777777" w:rsidR="00534098" w:rsidRDefault="00534098" w:rsidP="007A39EB">
                  <w:pPr>
                    <w:pStyle w:val="TableBodyText"/>
                    <w:jc w:val="left"/>
                  </w:pPr>
                  <w:r w:rsidRPr="004124DD">
                    <w:t>Transport, Postal and Warehousing nfd</w:t>
                  </w:r>
                </w:p>
              </w:tc>
              <w:tc>
                <w:tcPr>
                  <w:tcW w:w="1167" w:type="pct"/>
                </w:tcPr>
                <w:p w14:paraId="2996F30A" w14:textId="77777777" w:rsidR="00534098" w:rsidRDefault="00534098" w:rsidP="007A39EB">
                  <w:pPr>
                    <w:pStyle w:val="TableBodyText"/>
                    <w:jc w:val="left"/>
                  </w:pPr>
                  <w:r w:rsidRPr="004124DD">
                    <w:t>Transport, Postal and Warehousing</w:t>
                  </w:r>
                </w:p>
              </w:tc>
              <w:tc>
                <w:tcPr>
                  <w:tcW w:w="500" w:type="pct"/>
                </w:tcPr>
                <w:p w14:paraId="1EF6929D" w14:textId="77777777" w:rsidR="00534098" w:rsidRDefault="00534098" w:rsidP="007A39EB">
                  <w:pPr>
                    <w:pStyle w:val="TableBodyText"/>
                  </w:pPr>
                  <w:r w:rsidRPr="00A75C9D">
                    <w:t>80</w:t>
                  </w:r>
                </w:p>
              </w:tc>
              <w:tc>
                <w:tcPr>
                  <w:tcW w:w="500" w:type="pct"/>
                </w:tcPr>
                <w:p w14:paraId="74634B8D" w14:textId="77777777" w:rsidR="00534098" w:rsidRDefault="00534098" w:rsidP="007A39EB">
                  <w:pPr>
                    <w:pStyle w:val="TableBodyText"/>
                  </w:pPr>
                  <w:r w:rsidRPr="00A75C9D">
                    <w:t>0</w:t>
                  </w:r>
                </w:p>
              </w:tc>
              <w:tc>
                <w:tcPr>
                  <w:tcW w:w="501" w:type="pct"/>
                  <w:shd w:val="clear" w:color="auto" w:fill="auto"/>
                </w:tcPr>
                <w:p w14:paraId="20565B1B" w14:textId="77777777" w:rsidR="00534098" w:rsidRDefault="00534098" w:rsidP="007A39EB">
                  <w:pPr>
                    <w:pStyle w:val="TableBodyText"/>
                  </w:pPr>
                  <w:r w:rsidRPr="00A75C9D">
                    <w:t>45</w:t>
                  </w:r>
                </w:p>
              </w:tc>
              <w:tc>
                <w:tcPr>
                  <w:tcW w:w="499" w:type="pct"/>
                  <w:shd w:val="clear" w:color="auto" w:fill="auto"/>
                </w:tcPr>
                <w:p w14:paraId="2BF1F074" w14:textId="77777777" w:rsidR="00534098" w:rsidRDefault="00534098" w:rsidP="007A39EB">
                  <w:pPr>
                    <w:pStyle w:val="TableBodyText"/>
                    <w:ind w:right="28"/>
                  </w:pPr>
                  <w:r w:rsidRPr="00A75C9D">
                    <w:t>49</w:t>
                  </w:r>
                </w:p>
              </w:tc>
            </w:tr>
            <w:tr w:rsidR="00534098" w14:paraId="536BAF0D" w14:textId="77777777" w:rsidTr="007A39EB">
              <w:tc>
                <w:tcPr>
                  <w:tcW w:w="1833" w:type="pct"/>
                  <w:shd w:val="clear" w:color="auto" w:fill="auto"/>
                </w:tcPr>
                <w:p w14:paraId="1EDF0756" w14:textId="77777777" w:rsidR="00534098" w:rsidRDefault="00534098" w:rsidP="007A39EB">
                  <w:pPr>
                    <w:pStyle w:val="TableBodyText"/>
                    <w:jc w:val="left"/>
                  </w:pPr>
                  <w:r w:rsidRPr="004124DD">
                    <w:t>Publishing (except Internet and Music Publishing)</w:t>
                  </w:r>
                </w:p>
              </w:tc>
              <w:tc>
                <w:tcPr>
                  <w:tcW w:w="1167" w:type="pct"/>
                </w:tcPr>
                <w:p w14:paraId="6D29278F" w14:textId="77777777" w:rsidR="00534098" w:rsidRDefault="00534098" w:rsidP="007A39EB">
                  <w:pPr>
                    <w:pStyle w:val="TableBodyText"/>
                    <w:jc w:val="left"/>
                  </w:pPr>
                  <w:r w:rsidRPr="004124DD">
                    <w:t>Information Media and Telecommunications</w:t>
                  </w:r>
                </w:p>
              </w:tc>
              <w:tc>
                <w:tcPr>
                  <w:tcW w:w="500" w:type="pct"/>
                </w:tcPr>
                <w:p w14:paraId="5EDF976D" w14:textId="77777777" w:rsidR="00534098" w:rsidRDefault="00534098" w:rsidP="007A39EB">
                  <w:pPr>
                    <w:pStyle w:val="TableBodyText"/>
                  </w:pPr>
                  <w:r w:rsidRPr="00A75C9D">
                    <w:t>77</w:t>
                  </w:r>
                </w:p>
              </w:tc>
              <w:tc>
                <w:tcPr>
                  <w:tcW w:w="500" w:type="pct"/>
                </w:tcPr>
                <w:p w14:paraId="42C121D1" w14:textId="77777777" w:rsidR="00534098" w:rsidRDefault="00534098" w:rsidP="007A39EB">
                  <w:pPr>
                    <w:pStyle w:val="TableBodyText"/>
                  </w:pPr>
                  <w:r w:rsidRPr="00A75C9D">
                    <w:t>82</w:t>
                  </w:r>
                </w:p>
              </w:tc>
              <w:tc>
                <w:tcPr>
                  <w:tcW w:w="501" w:type="pct"/>
                  <w:shd w:val="clear" w:color="auto" w:fill="auto"/>
                </w:tcPr>
                <w:p w14:paraId="063B1403" w14:textId="77777777" w:rsidR="00534098" w:rsidRDefault="00534098" w:rsidP="007A39EB">
                  <w:pPr>
                    <w:pStyle w:val="TableBodyText"/>
                  </w:pPr>
                  <w:r w:rsidRPr="00A75C9D">
                    <w:t>75</w:t>
                  </w:r>
                </w:p>
              </w:tc>
              <w:tc>
                <w:tcPr>
                  <w:tcW w:w="499" w:type="pct"/>
                  <w:shd w:val="clear" w:color="auto" w:fill="auto"/>
                </w:tcPr>
                <w:p w14:paraId="237B7CB3" w14:textId="77777777" w:rsidR="00534098" w:rsidRDefault="00534098" w:rsidP="007A39EB">
                  <w:pPr>
                    <w:pStyle w:val="TableBodyText"/>
                    <w:ind w:right="28"/>
                  </w:pPr>
                  <w:r w:rsidRPr="00A75C9D">
                    <w:t>90</w:t>
                  </w:r>
                </w:p>
              </w:tc>
            </w:tr>
            <w:tr w:rsidR="00534098" w14:paraId="03CD5CB2" w14:textId="77777777" w:rsidTr="007A39EB">
              <w:tc>
                <w:tcPr>
                  <w:tcW w:w="1833" w:type="pct"/>
                  <w:shd w:val="clear" w:color="auto" w:fill="auto"/>
                </w:tcPr>
                <w:p w14:paraId="65275F43" w14:textId="77777777" w:rsidR="00534098" w:rsidRPr="003E2EB4" w:rsidRDefault="00534098" w:rsidP="007A39EB">
                  <w:pPr>
                    <w:pStyle w:val="TableBodyText"/>
                    <w:jc w:val="left"/>
                  </w:pPr>
                  <w:r w:rsidRPr="004124DD">
                    <w:t>Motion Picture and Sound Recording Activities</w:t>
                  </w:r>
                </w:p>
              </w:tc>
              <w:tc>
                <w:tcPr>
                  <w:tcW w:w="1167" w:type="pct"/>
                </w:tcPr>
                <w:p w14:paraId="327E6981" w14:textId="77777777" w:rsidR="00534098" w:rsidRPr="003E2EB4" w:rsidRDefault="00534098" w:rsidP="007A39EB">
                  <w:pPr>
                    <w:pStyle w:val="TableBodyText"/>
                    <w:jc w:val="left"/>
                  </w:pPr>
                  <w:r w:rsidRPr="004124DD">
                    <w:t>Information Media and Telecommunications</w:t>
                  </w:r>
                </w:p>
              </w:tc>
              <w:tc>
                <w:tcPr>
                  <w:tcW w:w="500" w:type="pct"/>
                </w:tcPr>
                <w:p w14:paraId="36A23D60" w14:textId="77777777" w:rsidR="00534098" w:rsidRDefault="00534098" w:rsidP="007A39EB">
                  <w:pPr>
                    <w:pStyle w:val="TableBodyText"/>
                  </w:pPr>
                  <w:r w:rsidRPr="00A75C9D">
                    <w:t>62</w:t>
                  </w:r>
                </w:p>
              </w:tc>
              <w:tc>
                <w:tcPr>
                  <w:tcW w:w="500" w:type="pct"/>
                </w:tcPr>
                <w:p w14:paraId="0919589B" w14:textId="77777777" w:rsidR="00534098" w:rsidRDefault="00534098" w:rsidP="007A39EB">
                  <w:pPr>
                    <w:pStyle w:val="TableBodyText"/>
                  </w:pPr>
                  <w:r w:rsidRPr="00A75C9D">
                    <w:t>85</w:t>
                  </w:r>
                </w:p>
              </w:tc>
              <w:tc>
                <w:tcPr>
                  <w:tcW w:w="501" w:type="pct"/>
                  <w:shd w:val="clear" w:color="auto" w:fill="auto"/>
                </w:tcPr>
                <w:p w14:paraId="2C68E5C9" w14:textId="77777777" w:rsidR="00534098" w:rsidRDefault="00534098" w:rsidP="007A39EB">
                  <w:pPr>
                    <w:pStyle w:val="TableBodyText"/>
                  </w:pPr>
                  <w:r w:rsidRPr="00A75C9D">
                    <w:t>91</w:t>
                  </w:r>
                </w:p>
              </w:tc>
              <w:tc>
                <w:tcPr>
                  <w:tcW w:w="499" w:type="pct"/>
                  <w:shd w:val="clear" w:color="auto" w:fill="auto"/>
                </w:tcPr>
                <w:p w14:paraId="4F4421B1" w14:textId="77777777" w:rsidR="00534098" w:rsidRDefault="00534098" w:rsidP="007A39EB">
                  <w:pPr>
                    <w:pStyle w:val="TableBodyText"/>
                    <w:ind w:right="28"/>
                  </w:pPr>
                  <w:r w:rsidRPr="00A75C9D">
                    <w:t>88</w:t>
                  </w:r>
                </w:p>
              </w:tc>
            </w:tr>
            <w:tr w:rsidR="00534098" w14:paraId="23C9B731" w14:textId="77777777" w:rsidTr="007A39EB">
              <w:tc>
                <w:tcPr>
                  <w:tcW w:w="1833" w:type="pct"/>
                  <w:shd w:val="clear" w:color="auto" w:fill="auto"/>
                </w:tcPr>
                <w:p w14:paraId="7869C086" w14:textId="77777777" w:rsidR="00534098" w:rsidRPr="003E2EB4" w:rsidRDefault="00534098" w:rsidP="007A39EB">
                  <w:pPr>
                    <w:pStyle w:val="TableBodyText"/>
                    <w:jc w:val="left"/>
                  </w:pPr>
                  <w:r w:rsidRPr="004124DD">
                    <w:t>Broadcasting (except Internet)</w:t>
                  </w:r>
                </w:p>
              </w:tc>
              <w:tc>
                <w:tcPr>
                  <w:tcW w:w="1167" w:type="pct"/>
                </w:tcPr>
                <w:p w14:paraId="0C0BC6CD" w14:textId="77777777" w:rsidR="00534098" w:rsidRPr="003E2EB4" w:rsidRDefault="00534098" w:rsidP="007A39EB">
                  <w:pPr>
                    <w:pStyle w:val="TableBodyText"/>
                    <w:jc w:val="left"/>
                  </w:pPr>
                  <w:r w:rsidRPr="004124DD">
                    <w:t>Information Media and Telecommunications</w:t>
                  </w:r>
                </w:p>
              </w:tc>
              <w:tc>
                <w:tcPr>
                  <w:tcW w:w="500" w:type="pct"/>
                </w:tcPr>
                <w:p w14:paraId="3AD64C2A" w14:textId="77777777" w:rsidR="00534098" w:rsidRDefault="00534098" w:rsidP="007A39EB">
                  <w:pPr>
                    <w:pStyle w:val="TableBodyText"/>
                  </w:pPr>
                  <w:r w:rsidRPr="00A75C9D">
                    <w:t>141</w:t>
                  </w:r>
                </w:p>
              </w:tc>
              <w:tc>
                <w:tcPr>
                  <w:tcW w:w="500" w:type="pct"/>
                </w:tcPr>
                <w:p w14:paraId="4A34A8BF" w14:textId="77777777" w:rsidR="00534098" w:rsidRDefault="00534098" w:rsidP="007A39EB">
                  <w:pPr>
                    <w:pStyle w:val="TableBodyText"/>
                  </w:pPr>
                  <w:r w:rsidRPr="00A75C9D">
                    <w:t>117</w:t>
                  </w:r>
                </w:p>
              </w:tc>
              <w:tc>
                <w:tcPr>
                  <w:tcW w:w="501" w:type="pct"/>
                  <w:shd w:val="clear" w:color="auto" w:fill="auto"/>
                </w:tcPr>
                <w:p w14:paraId="613A77C8" w14:textId="77777777" w:rsidR="00534098" w:rsidRDefault="00534098" w:rsidP="007A39EB">
                  <w:pPr>
                    <w:pStyle w:val="TableBodyText"/>
                  </w:pPr>
                  <w:r w:rsidRPr="00A75C9D">
                    <w:t>92</w:t>
                  </w:r>
                </w:p>
              </w:tc>
              <w:tc>
                <w:tcPr>
                  <w:tcW w:w="499" w:type="pct"/>
                  <w:shd w:val="clear" w:color="auto" w:fill="auto"/>
                </w:tcPr>
                <w:p w14:paraId="1B12300A" w14:textId="77777777" w:rsidR="00534098" w:rsidRDefault="00534098" w:rsidP="007A39EB">
                  <w:pPr>
                    <w:pStyle w:val="TableBodyText"/>
                    <w:ind w:right="28"/>
                  </w:pPr>
                  <w:r w:rsidRPr="00A75C9D">
                    <w:t>114</w:t>
                  </w:r>
                </w:p>
              </w:tc>
            </w:tr>
            <w:tr w:rsidR="00534098" w14:paraId="213EF9D7" w14:textId="77777777" w:rsidTr="007A39EB">
              <w:tc>
                <w:tcPr>
                  <w:tcW w:w="1833" w:type="pct"/>
                  <w:shd w:val="clear" w:color="auto" w:fill="auto"/>
                </w:tcPr>
                <w:p w14:paraId="0C859830" w14:textId="77777777" w:rsidR="00534098" w:rsidRPr="003E2EB4" w:rsidRDefault="00534098" w:rsidP="007A39EB">
                  <w:pPr>
                    <w:pStyle w:val="TableBodyText"/>
                    <w:jc w:val="left"/>
                  </w:pPr>
                  <w:r w:rsidRPr="004124DD">
                    <w:t>Internet Publishing and Broadcasting</w:t>
                  </w:r>
                </w:p>
              </w:tc>
              <w:tc>
                <w:tcPr>
                  <w:tcW w:w="1167" w:type="pct"/>
                </w:tcPr>
                <w:p w14:paraId="7C2C248D" w14:textId="77777777" w:rsidR="00534098" w:rsidRPr="003E2EB4" w:rsidRDefault="00534098" w:rsidP="007A39EB">
                  <w:pPr>
                    <w:pStyle w:val="TableBodyText"/>
                    <w:jc w:val="left"/>
                  </w:pPr>
                  <w:r w:rsidRPr="004124DD">
                    <w:t>Information Media and Telecommunications</w:t>
                  </w:r>
                </w:p>
              </w:tc>
              <w:tc>
                <w:tcPr>
                  <w:tcW w:w="500" w:type="pct"/>
                </w:tcPr>
                <w:p w14:paraId="4483417D" w14:textId="77777777" w:rsidR="00534098" w:rsidRDefault="00534098" w:rsidP="007A39EB">
                  <w:pPr>
                    <w:pStyle w:val="TableBodyText"/>
                  </w:pPr>
                  <w:r w:rsidRPr="00A75C9D">
                    <w:t>138</w:t>
                  </w:r>
                </w:p>
              </w:tc>
              <w:tc>
                <w:tcPr>
                  <w:tcW w:w="500" w:type="pct"/>
                </w:tcPr>
                <w:p w14:paraId="7A743372" w14:textId="77777777" w:rsidR="00534098" w:rsidRDefault="00534098" w:rsidP="007A39EB">
                  <w:pPr>
                    <w:pStyle w:val="TableBodyText"/>
                  </w:pPr>
                  <w:r w:rsidRPr="00A75C9D">
                    <w:t>312</w:t>
                  </w:r>
                </w:p>
              </w:tc>
              <w:tc>
                <w:tcPr>
                  <w:tcW w:w="501" w:type="pct"/>
                  <w:shd w:val="clear" w:color="auto" w:fill="auto"/>
                </w:tcPr>
                <w:p w14:paraId="56E690DA" w14:textId="77777777" w:rsidR="00534098" w:rsidRDefault="00534098" w:rsidP="007A39EB">
                  <w:pPr>
                    <w:pStyle w:val="TableBodyText"/>
                  </w:pPr>
                  <w:r w:rsidRPr="00A75C9D">
                    <w:t>369</w:t>
                  </w:r>
                </w:p>
              </w:tc>
              <w:tc>
                <w:tcPr>
                  <w:tcW w:w="499" w:type="pct"/>
                  <w:shd w:val="clear" w:color="auto" w:fill="auto"/>
                </w:tcPr>
                <w:p w14:paraId="664FDF86" w14:textId="77777777" w:rsidR="00534098" w:rsidRDefault="00534098" w:rsidP="007A39EB">
                  <w:pPr>
                    <w:pStyle w:val="TableBodyText"/>
                    <w:ind w:right="28"/>
                  </w:pPr>
                  <w:r w:rsidRPr="00A75C9D">
                    <w:t>450</w:t>
                  </w:r>
                </w:p>
              </w:tc>
            </w:tr>
            <w:tr w:rsidR="00534098" w14:paraId="1BEE02C8" w14:textId="77777777" w:rsidTr="007A39EB">
              <w:tc>
                <w:tcPr>
                  <w:tcW w:w="1833" w:type="pct"/>
                  <w:shd w:val="clear" w:color="auto" w:fill="auto"/>
                </w:tcPr>
                <w:p w14:paraId="08035EA3" w14:textId="77777777" w:rsidR="00534098" w:rsidRPr="003E2EB4" w:rsidRDefault="00534098" w:rsidP="007A39EB">
                  <w:pPr>
                    <w:pStyle w:val="TableBodyText"/>
                    <w:jc w:val="left"/>
                  </w:pPr>
                  <w:r w:rsidRPr="004124DD">
                    <w:t>Telecommunications Services</w:t>
                  </w:r>
                </w:p>
              </w:tc>
              <w:tc>
                <w:tcPr>
                  <w:tcW w:w="1167" w:type="pct"/>
                </w:tcPr>
                <w:p w14:paraId="0452492B" w14:textId="77777777" w:rsidR="00534098" w:rsidRPr="003E2EB4" w:rsidRDefault="00534098" w:rsidP="007A39EB">
                  <w:pPr>
                    <w:pStyle w:val="TableBodyText"/>
                    <w:jc w:val="left"/>
                  </w:pPr>
                  <w:r w:rsidRPr="004124DD">
                    <w:t>Information Media and Telecommunications</w:t>
                  </w:r>
                </w:p>
              </w:tc>
              <w:tc>
                <w:tcPr>
                  <w:tcW w:w="500" w:type="pct"/>
                </w:tcPr>
                <w:p w14:paraId="63CDA1B4" w14:textId="77777777" w:rsidR="00534098" w:rsidRDefault="00534098" w:rsidP="007A39EB">
                  <w:pPr>
                    <w:pStyle w:val="TableBodyText"/>
                  </w:pPr>
                  <w:r w:rsidRPr="00A75C9D">
                    <w:t>93</w:t>
                  </w:r>
                </w:p>
              </w:tc>
              <w:tc>
                <w:tcPr>
                  <w:tcW w:w="500" w:type="pct"/>
                </w:tcPr>
                <w:p w14:paraId="62C1613D" w14:textId="77777777" w:rsidR="00534098" w:rsidRDefault="00534098" w:rsidP="007A39EB">
                  <w:pPr>
                    <w:pStyle w:val="TableBodyText"/>
                  </w:pPr>
                  <w:r w:rsidRPr="00A75C9D">
                    <w:t>93</w:t>
                  </w:r>
                </w:p>
              </w:tc>
              <w:tc>
                <w:tcPr>
                  <w:tcW w:w="501" w:type="pct"/>
                  <w:shd w:val="clear" w:color="auto" w:fill="auto"/>
                </w:tcPr>
                <w:p w14:paraId="2FBC3BC0" w14:textId="77777777" w:rsidR="00534098" w:rsidRDefault="00534098" w:rsidP="007A39EB">
                  <w:pPr>
                    <w:pStyle w:val="TableBodyText"/>
                  </w:pPr>
                  <w:r w:rsidRPr="00A75C9D">
                    <w:t>95</w:t>
                  </w:r>
                </w:p>
              </w:tc>
              <w:tc>
                <w:tcPr>
                  <w:tcW w:w="499" w:type="pct"/>
                  <w:shd w:val="clear" w:color="auto" w:fill="auto"/>
                </w:tcPr>
                <w:p w14:paraId="634CFF60" w14:textId="77777777" w:rsidR="00534098" w:rsidRDefault="00534098" w:rsidP="007A39EB">
                  <w:pPr>
                    <w:pStyle w:val="TableBodyText"/>
                    <w:ind w:right="28"/>
                  </w:pPr>
                  <w:r w:rsidRPr="00A75C9D">
                    <w:t>91</w:t>
                  </w:r>
                </w:p>
              </w:tc>
            </w:tr>
            <w:tr w:rsidR="00534098" w14:paraId="6FA5206D" w14:textId="77777777" w:rsidTr="007A39EB">
              <w:tc>
                <w:tcPr>
                  <w:tcW w:w="1833" w:type="pct"/>
                  <w:shd w:val="clear" w:color="auto" w:fill="auto"/>
                </w:tcPr>
                <w:p w14:paraId="14ED84A1" w14:textId="77777777" w:rsidR="00534098" w:rsidRPr="003E2EB4" w:rsidRDefault="00534098" w:rsidP="007A39EB">
                  <w:pPr>
                    <w:pStyle w:val="TableBodyText"/>
                    <w:jc w:val="left"/>
                  </w:pPr>
                  <w:r w:rsidRPr="004124DD">
                    <w:t>Internet Service Providers, Web Search Portals and Data Processing Services</w:t>
                  </w:r>
                </w:p>
              </w:tc>
              <w:tc>
                <w:tcPr>
                  <w:tcW w:w="1167" w:type="pct"/>
                </w:tcPr>
                <w:p w14:paraId="7705E362" w14:textId="77777777" w:rsidR="00534098" w:rsidRPr="003E2EB4" w:rsidRDefault="00534098" w:rsidP="007A39EB">
                  <w:pPr>
                    <w:pStyle w:val="TableBodyText"/>
                    <w:jc w:val="left"/>
                  </w:pPr>
                  <w:r w:rsidRPr="004124DD">
                    <w:t>Information Media and Telecommunications</w:t>
                  </w:r>
                </w:p>
              </w:tc>
              <w:tc>
                <w:tcPr>
                  <w:tcW w:w="500" w:type="pct"/>
                </w:tcPr>
                <w:p w14:paraId="37F13112" w14:textId="77777777" w:rsidR="00534098" w:rsidRDefault="00534098" w:rsidP="007A39EB">
                  <w:pPr>
                    <w:pStyle w:val="TableBodyText"/>
                  </w:pPr>
                  <w:r w:rsidRPr="00A75C9D">
                    <w:t>91</w:t>
                  </w:r>
                </w:p>
              </w:tc>
              <w:tc>
                <w:tcPr>
                  <w:tcW w:w="500" w:type="pct"/>
                </w:tcPr>
                <w:p w14:paraId="3AF44CCA" w14:textId="77777777" w:rsidR="00534098" w:rsidRDefault="00534098" w:rsidP="007A39EB">
                  <w:pPr>
                    <w:pStyle w:val="TableBodyText"/>
                  </w:pPr>
                  <w:r w:rsidRPr="00A75C9D">
                    <w:t>74</w:t>
                  </w:r>
                </w:p>
              </w:tc>
              <w:tc>
                <w:tcPr>
                  <w:tcW w:w="501" w:type="pct"/>
                  <w:shd w:val="clear" w:color="auto" w:fill="auto"/>
                </w:tcPr>
                <w:p w14:paraId="4932C5A3" w14:textId="77777777" w:rsidR="00534098" w:rsidRDefault="00534098" w:rsidP="007A39EB">
                  <w:pPr>
                    <w:pStyle w:val="TableBodyText"/>
                  </w:pPr>
                  <w:r w:rsidRPr="00A75C9D">
                    <w:t>91</w:t>
                  </w:r>
                </w:p>
              </w:tc>
              <w:tc>
                <w:tcPr>
                  <w:tcW w:w="499" w:type="pct"/>
                  <w:shd w:val="clear" w:color="auto" w:fill="auto"/>
                </w:tcPr>
                <w:p w14:paraId="3BD4D967" w14:textId="77777777" w:rsidR="00534098" w:rsidRDefault="00534098" w:rsidP="007A39EB">
                  <w:pPr>
                    <w:pStyle w:val="TableBodyText"/>
                    <w:ind w:right="28"/>
                  </w:pPr>
                  <w:r w:rsidRPr="00A75C9D">
                    <w:t>96</w:t>
                  </w:r>
                </w:p>
              </w:tc>
            </w:tr>
            <w:tr w:rsidR="00534098" w14:paraId="61482A42" w14:textId="77777777" w:rsidTr="007A39EB">
              <w:tc>
                <w:tcPr>
                  <w:tcW w:w="1833" w:type="pct"/>
                  <w:shd w:val="clear" w:color="auto" w:fill="auto"/>
                </w:tcPr>
                <w:p w14:paraId="2CD9F7E6" w14:textId="77777777" w:rsidR="00534098" w:rsidRPr="003E2EB4" w:rsidRDefault="00534098" w:rsidP="007A39EB">
                  <w:pPr>
                    <w:pStyle w:val="TableBodyText"/>
                    <w:jc w:val="left"/>
                  </w:pPr>
                  <w:r w:rsidRPr="004124DD">
                    <w:t>Library and Other Information Services</w:t>
                  </w:r>
                </w:p>
              </w:tc>
              <w:tc>
                <w:tcPr>
                  <w:tcW w:w="1167" w:type="pct"/>
                </w:tcPr>
                <w:p w14:paraId="41080799" w14:textId="77777777" w:rsidR="00534098" w:rsidRPr="003E2EB4" w:rsidRDefault="00534098" w:rsidP="007A39EB">
                  <w:pPr>
                    <w:pStyle w:val="TableBodyText"/>
                    <w:jc w:val="left"/>
                  </w:pPr>
                  <w:r w:rsidRPr="004124DD">
                    <w:t>Information Media and Telecommunications</w:t>
                  </w:r>
                </w:p>
              </w:tc>
              <w:tc>
                <w:tcPr>
                  <w:tcW w:w="500" w:type="pct"/>
                </w:tcPr>
                <w:p w14:paraId="6C1858A3" w14:textId="77777777" w:rsidR="00534098" w:rsidRDefault="00534098" w:rsidP="007A39EB">
                  <w:pPr>
                    <w:pStyle w:val="TableBodyText"/>
                  </w:pPr>
                  <w:r w:rsidRPr="00A75C9D">
                    <w:t>53</w:t>
                  </w:r>
                </w:p>
              </w:tc>
              <w:tc>
                <w:tcPr>
                  <w:tcW w:w="500" w:type="pct"/>
                </w:tcPr>
                <w:p w14:paraId="7D0D602B" w14:textId="77777777" w:rsidR="00534098" w:rsidRDefault="00534098" w:rsidP="007A39EB">
                  <w:pPr>
                    <w:pStyle w:val="TableBodyText"/>
                  </w:pPr>
                  <w:r w:rsidRPr="00A75C9D">
                    <w:t>74</w:t>
                  </w:r>
                </w:p>
              </w:tc>
              <w:tc>
                <w:tcPr>
                  <w:tcW w:w="501" w:type="pct"/>
                  <w:shd w:val="clear" w:color="auto" w:fill="auto"/>
                </w:tcPr>
                <w:p w14:paraId="052F54AD" w14:textId="77777777" w:rsidR="00534098" w:rsidRDefault="00534098" w:rsidP="007A39EB">
                  <w:pPr>
                    <w:pStyle w:val="TableBodyText"/>
                  </w:pPr>
                  <w:r w:rsidRPr="00A75C9D">
                    <w:t>79</w:t>
                  </w:r>
                </w:p>
              </w:tc>
              <w:tc>
                <w:tcPr>
                  <w:tcW w:w="499" w:type="pct"/>
                  <w:shd w:val="clear" w:color="auto" w:fill="auto"/>
                </w:tcPr>
                <w:p w14:paraId="03D0187D" w14:textId="77777777" w:rsidR="00534098" w:rsidRDefault="00534098" w:rsidP="007A39EB">
                  <w:pPr>
                    <w:pStyle w:val="TableBodyText"/>
                    <w:ind w:right="28"/>
                  </w:pPr>
                  <w:r w:rsidRPr="00A75C9D">
                    <w:t>95</w:t>
                  </w:r>
                </w:p>
              </w:tc>
            </w:tr>
            <w:tr w:rsidR="00534098" w14:paraId="171CD092" w14:textId="77777777" w:rsidTr="007A39EB">
              <w:tc>
                <w:tcPr>
                  <w:tcW w:w="1833" w:type="pct"/>
                  <w:shd w:val="clear" w:color="auto" w:fill="auto"/>
                </w:tcPr>
                <w:p w14:paraId="2889FE52" w14:textId="77777777" w:rsidR="00534098" w:rsidRPr="00880615" w:rsidRDefault="00534098" w:rsidP="007A39EB">
                  <w:pPr>
                    <w:pStyle w:val="TableBodyText"/>
                    <w:jc w:val="left"/>
                  </w:pPr>
                  <w:r w:rsidRPr="004124DD">
                    <w:t>Finance</w:t>
                  </w:r>
                </w:p>
              </w:tc>
              <w:tc>
                <w:tcPr>
                  <w:tcW w:w="1167" w:type="pct"/>
                </w:tcPr>
                <w:p w14:paraId="50EE492F" w14:textId="77777777" w:rsidR="00534098" w:rsidRPr="00880615" w:rsidRDefault="00534098" w:rsidP="007A39EB">
                  <w:pPr>
                    <w:pStyle w:val="TableBodyText"/>
                    <w:jc w:val="left"/>
                  </w:pPr>
                  <w:r w:rsidRPr="004124DD">
                    <w:t>Financial and Insurance Services</w:t>
                  </w:r>
                </w:p>
              </w:tc>
              <w:tc>
                <w:tcPr>
                  <w:tcW w:w="500" w:type="pct"/>
                </w:tcPr>
                <w:p w14:paraId="607A6F28" w14:textId="77777777" w:rsidR="00534098" w:rsidRDefault="00534098" w:rsidP="007A39EB">
                  <w:pPr>
                    <w:pStyle w:val="TableBodyText"/>
                  </w:pPr>
                  <w:r w:rsidRPr="00A75C9D">
                    <w:t>98</w:t>
                  </w:r>
                </w:p>
              </w:tc>
              <w:tc>
                <w:tcPr>
                  <w:tcW w:w="500" w:type="pct"/>
                </w:tcPr>
                <w:p w14:paraId="54073EA0" w14:textId="77777777" w:rsidR="00534098" w:rsidRDefault="00534098" w:rsidP="007A39EB">
                  <w:pPr>
                    <w:pStyle w:val="TableBodyText"/>
                  </w:pPr>
                  <w:r w:rsidRPr="00A75C9D">
                    <w:t>100</w:t>
                  </w:r>
                </w:p>
              </w:tc>
              <w:tc>
                <w:tcPr>
                  <w:tcW w:w="501" w:type="pct"/>
                  <w:shd w:val="clear" w:color="auto" w:fill="auto"/>
                </w:tcPr>
                <w:p w14:paraId="34FA6BF3" w14:textId="77777777" w:rsidR="00534098" w:rsidRDefault="00534098" w:rsidP="007A39EB">
                  <w:pPr>
                    <w:pStyle w:val="TableBodyText"/>
                  </w:pPr>
                  <w:r w:rsidRPr="00A75C9D">
                    <w:t>97</w:t>
                  </w:r>
                </w:p>
              </w:tc>
              <w:tc>
                <w:tcPr>
                  <w:tcW w:w="499" w:type="pct"/>
                  <w:shd w:val="clear" w:color="auto" w:fill="auto"/>
                </w:tcPr>
                <w:p w14:paraId="060C0B5E" w14:textId="77777777" w:rsidR="00534098" w:rsidRDefault="00534098" w:rsidP="007A39EB">
                  <w:pPr>
                    <w:pStyle w:val="TableBodyText"/>
                    <w:ind w:right="28"/>
                  </w:pPr>
                  <w:r w:rsidRPr="00A75C9D">
                    <w:t>101</w:t>
                  </w:r>
                </w:p>
              </w:tc>
            </w:tr>
          </w:tbl>
          <w:p w14:paraId="477A2617" w14:textId="77777777" w:rsidR="00534098" w:rsidRDefault="00534098" w:rsidP="007A39EB">
            <w:pPr>
              <w:pStyle w:val="Box"/>
            </w:pPr>
          </w:p>
        </w:tc>
      </w:tr>
      <w:tr w:rsidR="00534098" w14:paraId="3625A670" w14:textId="77777777" w:rsidTr="007A39EB">
        <w:tc>
          <w:tcPr>
            <w:tcW w:w="5000" w:type="pct"/>
            <w:tcBorders>
              <w:top w:val="nil"/>
              <w:left w:val="nil"/>
              <w:bottom w:val="nil"/>
              <w:right w:val="nil"/>
            </w:tcBorders>
            <w:shd w:val="clear" w:color="auto" w:fill="auto"/>
          </w:tcPr>
          <w:p w14:paraId="7FF35C37" w14:textId="77777777" w:rsidR="00534098" w:rsidRDefault="00534098" w:rsidP="007A39EB">
            <w:pPr>
              <w:pStyle w:val="Continued"/>
            </w:pPr>
            <w:r>
              <w:t>(continued next page)</w:t>
            </w:r>
          </w:p>
        </w:tc>
      </w:tr>
      <w:tr w:rsidR="00534098" w14:paraId="025F101E" w14:textId="77777777" w:rsidTr="007A39EB">
        <w:tc>
          <w:tcPr>
            <w:tcW w:w="5000" w:type="pct"/>
            <w:tcBorders>
              <w:top w:val="nil"/>
              <w:left w:val="nil"/>
              <w:bottom w:val="single" w:sz="6" w:space="0" w:color="78A22F"/>
              <w:right w:val="nil"/>
            </w:tcBorders>
            <w:shd w:val="clear" w:color="auto" w:fill="auto"/>
          </w:tcPr>
          <w:p w14:paraId="5D6EE549" w14:textId="77777777" w:rsidR="00534098" w:rsidRDefault="00534098" w:rsidP="007A39EB">
            <w:pPr>
              <w:pStyle w:val="Box"/>
              <w:spacing w:before="0" w:line="120" w:lineRule="exact"/>
            </w:pPr>
          </w:p>
        </w:tc>
      </w:tr>
      <w:tr w:rsidR="00534098" w:rsidRPr="000863A5" w14:paraId="79CF67D2" w14:textId="77777777" w:rsidTr="007A39EB">
        <w:tc>
          <w:tcPr>
            <w:tcW w:w="5000" w:type="pct"/>
            <w:tcBorders>
              <w:top w:val="single" w:sz="6" w:space="0" w:color="78A22F"/>
              <w:left w:val="nil"/>
              <w:bottom w:val="nil"/>
              <w:right w:val="nil"/>
            </w:tcBorders>
          </w:tcPr>
          <w:p w14:paraId="13FA0646" w14:textId="35D3252E" w:rsidR="00534098" w:rsidRPr="00626D32" w:rsidRDefault="00534098" w:rsidP="007A39EB">
            <w:pPr>
              <w:pStyle w:val="BoxSpaceBelow"/>
            </w:pPr>
          </w:p>
        </w:tc>
      </w:tr>
    </w:tbl>
    <w:p w14:paraId="24CEE391" w14:textId="00463300"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19819AB2" w14:textId="77777777" w:rsidTr="007A39EB">
        <w:trPr>
          <w:tblHeader/>
        </w:trPr>
        <w:tc>
          <w:tcPr>
            <w:tcW w:w="5000" w:type="pct"/>
            <w:tcBorders>
              <w:top w:val="single" w:sz="6" w:space="0" w:color="78A22F"/>
              <w:left w:val="nil"/>
              <w:bottom w:val="nil"/>
              <w:right w:val="nil"/>
            </w:tcBorders>
            <w:shd w:val="clear" w:color="auto" w:fill="auto"/>
          </w:tcPr>
          <w:p w14:paraId="2FFD0A51" w14:textId="6F56FC76" w:rsidR="00534098" w:rsidRPr="00784A05" w:rsidRDefault="00534098" w:rsidP="007A39EB">
            <w:pPr>
              <w:pStyle w:val="TableTitle"/>
            </w:pPr>
            <w:r>
              <w:rPr>
                <w:b w:val="0"/>
              </w:rPr>
              <w:t>Table A.1</w:t>
            </w:r>
            <w:r>
              <w:tab/>
            </w:r>
            <w:r w:rsidRPr="00FD1DD1">
              <w:rPr>
                <w:b w:val="0"/>
                <w:bCs/>
                <w:sz w:val="18"/>
                <w:szCs w:val="18"/>
              </w:rPr>
              <w:t>(continued)</w:t>
            </w:r>
          </w:p>
        </w:tc>
      </w:tr>
      <w:tr w:rsidR="00534098" w14:paraId="3CD54C91"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1985"/>
              <w:gridCol w:w="850"/>
              <w:gridCol w:w="850"/>
              <w:gridCol w:w="852"/>
              <w:gridCol w:w="849"/>
            </w:tblGrid>
            <w:tr w:rsidR="00534098" w14:paraId="184E15B2" w14:textId="77777777" w:rsidTr="007A39EB">
              <w:trPr>
                <w:tblHeader/>
              </w:trPr>
              <w:tc>
                <w:tcPr>
                  <w:tcW w:w="1833" w:type="pct"/>
                  <w:tcBorders>
                    <w:top w:val="single" w:sz="6" w:space="0" w:color="BFBFBF"/>
                    <w:bottom w:val="single" w:sz="6" w:space="0" w:color="BFBFBF"/>
                  </w:tcBorders>
                  <w:shd w:val="clear" w:color="auto" w:fill="auto"/>
                  <w:tcMar>
                    <w:top w:w="28" w:type="dxa"/>
                  </w:tcMar>
                </w:tcPr>
                <w:p w14:paraId="1C186D44" w14:textId="77777777" w:rsidR="00534098" w:rsidRDefault="00534098" w:rsidP="007A39EB">
                  <w:pPr>
                    <w:pStyle w:val="TableColumnHeading"/>
                    <w:jc w:val="left"/>
                  </w:pPr>
                  <w:r w:rsidRPr="00CD275C">
                    <w:t>Anzsic 2</w:t>
                  </w:r>
                </w:p>
              </w:tc>
              <w:tc>
                <w:tcPr>
                  <w:tcW w:w="1167" w:type="pct"/>
                  <w:tcBorders>
                    <w:top w:val="single" w:sz="6" w:space="0" w:color="BFBFBF"/>
                    <w:bottom w:val="single" w:sz="6" w:space="0" w:color="BFBFBF"/>
                  </w:tcBorders>
                </w:tcPr>
                <w:p w14:paraId="702491EE" w14:textId="77777777" w:rsidR="00534098" w:rsidRDefault="00534098" w:rsidP="007A39EB">
                  <w:pPr>
                    <w:pStyle w:val="TableColumnHeading"/>
                    <w:jc w:val="left"/>
                  </w:pPr>
                  <w:r w:rsidRPr="00CD275C">
                    <w:t>Anzsic 1</w:t>
                  </w:r>
                </w:p>
              </w:tc>
              <w:tc>
                <w:tcPr>
                  <w:tcW w:w="500" w:type="pct"/>
                  <w:tcBorders>
                    <w:top w:val="single" w:sz="6" w:space="0" w:color="BFBFBF"/>
                    <w:bottom w:val="single" w:sz="6" w:space="0" w:color="BFBFBF"/>
                  </w:tcBorders>
                </w:tcPr>
                <w:p w14:paraId="45FF5B8F" w14:textId="77777777" w:rsidR="00534098" w:rsidRDefault="00534098" w:rsidP="007A39EB">
                  <w:pPr>
                    <w:pStyle w:val="TableColumnHeading"/>
                  </w:pPr>
                  <w:r>
                    <w:t>May</w:t>
                  </w:r>
                  <w:r>
                    <w:noBreakHyphen/>
                    <w:t>20</w:t>
                  </w:r>
                </w:p>
              </w:tc>
              <w:tc>
                <w:tcPr>
                  <w:tcW w:w="500" w:type="pct"/>
                  <w:tcBorders>
                    <w:top w:val="single" w:sz="6" w:space="0" w:color="BFBFBF"/>
                    <w:bottom w:val="single" w:sz="6" w:space="0" w:color="BFBFBF"/>
                  </w:tcBorders>
                </w:tcPr>
                <w:p w14:paraId="70685FC7" w14:textId="77777777" w:rsidR="00534098" w:rsidRDefault="00534098" w:rsidP="007A39EB">
                  <w:pPr>
                    <w:pStyle w:val="TableColumnHeading"/>
                  </w:pPr>
                  <w:r>
                    <w:t>Aug</w:t>
                  </w:r>
                  <w:r>
                    <w:noBreakHyphen/>
                    <w:t>20</w:t>
                  </w:r>
                </w:p>
              </w:tc>
              <w:tc>
                <w:tcPr>
                  <w:tcW w:w="501" w:type="pct"/>
                  <w:tcBorders>
                    <w:top w:val="single" w:sz="6" w:space="0" w:color="BFBFBF"/>
                    <w:bottom w:val="single" w:sz="6" w:space="0" w:color="BFBFBF"/>
                  </w:tcBorders>
                  <w:shd w:val="clear" w:color="auto" w:fill="auto"/>
                  <w:tcMar>
                    <w:top w:w="28" w:type="dxa"/>
                  </w:tcMar>
                </w:tcPr>
                <w:p w14:paraId="6F2F4588" w14:textId="77777777" w:rsidR="00534098" w:rsidRDefault="00534098" w:rsidP="007A39EB">
                  <w:pPr>
                    <w:pStyle w:val="TableColumnHeading"/>
                  </w:pPr>
                  <w:r>
                    <w:t>Nov</w:t>
                  </w:r>
                  <w:r>
                    <w:noBreakHyphen/>
                    <w:t>20</w:t>
                  </w:r>
                </w:p>
              </w:tc>
              <w:tc>
                <w:tcPr>
                  <w:tcW w:w="499" w:type="pct"/>
                  <w:tcBorders>
                    <w:top w:val="single" w:sz="6" w:space="0" w:color="BFBFBF"/>
                    <w:bottom w:val="single" w:sz="6" w:space="0" w:color="BFBFBF"/>
                  </w:tcBorders>
                  <w:shd w:val="clear" w:color="auto" w:fill="auto"/>
                  <w:tcMar>
                    <w:top w:w="28" w:type="dxa"/>
                  </w:tcMar>
                </w:tcPr>
                <w:p w14:paraId="038B7682" w14:textId="77777777" w:rsidR="00534098" w:rsidRDefault="00534098" w:rsidP="007A39EB">
                  <w:pPr>
                    <w:pStyle w:val="TableColumnHeading"/>
                    <w:ind w:right="28"/>
                  </w:pPr>
                  <w:r>
                    <w:t>Feb</w:t>
                  </w:r>
                  <w:r>
                    <w:noBreakHyphen/>
                    <w:t>21</w:t>
                  </w:r>
                </w:p>
              </w:tc>
            </w:tr>
            <w:tr w:rsidR="00534098" w14:paraId="4B9BD305" w14:textId="77777777" w:rsidTr="007A39EB">
              <w:tc>
                <w:tcPr>
                  <w:tcW w:w="1833" w:type="pct"/>
                  <w:tcBorders>
                    <w:top w:val="single" w:sz="6" w:space="0" w:color="BFBFBF"/>
                  </w:tcBorders>
                </w:tcPr>
                <w:p w14:paraId="06A3178C" w14:textId="77777777" w:rsidR="00534098" w:rsidRDefault="00534098" w:rsidP="007A39EB">
                  <w:pPr>
                    <w:pStyle w:val="TableUnitsRow"/>
                    <w:jc w:val="left"/>
                  </w:pPr>
                </w:p>
              </w:tc>
              <w:tc>
                <w:tcPr>
                  <w:tcW w:w="1167" w:type="pct"/>
                  <w:tcBorders>
                    <w:top w:val="single" w:sz="6" w:space="0" w:color="BFBFBF"/>
                  </w:tcBorders>
                </w:tcPr>
                <w:p w14:paraId="39CB0D15" w14:textId="77777777" w:rsidR="00534098" w:rsidRDefault="00534098" w:rsidP="007A39EB">
                  <w:pPr>
                    <w:pStyle w:val="TableUnitsRow"/>
                  </w:pPr>
                </w:p>
              </w:tc>
              <w:tc>
                <w:tcPr>
                  <w:tcW w:w="500" w:type="pct"/>
                  <w:tcBorders>
                    <w:top w:val="single" w:sz="6" w:space="0" w:color="BFBFBF"/>
                  </w:tcBorders>
                </w:tcPr>
                <w:p w14:paraId="3DC1B373" w14:textId="77777777" w:rsidR="00534098" w:rsidRDefault="00534098" w:rsidP="007A39EB">
                  <w:pPr>
                    <w:pStyle w:val="TableUnitsRow"/>
                  </w:pPr>
                  <w:r>
                    <w:t>%</w:t>
                  </w:r>
                </w:p>
              </w:tc>
              <w:tc>
                <w:tcPr>
                  <w:tcW w:w="500" w:type="pct"/>
                  <w:tcBorders>
                    <w:top w:val="single" w:sz="6" w:space="0" w:color="BFBFBF"/>
                  </w:tcBorders>
                </w:tcPr>
                <w:p w14:paraId="4B0E0DEE" w14:textId="77777777" w:rsidR="00534098" w:rsidRDefault="00534098" w:rsidP="007A39EB">
                  <w:pPr>
                    <w:pStyle w:val="TableUnitsRow"/>
                  </w:pPr>
                  <w:r>
                    <w:t>%</w:t>
                  </w:r>
                </w:p>
              </w:tc>
              <w:tc>
                <w:tcPr>
                  <w:tcW w:w="501" w:type="pct"/>
                  <w:tcBorders>
                    <w:top w:val="single" w:sz="6" w:space="0" w:color="BFBFBF"/>
                  </w:tcBorders>
                </w:tcPr>
                <w:p w14:paraId="7539446A" w14:textId="77777777" w:rsidR="00534098" w:rsidRDefault="00534098" w:rsidP="007A39EB">
                  <w:pPr>
                    <w:pStyle w:val="TableUnitsRow"/>
                  </w:pPr>
                  <w:r>
                    <w:t>%</w:t>
                  </w:r>
                </w:p>
              </w:tc>
              <w:tc>
                <w:tcPr>
                  <w:tcW w:w="499" w:type="pct"/>
                  <w:tcBorders>
                    <w:top w:val="single" w:sz="6" w:space="0" w:color="BFBFBF"/>
                  </w:tcBorders>
                </w:tcPr>
                <w:p w14:paraId="3102985C" w14:textId="77777777" w:rsidR="00534098" w:rsidRDefault="00534098" w:rsidP="007A39EB">
                  <w:pPr>
                    <w:pStyle w:val="TableUnitsRow"/>
                    <w:ind w:right="28"/>
                  </w:pPr>
                  <w:r>
                    <w:t>%</w:t>
                  </w:r>
                </w:p>
              </w:tc>
            </w:tr>
            <w:tr w:rsidR="00534098" w14:paraId="4226895C" w14:textId="77777777" w:rsidTr="007A39EB">
              <w:tc>
                <w:tcPr>
                  <w:tcW w:w="1833" w:type="pct"/>
                </w:tcPr>
                <w:p w14:paraId="33FB393D" w14:textId="77777777" w:rsidR="00534098" w:rsidRDefault="00534098" w:rsidP="007A39EB">
                  <w:pPr>
                    <w:pStyle w:val="TableBodyText"/>
                    <w:jc w:val="left"/>
                  </w:pPr>
                  <w:r w:rsidRPr="0052113E">
                    <w:t>Insurance and Superannuation Funds</w:t>
                  </w:r>
                </w:p>
              </w:tc>
              <w:tc>
                <w:tcPr>
                  <w:tcW w:w="1167" w:type="pct"/>
                </w:tcPr>
                <w:p w14:paraId="47CFAB82" w14:textId="77777777" w:rsidR="00534098" w:rsidRDefault="00534098" w:rsidP="007A39EB">
                  <w:pPr>
                    <w:pStyle w:val="TableBodyText"/>
                    <w:jc w:val="left"/>
                  </w:pPr>
                  <w:r w:rsidRPr="0052113E">
                    <w:t>Financial and Insurance Services</w:t>
                  </w:r>
                </w:p>
              </w:tc>
              <w:tc>
                <w:tcPr>
                  <w:tcW w:w="500" w:type="pct"/>
                </w:tcPr>
                <w:p w14:paraId="04F3659C" w14:textId="77777777" w:rsidR="00534098" w:rsidRDefault="00534098" w:rsidP="007A39EB">
                  <w:pPr>
                    <w:pStyle w:val="TableBodyText"/>
                  </w:pPr>
                  <w:r w:rsidRPr="002E0CA4">
                    <w:t>104</w:t>
                  </w:r>
                </w:p>
              </w:tc>
              <w:tc>
                <w:tcPr>
                  <w:tcW w:w="500" w:type="pct"/>
                </w:tcPr>
                <w:p w14:paraId="088DBAD0" w14:textId="77777777" w:rsidR="00534098" w:rsidRDefault="00534098" w:rsidP="007A39EB">
                  <w:pPr>
                    <w:pStyle w:val="TableBodyText"/>
                  </w:pPr>
                  <w:r w:rsidRPr="002E0CA4">
                    <w:t>104</w:t>
                  </w:r>
                </w:p>
              </w:tc>
              <w:tc>
                <w:tcPr>
                  <w:tcW w:w="501" w:type="pct"/>
                </w:tcPr>
                <w:p w14:paraId="40446653" w14:textId="77777777" w:rsidR="00534098" w:rsidRDefault="00534098" w:rsidP="007A39EB">
                  <w:pPr>
                    <w:pStyle w:val="TableBodyText"/>
                  </w:pPr>
                  <w:r w:rsidRPr="002E0CA4">
                    <w:t>98</w:t>
                  </w:r>
                </w:p>
              </w:tc>
              <w:tc>
                <w:tcPr>
                  <w:tcW w:w="499" w:type="pct"/>
                </w:tcPr>
                <w:p w14:paraId="1B1650CD" w14:textId="77777777" w:rsidR="00534098" w:rsidRDefault="00534098" w:rsidP="007A39EB">
                  <w:pPr>
                    <w:pStyle w:val="TableBodyText"/>
                    <w:ind w:right="28"/>
                  </w:pPr>
                  <w:r w:rsidRPr="002E0CA4">
                    <w:t>100</w:t>
                  </w:r>
                </w:p>
              </w:tc>
            </w:tr>
            <w:tr w:rsidR="00534098" w14:paraId="07D11E86" w14:textId="77777777" w:rsidTr="007A39EB">
              <w:tc>
                <w:tcPr>
                  <w:tcW w:w="1833" w:type="pct"/>
                </w:tcPr>
                <w:p w14:paraId="5B7073CC" w14:textId="77777777" w:rsidR="00534098" w:rsidRDefault="00534098" w:rsidP="007A39EB">
                  <w:pPr>
                    <w:pStyle w:val="TableBodyText"/>
                    <w:jc w:val="left"/>
                  </w:pPr>
                  <w:r w:rsidRPr="0052113E">
                    <w:t>Auxiliary Finance and Insurance Services</w:t>
                  </w:r>
                </w:p>
              </w:tc>
              <w:tc>
                <w:tcPr>
                  <w:tcW w:w="1167" w:type="pct"/>
                </w:tcPr>
                <w:p w14:paraId="04175019" w14:textId="77777777" w:rsidR="00534098" w:rsidRDefault="00534098" w:rsidP="007A39EB">
                  <w:pPr>
                    <w:pStyle w:val="TableBodyText"/>
                    <w:jc w:val="left"/>
                  </w:pPr>
                  <w:r w:rsidRPr="0052113E">
                    <w:t>Financial and Insurance Services</w:t>
                  </w:r>
                </w:p>
              </w:tc>
              <w:tc>
                <w:tcPr>
                  <w:tcW w:w="500" w:type="pct"/>
                </w:tcPr>
                <w:p w14:paraId="0D6893A5" w14:textId="77777777" w:rsidR="00534098" w:rsidRDefault="00534098" w:rsidP="007A39EB">
                  <w:pPr>
                    <w:pStyle w:val="TableBodyText"/>
                  </w:pPr>
                  <w:r w:rsidRPr="002E0CA4">
                    <w:t>108</w:t>
                  </w:r>
                </w:p>
              </w:tc>
              <w:tc>
                <w:tcPr>
                  <w:tcW w:w="500" w:type="pct"/>
                </w:tcPr>
                <w:p w14:paraId="7FF4DC22" w14:textId="77777777" w:rsidR="00534098" w:rsidRDefault="00534098" w:rsidP="007A39EB">
                  <w:pPr>
                    <w:pStyle w:val="TableBodyText"/>
                  </w:pPr>
                  <w:r w:rsidRPr="002E0CA4">
                    <w:t>102</w:t>
                  </w:r>
                </w:p>
              </w:tc>
              <w:tc>
                <w:tcPr>
                  <w:tcW w:w="501" w:type="pct"/>
                </w:tcPr>
                <w:p w14:paraId="6FADF138" w14:textId="77777777" w:rsidR="00534098" w:rsidRDefault="00534098" w:rsidP="007A39EB">
                  <w:pPr>
                    <w:pStyle w:val="TableBodyText"/>
                  </w:pPr>
                  <w:r w:rsidRPr="002E0CA4">
                    <w:t>111</w:t>
                  </w:r>
                </w:p>
              </w:tc>
              <w:tc>
                <w:tcPr>
                  <w:tcW w:w="499" w:type="pct"/>
                </w:tcPr>
                <w:p w14:paraId="7F0BEEB2" w14:textId="77777777" w:rsidR="00534098" w:rsidRDefault="00534098" w:rsidP="007A39EB">
                  <w:pPr>
                    <w:pStyle w:val="TableBodyText"/>
                    <w:ind w:right="28"/>
                  </w:pPr>
                  <w:r w:rsidRPr="002E0CA4">
                    <w:t>102</w:t>
                  </w:r>
                </w:p>
              </w:tc>
            </w:tr>
            <w:tr w:rsidR="00534098" w14:paraId="7E621E3A" w14:textId="77777777" w:rsidTr="007A39EB">
              <w:tc>
                <w:tcPr>
                  <w:tcW w:w="1833" w:type="pct"/>
                </w:tcPr>
                <w:p w14:paraId="7C8CB7E5" w14:textId="77777777" w:rsidR="00534098" w:rsidRDefault="00534098" w:rsidP="007A39EB">
                  <w:pPr>
                    <w:pStyle w:val="TableBodyText"/>
                    <w:jc w:val="left"/>
                  </w:pPr>
                  <w:r w:rsidRPr="0052113E">
                    <w:t>Financial and Insurance Services nfd</w:t>
                  </w:r>
                </w:p>
              </w:tc>
              <w:tc>
                <w:tcPr>
                  <w:tcW w:w="1167" w:type="pct"/>
                </w:tcPr>
                <w:p w14:paraId="3D77B564" w14:textId="77777777" w:rsidR="00534098" w:rsidRDefault="00534098" w:rsidP="007A39EB">
                  <w:pPr>
                    <w:pStyle w:val="TableBodyText"/>
                    <w:jc w:val="left"/>
                  </w:pPr>
                  <w:r w:rsidRPr="0052113E">
                    <w:t>Financial and Insurance Services</w:t>
                  </w:r>
                </w:p>
              </w:tc>
              <w:tc>
                <w:tcPr>
                  <w:tcW w:w="500" w:type="pct"/>
                </w:tcPr>
                <w:p w14:paraId="34769811" w14:textId="77777777" w:rsidR="00534098" w:rsidRDefault="00534098" w:rsidP="007A39EB">
                  <w:pPr>
                    <w:pStyle w:val="TableBodyText"/>
                  </w:pPr>
                  <w:r w:rsidRPr="002E0CA4">
                    <w:t>0</w:t>
                  </w:r>
                </w:p>
              </w:tc>
              <w:tc>
                <w:tcPr>
                  <w:tcW w:w="500" w:type="pct"/>
                </w:tcPr>
                <w:p w14:paraId="44B49CBE" w14:textId="77777777" w:rsidR="00534098" w:rsidRDefault="00534098" w:rsidP="007A39EB">
                  <w:pPr>
                    <w:pStyle w:val="TableBodyText"/>
                  </w:pPr>
                  <w:r w:rsidRPr="002E0CA4">
                    <w:t>0</w:t>
                  </w:r>
                </w:p>
              </w:tc>
              <w:tc>
                <w:tcPr>
                  <w:tcW w:w="501" w:type="pct"/>
                </w:tcPr>
                <w:p w14:paraId="5FEDF352" w14:textId="77777777" w:rsidR="00534098" w:rsidRDefault="00534098" w:rsidP="007A39EB">
                  <w:pPr>
                    <w:pStyle w:val="TableBodyText"/>
                  </w:pPr>
                  <w:r w:rsidRPr="002E0CA4">
                    <w:t>0</w:t>
                  </w:r>
                </w:p>
              </w:tc>
              <w:tc>
                <w:tcPr>
                  <w:tcW w:w="499" w:type="pct"/>
                </w:tcPr>
                <w:p w14:paraId="469C89E0" w14:textId="77777777" w:rsidR="00534098" w:rsidRDefault="00534098" w:rsidP="007A39EB">
                  <w:pPr>
                    <w:pStyle w:val="TableBodyText"/>
                    <w:ind w:right="28"/>
                  </w:pPr>
                  <w:r w:rsidRPr="002E0CA4">
                    <w:t>0</w:t>
                  </w:r>
                </w:p>
              </w:tc>
            </w:tr>
            <w:tr w:rsidR="00534098" w14:paraId="21798330" w14:textId="77777777" w:rsidTr="007A39EB">
              <w:tc>
                <w:tcPr>
                  <w:tcW w:w="1833" w:type="pct"/>
                </w:tcPr>
                <w:p w14:paraId="152E9EB2" w14:textId="77777777" w:rsidR="00534098" w:rsidRDefault="00534098" w:rsidP="007A39EB">
                  <w:pPr>
                    <w:pStyle w:val="TableBodyText"/>
                    <w:jc w:val="left"/>
                  </w:pPr>
                  <w:r w:rsidRPr="0052113E">
                    <w:t>Rental and Hiring Services (except Real Estate)</w:t>
                  </w:r>
                </w:p>
              </w:tc>
              <w:tc>
                <w:tcPr>
                  <w:tcW w:w="1167" w:type="pct"/>
                </w:tcPr>
                <w:p w14:paraId="388ABD73" w14:textId="77777777" w:rsidR="00534098" w:rsidRDefault="00534098" w:rsidP="007A39EB">
                  <w:pPr>
                    <w:pStyle w:val="TableBodyText"/>
                    <w:jc w:val="left"/>
                  </w:pPr>
                  <w:r w:rsidRPr="0052113E">
                    <w:t>Rental, Hiring and Real Estate Services</w:t>
                  </w:r>
                </w:p>
              </w:tc>
              <w:tc>
                <w:tcPr>
                  <w:tcW w:w="500" w:type="pct"/>
                </w:tcPr>
                <w:p w14:paraId="3D92B3C1" w14:textId="77777777" w:rsidR="00534098" w:rsidRDefault="00534098" w:rsidP="007A39EB">
                  <w:pPr>
                    <w:pStyle w:val="TableBodyText"/>
                  </w:pPr>
                  <w:r w:rsidRPr="002E0CA4">
                    <w:t>94</w:t>
                  </w:r>
                </w:p>
              </w:tc>
              <w:tc>
                <w:tcPr>
                  <w:tcW w:w="500" w:type="pct"/>
                </w:tcPr>
                <w:p w14:paraId="4006B7D3" w14:textId="77777777" w:rsidR="00534098" w:rsidRDefault="00534098" w:rsidP="007A39EB">
                  <w:pPr>
                    <w:pStyle w:val="TableBodyText"/>
                  </w:pPr>
                  <w:r w:rsidRPr="002E0CA4">
                    <w:t>109</w:t>
                  </w:r>
                </w:p>
              </w:tc>
              <w:tc>
                <w:tcPr>
                  <w:tcW w:w="501" w:type="pct"/>
                </w:tcPr>
                <w:p w14:paraId="5CC6E2C8" w14:textId="77777777" w:rsidR="00534098" w:rsidRDefault="00534098" w:rsidP="007A39EB">
                  <w:pPr>
                    <w:pStyle w:val="TableBodyText"/>
                  </w:pPr>
                  <w:r w:rsidRPr="002E0CA4">
                    <w:t>104</w:t>
                  </w:r>
                </w:p>
              </w:tc>
              <w:tc>
                <w:tcPr>
                  <w:tcW w:w="499" w:type="pct"/>
                </w:tcPr>
                <w:p w14:paraId="54F6F749" w14:textId="77777777" w:rsidR="00534098" w:rsidRDefault="00534098" w:rsidP="007A39EB">
                  <w:pPr>
                    <w:pStyle w:val="TableBodyText"/>
                    <w:ind w:right="28"/>
                  </w:pPr>
                  <w:r w:rsidRPr="002E0CA4">
                    <w:t>110</w:t>
                  </w:r>
                </w:p>
              </w:tc>
            </w:tr>
            <w:tr w:rsidR="00534098" w14:paraId="0248EB30" w14:textId="77777777" w:rsidTr="007A39EB">
              <w:tc>
                <w:tcPr>
                  <w:tcW w:w="1833" w:type="pct"/>
                </w:tcPr>
                <w:p w14:paraId="4DAA8FD8" w14:textId="77777777" w:rsidR="00534098" w:rsidRDefault="00534098" w:rsidP="007A39EB">
                  <w:pPr>
                    <w:pStyle w:val="TableBodyText"/>
                    <w:jc w:val="left"/>
                  </w:pPr>
                  <w:r w:rsidRPr="0052113E">
                    <w:t>Property Operators and Real Estate Services</w:t>
                  </w:r>
                </w:p>
              </w:tc>
              <w:tc>
                <w:tcPr>
                  <w:tcW w:w="1167" w:type="pct"/>
                </w:tcPr>
                <w:p w14:paraId="235D2F48" w14:textId="77777777" w:rsidR="00534098" w:rsidRDefault="00534098" w:rsidP="007A39EB">
                  <w:pPr>
                    <w:pStyle w:val="TableBodyText"/>
                    <w:jc w:val="left"/>
                  </w:pPr>
                  <w:r w:rsidRPr="0052113E">
                    <w:t>Rental, Hiring and Real Estate Services</w:t>
                  </w:r>
                </w:p>
              </w:tc>
              <w:tc>
                <w:tcPr>
                  <w:tcW w:w="500" w:type="pct"/>
                </w:tcPr>
                <w:p w14:paraId="48EBA084" w14:textId="77777777" w:rsidR="00534098" w:rsidRDefault="00534098" w:rsidP="007A39EB">
                  <w:pPr>
                    <w:pStyle w:val="TableBodyText"/>
                  </w:pPr>
                  <w:r w:rsidRPr="002E0CA4">
                    <w:t>104</w:t>
                  </w:r>
                </w:p>
              </w:tc>
              <w:tc>
                <w:tcPr>
                  <w:tcW w:w="500" w:type="pct"/>
                </w:tcPr>
                <w:p w14:paraId="1279CD1C" w14:textId="77777777" w:rsidR="00534098" w:rsidRDefault="00534098" w:rsidP="007A39EB">
                  <w:pPr>
                    <w:pStyle w:val="TableBodyText"/>
                  </w:pPr>
                  <w:r w:rsidRPr="002E0CA4">
                    <w:t>99</w:t>
                  </w:r>
                </w:p>
              </w:tc>
              <w:tc>
                <w:tcPr>
                  <w:tcW w:w="501" w:type="pct"/>
                </w:tcPr>
                <w:p w14:paraId="65BE66E3" w14:textId="77777777" w:rsidR="00534098" w:rsidRDefault="00534098" w:rsidP="007A39EB">
                  <w:pPr>
                    <w:pStyle w:val="TableBodyText"/>
                  </w:pPr>
                  <w:r w:rsidRPr="002E0CA4">
                    <w:t>95</w:t>
                  </w:r>
                </w:p>
              </w:tc>
              <w:tc>
                <w:tcPr>
                  <w:tcW w:w="499" w:type="pct"/>
                </w:tcPr>
                <w:p w14:paraId="547E09C0" w14:textId="77777777" w:rsidR="00534098" w:rsidRDefault="00534098" w:rsidP="007A39EB">
                  <w:pPr>
                    <w:pStyle w:val="TableBodyText"/>
                    <w:ind w:right="28"/>
                  </w:pPr>
                  <w:r w:rsidRPr="002E0CA4">
                    <w:t>95</w:t>
                  </w:r>
                </w:p>
              </w:tc>
            </w:tr>
            <w:tr w:rsidR="00534098" w14:paraId="1FC81217" w14:textId="77777777" w:rsidTr="007A39EB">
              <w:tc>
                <w:tcPr>
                  <w:tcW w:w="1833" w:type="pct"/>
                </w:tcPr>
                <w:p w14:paraId="42733B26" w14:textId="77777777" w:rsidR="00534098" w:rsidRDefault="00534098" w:rsidP="007A39EB">
                  <w:pPr>
                    <w:pStyle w:val="TableBodyText"/>
                    <w:jc w:val="left"/>
                  </w:pPr>
                  <w:r w:rsidRPr="0052113E">
                    <w:t>Professional, Scientific and Technical Services (Except Computer System Design and Related Services)</w:t>
                  </w:r>
                </w:p>
              </w:tc>
              <w:tc>
                <w:tcPr>
                  <w:tcW w:w="1167" w:type="pct"/>
                </w:tcPr>
                <w:p w14:paraId="59B0E8D0" w14:textId="77777777" w:rsidR="00534098" w:rsidRDefault="00534098" w:rsidP="007A39EB">
                  <w:pPr>
                    <w:pStyle w:val="TableBodyText"/>
                    <w:jc w:val="left"/>
                  </w:pPr>
                  <w:r w:rsidRPr="0052113E">
                    <w:t>Professional, Scientific and Technical Services</w:t>
                  </w:r>
                </w:p>
              </w:tc>
              <w:tc>
                <w:tcPr>
                  <w:tcW w:w="500" w:type="pct"/>
                </w:tcPr>
                <w:p w14:paraId="72E05365" w14:textId="77777777" w:rsidR="00534098" w:rsidRDefault="00534098" w:rsidP="007A39EB">
                  <w:pPr>
                    <w:pStyle w:val="TableBodyText"/>
                  </w:pPr>
                  <w:r w:rsidRPr="002E0CA4">
                    <w:t>93</w:t>
                  </w:r>
                </w:p>
              </w:tc>
              <w:tc>
                <w:tcPr>
                  <w:tcW w:w="500" w:type="pct"/>
                </w:tcPr>
                <w:p w14:paraId="22EC2FBF" w14:textId="77777777" w:rsidR="00534098" w:rsidRDefault="00534098" w:rsidP="007A39EB">
                  <w:pPr>
                    <w:pStyle w:val="TableBodyText"/>
                  </w:pPr>
                  <w:r w:rsidRPr="002E0CA4">
                    <w:t>93</w:t>
                  </w:r>
                </w:p>
              </w:tc>
              <w:tc>
                <w:tcPr>
                  <w:tcW w:w="501" w:type="pct"/>
                </w:tcPr>
                <w:p w14:paraId="59F07526" w14:textId="77777777" w:rsidR="00534098" w:rsidRDefault="00534098" w:rsidP="007A39EB">
                  <w:pPr>
                    <w:pStyle w:val="TableBodyText"/>
                  </w:pPr>
                  <w:r w:rsidRPr="002E0CA4">
                    <w:t>99</w:t>
                  </w:r>
                </w:p>
              </w:tc>
              <w:tc>
                <w:tcPr>
                  <w:tcW w:w="499" w:type="pct"/>
                </w:tcPr>
                <w:p w14:paraId="78CB0692" w14:textId="77777777" w:rsidR="00534098" w:rsidRDefault="00534098" w:rsidP="007A39EB">
                  <w:pPr>
                    <w:pStyle w:val="TableBodyText"/>
                    <w:ind w:right="28"/>
                  </w:pPr>
                  <w:r w:rsidRPr="002E0CA4">
                    <w:t>103</w:t>
                  </w:r>
                </w:p>
              </w:tc>
            </w:tr>
            <w:tr w:rsidR="00534098" w14:paraId="61C24AED" w14:textId="77777777" w:rsidTr="007A39EB">
              <w:tc>
                <w:tcPr>
                  <w:tcW w:w="1833" w:type="pct"/>
                </w:tcPr>
                <w:p w14:paraId="596ACA5B" w14:textId="77777777" w:rsidR="00534098" w:rsidRDefault="00534098" w:rsidP="007A39EB">
                  <w:pPr>
                    <w:pStyle w:val="TableBodyText"/>
                    <w:jc w:val="left"/>
                  </w:pPr>
                  <w:r w:rsidRPr="0052113E">
                    <w:t>Computer System Design and Related Services</w:t>
                  </w:r>
                </w:p>
              </w:tc>
              <w:tc>
                <w:tcPr>
                  <w:tcW w:w="1167" w:type="pct"/>
                </w:tcPr>
                <w:p w14:paraId="70E1E244" w14:textId="77777777" w:rsidR="00534098" w:rsidRDefault="00534098" w:rsidP="007A39EB">
                  <w:pPr>
                    <w:pStyle w:val="TableBodyText"/>
                    <w:jc w:val="left"/>
                  </w:pPr>
                  <w:r w:rsidRPr="0052113E">
                    <w:t>Professional, Scientific and Technical Services</w:t>
                  </w:r>
                </w:p>
              </w:tc>
              <w:tc>
                <w:tcPr>
                  <w:tcW w:w="500" w:type="pct"/>
                </w:tcPr>
                <w:p w14:paraId="24B24969" w14:textId="77777777" w:rsidR="00534098" w:rsidRDefault="00534098" w:rsidP="007A39EB">
                  <w:pPr>
                    <w:pStyle w:val="TableBodyText"/>
                  </w:pPr>
                  <w:r w:rsidRPr="002E0CA4">
                    <w:t>98</w:t>
                  </w:r>
                </w:p>
              </w:tc>
              <w:tc>
                <w:tcPr>
                  <w:tcW w:w="500" w:type="pct"/>
                </w:tcPr>
                <w:p w14:paraId="66B6FA9D" w14:textId="77777777" w:rsidR="00534098" w:rsidRDefault="00534098" w:rsidP="007A39EB">
                  <w:pPr>
                    <w:pStyle w:val="TableBodyText"/>
                  </w:pPr>
                  <w:r w:rsidRPr="002E0CA4">
                    <w:t>102</w:t>
                  </w:r>
                </w:p>
              </w:tc>
              <w:tc>
                <w:tcPr>
                  <w:tcW w:w="501" w:type="pct"/>
                </w:tcPr>
                <w:p w14:paraId="14B93F17" w14:textId="77777777" w:rsidR="00534098" w:rsidRDefault="00534098" w:rsidP="007A39EB">
                  <w:pPr>
                    <w:pStyle w:val="TableBodyText"/>
                  </w:pPr>
                  <w:r w:rsidRPr="002E0CA4">
                    <w:t>105</w:t>
                  </w:r>
                </w:p>
              </w:tc>
              <w:tc>
                <w:tcPr>
                  <w:tcW w:w="499" w:type="pct"/>
                </w:tcPr>
                <w:p w14:paraId="21B617F8" w14:textId="77777777" w:rsidR="00534098" w:rsidRDefault="00534098" w:rsidP="007A39EB">
                  <w:pPr>
                    <w:pStyle w:val="TableBodyText"/>
                    <w:ind w:right="28"/>
                  </w:pPr>
                  <w:r w:rsidRPr="002E0CA4">
                    <w:t>110</w:t>
                  </w:r>
                </w:p>
              </w:tc>
            </w:tr>
            <w:tr w:rsidR="00534098" w14:paraId="5C98EC26" w14:textId="77777777" w:rsidTr="007A39EB">
              <w:tc>
                <w:tcPr>
                  <w:tcW w:w="1833" w:type="pct"/>
                </w:tcPr>
                <w:p w14:paraId="75C14B06" w14:textId="77777777" w:rsidR="00534098" w:rsidRDefault="00534098" w:rsidP="007A39EB">
                  <w:pPr>
                    <w:pStyle w:val="TableBodyText"/>
                    <w:jc w:val="left"/>
                  </w:pPr>
                  <w:r w:rsidRPr="0052113E">
                    <w:t>Administrative Services</w:t>
                  </w:r>
                </w:p>
              </w:tc>
              <w:tc>
                <w:tcPr>
                  <w:tcW w:w="1167" w:type="pct"/>
                </w:tcPr>
                <w:p w14:paraId="136818B9" w14:textId="77777777" w:rsidR="00534098" w:rsidRDefault="00534098" w:rsidP="007A39EB">
                  <w:pPr>
                    <w:pStyle w:val="TableBodyText"/>
                    <w:jc w:val="left"/>
                  </w:pPr>
                  <w:r w:rsidRPr="0052113E">
                    <w:t>Administrative and Support Services</w:t>
                  </w:r>
                </w:p>
              </w:tc>
              <w:tc>
                <w:tcPr>
                  <w:tcW w:w="500" w:type="pct"/>
                </w:tcPr>
                <w:p w14:paraId="1B892848" w14:textId="77777777" w:rsidR="00534098" w:rsidRDefault="00534098" w:rsidP="007A39EB">
                  <w:pPr>
                    <w:pStyle w:val="TableBodyText"/>
                  </w:pPr>
                  <w:r w:rsidRPr="002E0CA4">
                    <w:t>81</w:t>
                  </w:r>
                </w:p>
              </w:tc>
              <w:tc>
                <w:tcPr>
                  <w:tcW w:w="500" w:type="pct"/>
                </w:tcPr>
                <w:p w14:paraId="77DB1909" w14:textId="77777777" w:rsidR="00534098" w:rsidRDefault="00534098" w:rsidP="007A39EB">
                  <w:pPr>
                    <w:pStyle w:val="TableBodyText"/>
                  </w:pPr>
                  <w:r w:rsidRPr="002E0CA4">
                    <w:t>80</w:t>
                  </w:r>
                </w:p>
              </w:tc>
              <w:tc>
                <w:tcPr>
                  <w:tcW w:w="501" w:type="pct"/>
                </w:tcPr>
                <w:p w14:paraId="2B5C6808" w14:textId="77777777" w:rsidR="00534098" w:rsidRDefault="00534098" w:rsidP="007A39EB">
                  <w:pPr>
                    <w:pStyle w:val="TableBodyText"/>
                  </w:pPr>
                  <w:r w:rsidRPr="002E0CA4">
                    <w:t>92</w:t>
                  </w:r>
                </w:p>
              </w:tc>
              <w:tc>
                <w:tcPr>
                  <w:tcW w:w="499" w:type="pct"/>
                </w:tcPr>
                <w:p w14:paraId="130FB4D4" w14:textId="77777777" w:rsidR="00534098" w:rsidRDefault="00534098" w:rsidP="007A39EB">
                  <w:pPr>
                    <w:pStyle w:val="TableBodyText"/>
                    <w:ind w:right="28"/>
                  </w:pPr>
                  <w:r w:rsidRPr="002E0CA4">
                    <w:t>76</w:t>
                  </w:r>
                </w:p>
              </w:tc>
            </w:tr>
            <w:tr w:rsidR="00534098" w14:paraId="60930168" w14:textId="77777777" w:rsidTr="007A39EB">
              <w:tc>
                <w:tcPr>
                  <w:tcW w:w="1833" w:type="pct"/>
                  <w:shd w:val="clear" w:color="auto" w:fill="auto"/>
                </w:tcPr>
                <w:p w14:paraId="71A8646A" w14:textId="77777777" w:rsidR="00534098" w:rsidRDefault="00534098" w:rsidP="007A39EB">
                  <w:pPr>
                    <w:pStyle w:val="TableBodyText"/>
                    <w:jc w:val="left"/>
                  </w:pPr>
                  <w:r w:rsidRPr="0052113E">
                    <w:t>Building Cleaning, Pest Control and Other Support Services</w:t>
                  </w:r>
                </w:p>
              </w:tc>
              <w:tc>
                <w:tcPr>
                  <w:tcW w:w="1167" w:type="pct"/>
                </w:tcPr>
                <w:p w14:paraId="642124F3" w14:textId="77777777" w:rsidR="00534098" w:rsidRDefault="00534098" w:rsidP="007A39EB">
                  <w:pPr>
                    <w:pStyle w:val="TableBodyText"/>
                    <w:jc w:val="left"/>
                  </w:pPr>
                  <w:r w:rsidRPr="0052113E">
                    <w:t>Administrative and Support Services</w:t>
                  </w:r>
                </w:p>
              </w:tc>
              <w:tc>
                <w:tcPr>
                  <w:tcW w:w="500" w:type="pct"/>
                </w:tcPr>
                <w:p w14:paraId="66937496" w14:textId="77777777" w:rsidR="00534098" w:rsidRDefault="00534098" w:rsidP="007A39EB">
                  <w:pPr>
                    <w:pStyle w:val="TableBodyText"/>
                  </w:pPr>
                  <w:r w:rsidRPr="002E0CA4">
                    <w:t>92</w:t>
                  </w:r>
                </w:p>
              </w:tc>
              <w:tc>
                <w:tcPr>
                  <w:tcW w:w="500" w:type="pct"/>
                </w:tcPr>
                <w:p w14:paraId="41EC976D" w14:textId="77777777" w:rsidR="00534098" w:rsidRDefault="00534098" w:rsidP="007A39EB">
                  <w:pPr>
                    <w:pStyle w:val="TableBodyText"/>
                  </w:pPr>
                  <w:r w:rsidRPr="002E0CA4">
                    <w:t>99</w:t>
                  </w:r>
                </w:p>
              </w:tc>
              <w:tc>
                <w:tcPr>
                  <w:tcW w:w="501" w:type="pct"/>
                  <w:shd w:val="clear" w:color="auto" w:fill="auto"/>
                </w:tcPr>
                <w:p w14:paraId="2C7A10E2" w14:textId="77777777" w:rsidR="00534098" w:rsidRDefault="00534098" w:rsidP="007A39EB">
                  <w:pPr>
                    <w:pStyle w:val="TableBodyText"/>
                  </w:pPr>
                  <w:r w:rsidRPr="002E0CA4">
                    <w:t>106</w:t>
                  </w:r>
                </w:p>
              </w:tc>
              <w:tc>
                <w:tcPr>
                  <w:tcW w:w="499" w:type="pct"/>
                  <w:shd w:val="clear" w:color="auto" w:fill="auto"/>
                </w:tcPr>
                <w:p w14:paraId="61E6713C" w14:textId="77777777" w:rsidR="00534098" w:rsidRDefault="00534098" w:rsidP="007A39EB">
                  <w:pPr>
                    <w:pStyle w:val="TableBodyText"/>
                    <w:ind w:right="28"/>
                  </w:pPr>
                  <w:r w:rsidRPr="002E0CA4">
                    <w:t>99</w:t>
                  </w:r>
                </w:p>
              </w:tc>
            </w:tr>
            <w:tr w:rsidR="00534098" w14:paraId="1312CC80" w14:textId="77777777" w:rsidTr="007A39EB">
              <w:tc>
                <w:tcPr>
                  <w:tcW w:w="1833" w:type="pct"/>
                  <w:shd w:val="clear" w:color="auto" w:fill="auto"/>
                </w:tcPr>
                <w:p w14:paraId="02A9E13B" w14:textId="77777777" w:rsidR="00534098" w:rsidRDefault="00534098" w:rsidP="007A39EB">
                  <w:pPr>
                    <w:pStyle w:val="TableBodyText"/>
                    <w:jc w:val="left"/>
                  </w:pPr>
                  <w:r w:rsidRPr="0052113E">
                    <w:t>Public Administration</w:t>
                  </w:r>
                </w:p>
              </w:tc>
              <w:tc>
                <w:tcPr>
                  <w:tcW w:w="1167" w:type="pct"/>
                </w:tcPr>
                <w:p w14:paraId="4A323DDE" w14:textId="77777777" w:rsidR="00534098" w:rsidRDefault="00534098" w:rsidP="007A39EB">
                  <w:pPr>
                    <w:pStyle w:val="TableBodyText"/>
                    <w:jc w:val="left"/>
                  </w:pPr>
                  <w:r w:rsidRPr="0052113E">
                    <w:t>Public Administration and Safety</w:t>
                  </w:r>
                </w:p>
              </w:tc>
              <w:tc>
                <w:tcPr>
                  <w:tcW w:w="500" w:type="pct"/>
                </w:tcPr>
                <w:p w14:paraId="047C58A7" w14:textId="77777777" w:rsidR="00534098" w:rsidRDefault="00534098" w:rsidP="007A39EB">
                  <w:pPr>
                    <w:pStyle w:val="TableBodyText"/>
                  </w:pPr>
                  <w:r w:rsidRPr="002E0CA4">
                    <w:t>100</w:t>
                  </w:r>
                </w:p>
              </w:tc>
              <w:tc>
                <w:tcPr>
                  <w:tcW w:w="500" w:type="pct"/>
                </w:tcPr>
                <w:p w14:paraId="3161B178" w14:textId="77777777" w:rsidR="00534098" w:rsidRDefault="00534098" w:rsidP="007A39EB">
                  <w:pPr>
                    <w:pStyle w:val="TableBodyText"/>
                  </w:pPr>
                  <w:r w:rsidRPr="002E0CA4">
                    <w:t>103</w:t>
                  </w:r>
                </w:p>
              </w:tc>
              <w:tc>
                <w:tcPr>
                  <w:tcW w:w="501" w:type="pct"/>
                  <w:shd w:val="clear" w:color="auto" w:fill="auto"/>
                </w:tcPr>
                <w:p w14:paraId="0BE22848" w14:textId="77777777" w:rsidR="00534098" w:rsidRDefault="00534098" w:rsidP="007A39EB">
                  <w:pPr>
                    <w:pStyle w:val="TableBodyText"/>
                  </w:pPr>
                  <w:r w:rsidRPr="002E0CA4">
                    <w:t>103</w:t>
                  </w:r>
                </w:p>
              </w:tc>
              <w:tc>
                <w:tcPr>
                  <w:tcW w:w="499" w:type="pct"/>
                  <w:shd w:val="clear" w:color="auto" w:fill="auto"/>
                </w:tcPr>
                <w:p w14:paraId="7E3003E8" w14:textId="77777777" w:rsidR="00534098" w:rsidRDefault="00534098" w:rsidP="007A39EB">
                  <w:pPr>
                    <w:pStyle w:val="TableBodyText"/>
                    <w:ind w:right="28"/>
                  </w:pPr>
                  <w:r w:rsidRPr="002E0CA4">
                    <w:t>99</w:t>
                  </w:r>
                </w:p>
              </w:tc>
            </w:tr>
            <w:tr w:rsidR="00534098" w14:paraId="307F9269" w14:textId="77777777" w:rsidTr="007A39EB">
              <w:tc>
                <w:tcPr>
                  <w:tcW w:w="1833" w:type="pct"/>
                  <w:shd w:val="clear" w:color="auto" w:fill="auto"/>
                </w:tcPr>
                <w:p w14:paraId="533C0FA8" w14:textId="77777777" w:rsidR="00534098" w:rsidRDefault="00534098" w:rsidP="007A39EB">
                  <w:pPr>
                    <w:pStyle w:val="TableBodyText"/>
                    <w:jc w:val="left"/>
                  </w:pPr>
                  <w:r w:rsidRPr="0052113E">
                    <w:t>Defence</w:t>
                  </w:r>
                </w:p>
              </w:tc>
              <w:tc>
                <w:tcPr>
                  <w:tcW w:w="1167" w:type="pct"/>
                </w:tcPr>
                <w:p w14:paraId="423192F9" w14:textId="77777777" w:rsidR="00534098" w:rsidRDefault="00534098" w:rsidP="007A39EB">
                  <w:pPr>
                    <w:pStyle w:val="TableBodyText"/>
                    <w:jc w:val="left"/>
                  </w:pPr>
                  <w:r w:rsidRPr="0052113E">
                    <w:t>Public Administration and Safety</w:t>
                  </w:r>
                </w:p>
              </w:tc>
              <w:tc>
                <w:tcPr>
                  <w:tcW w:w="500" w:type="pct"/>
                </w:tcPr>
                <w:p w14:paraId="02E0265D" w14:textId="77777777" w:rsidR="00534098" w:rsidRDefault="00534098" w:rsidP="007A39EB">
                  <w:pPr>
                    <w:pStyle w:val="TableBodyText"/>
                  </w:pPr>
                  <w:r w:rsidRPr="002E0CA4">
                    <w:t>131</w:t>
                  </w:r>
                </w:p>
              </w:tc>
              <w:tc>
                <w:tcPr>
                  <w:tcW w:w="500" w:type="pct"/>
                </w:tcPr>
                <w:p w14:paraId="6C2C7155" w14:textId="77777777" w:rsidR="00534098" w:rsidRDefault="00534098" w:rsidP="007A39EB">
                  <w:pPr>
                    <w:pStyle w:val="TableBodyText"/>
                  </w:pPr>
                  <w:r w:rsidRPr="002E0CA4">
                    <w:t>130</w:t>
                  </w:r>
                </w:p>
              </w:tc>
              <w:tc>
                <w:tcPr>
                  <w:tcW w:w="501" w:type="pct"/>
                  <w:shd w:val="clear" w:color="auto" w:fill="auto"/>
                </w:tcPr>
                <w:p w14:paraId="0004C8E4" w14:textId="77777777" w:rsidR="00534098" w:rsidRDefault="00534098" w:rsidP="007A39EB">
                  <w:pPr>
                    <w:pStyle w:val="TableBodyText"/>
                  </w:pPr>
                  <w:r w:rsidRPr="002E0CA4">
                    <w:t>122</w:t>
                  </w:r>
                </w:p>
              </w:tc>
              <w:tc>
                <w:tcPr>
                  <w:tcW w:w="499" w:type="pct"/>
                  <w:shd w:val="clear" w:color="auto" w:fill="auto"/>
                </w:tcPr>
                <w:p w14:paraId="529B725F" w14:textId="77777777" w:rsidR="00534098" w:rsidRDefault="00534098" w:rsidP="007A39EB">
                  <w:pPr>
                    <w:pStyle w:val="TableBodyText"/>
                    <w:ind w:right="28"/>
                  </w:pPr>
                  <w:r w:rsidRPr="002E0CA4">
                    <w:t>118</w:t>
                  </w:r>
                </w:p>
              </w:tc>
            </w:tr>
            <w:tr w:rsidR="00534098" w14:paraId="5FC221E8" w14:textId="77777777" w:rsidTr="007A39EB">
              <w:tc>
                <w:tcPr>
                  <w:tcW w:w="1833" w:type="pct"/>
                  <w:shd w:val="clear" w:color="auto" w:fill="auto"/>
                </w:tcPr>
                <w:p w14:paraId="29209D10" w14:textId="77777777" w:rsidR="00534098" w:rsidRPr="003E2EB4" w:rsidRDefault="00534098" w:rsidP="007A39EB">
                  <w:pPr>
                    <w:pStyle w:val="TableBodyText"/>
                    <w:jc w:val="left"/>
                  </w:pPr>
                  <w:r w:rsidRPr="0052113E">
                    <w:t>Public Order, Safety and Regulatory Services</w:t>
                  </w:r>
                </w:p>
              </w:tc>
              <w:tc>
                <w:tcPr>
                  <w:tcW w:w="1167" w:type="pct"/>
                </w:tcPr>
                <w:p w14:paraId="63363D43" w14:textId="77777777" w:rsidR="00534098" w:rsidRPr="003E2EB4" w:rsidRDefault="00534098" w:rsidP="007A39EB">
                  <w:pPr>
                    <w:pStyle w:val="TableBodyText"/>
                    <w:jc w:val="left"/>
                  </w:pPr>
                  <w:r w:rsidRPr="0052113E">
                    <w:t>Public Administration and Safety</w:t>
                  </w:r>
                </w:p>
              </w:tc>
              <w:tc>
                <w:tcPr>
                  <w:tcW w:w="500" w:type="pct"/>
                </w:tcPr>
                <w:p w14:paraId="32D91400" w14:textId="77777777" w:rsidR="00534098" w:rsidRDefault="00534098" w:rsidP="007A39EB">
                  <w:pPr>
                    <w:pStyle w:val="TableBodyText"/>
                  </w:pPr>
                  <w:r w:rsidRPr="002E0CA4">
                    <w:t>104</w:t>
                  </w:r>
                </w:p>
              </w:tc>
              <w:tc>
                <w:tcPr>
                  <w:tcW w:w="500" w:type="pct"/>
                </w:tcPr>
                <w:p w14:paraId="4CE1039D" w14:textId="77777777" w:rsidR="00534098" w:rsidRDefault="00534098" w:rsidP="007A39EB">
                  <w:pPr>
                    <w:pStyle w:val="TableBodyText"/>
                  </w:pPr>
                  <w:r w:rsidRPr="002E0CA4">
                    <w:t>104</w:t>
                  </w:r>
                </w:p>
              </w:tc>
              <w:tc>
                <w:tcPr>
                  <w:tcW w:w="501" w:type="pct"/>
                  <w:shd w:val="clear" w:color="auto" w:fill="auto"/>
                </w:tcPr>
                <w:p w14:paraId="6F54800A" w14:textId="77777777" w:rsidR="00534098" w:rsidRDefault="00534098" w:rsidP="007A39EB">
                  <w:pPr>
                    <w:pStyle w:val="TableBodyText"/>
                  </w:pPr>
                  <w:r w:rsidRPr="002E0CA4">
                    <w:t>110</w:t>
                  </w:r>
                </w:p>
              </w:tc>
              <w:tc>
                <w:tcPr>
                  <w:tcW w:w="499" w:type="pct"/>
                  <w:shd w:val="clear" w:color="auto" w:fill="auto"/>
                </w:tcPr>
                <w:p w14:paraId="17C0EFF4" w14:textId="77777777" w:rsidR="00534098" w:rsidRDefault="00534098" w:rsidP="007A39EB">
                  <w:pPr>
                    <w:pStyle w:val="TableBodyText"/>
                    <w:ind w:right="28"/>
                  </w:pPr>
                  <w:r w:rsidRPr="002E0CA4">
                    <w:t>114</w:t>
                  </w:r>
                </w:p>
              </w:tc>
            </w:tr>
            <w:tr w:rsidR="00534098" w14:paraId="2FCF99CC" w14:textId="77777777" w:rsidTr="007A39EB">
              <w:tc>
                <w:tcPr>
                  <w:tcW w:w="1833" w:type="pct"/>
                  <w:shd w:val="clear" w:color="auto" w:fill="auto"/>
                </w:tcPr>
                <w:p w14:paraId="359B98F3" w14:textId="77777777" w:rsidR="00534098" w:rsidRPr="003E2EB4" w:rsidRDefault="00534098" w:rsidP="007A39EB">
                  <w:pPr>
                    <w:pStyle w:val="TableBodyText"/>
                    <w:jc w:val="left"/>
                  </w:pPr>
                  <w:r w:rsidRPr="0052113E">
                    <w:t>Preschool and School Education</w:t>
                  </w:r>
                </w:p>
              </w:tc>
              <w:tc>
                <w:tcPr>
                  <w:tcW w:w="1167" w:type="pct"/>
                </w:tcPr>
                <w:p w14:paraId="2D4769AF" w14:textId="77777777" w:rsidR="00534098" w:rsidRPr="003E2EB4" w:rsidRDefault="00534098" w:rsidP="007A39EB">
                  <w:pPr>
                    <w:pStyle w:val="TableBodyText"/>
                    <w:jc w:val="left"/>
                  </w:pPr>
                  <w:r w:rsidRPr="0052113E">
                    <w:t>Education and Training</w:t>
                  </w:r>
                </w:p>
              </w:tc>
              <w:tc>
                <w:tcPr>
                  <w:tcW w:w="500" w:type="pct"/>
                </w:tcPr>
                <w:p w14:paraId="27AE3C63" w14:textId="77777777" w:rsidR="00534098" w:rsidRDefault="00534098" w:rsidP="007A39EB">
                  <w:pPr>
                    <w:pStyle w:val="TableBodyText"/>
                  </w:pPr>
                  <w:r w:rsidRPr="002E0CA4">
                    <w:t>94</w:t>
                  </w:r>
                </w:p>
              </w:tc>
              <w:tc>
                <w:tcPr>
                  <w:tcW w:w="500" w:type="pct"/>
                </w:tcPr>
                <w:p w14:paraId="624F6553" w14:textId="77777777" w:rsidR="00534098" w:rsidRDefault="00534098" w:rsidP="007A39EB">
                  <w:pPr>
                    <w:pStyle w:val="TableBodyText"/>
                  </w:pPr>
                  <w:r w:rsidRPr="002E0CA4">
                    <w:t>104</w:t>
                  </w:r>
                </w:p>
              </w:tc>
              <w:tc>
                <w:tcPr>
                  <w:tcW w:w="501" w:type="pct"/>
                  <w:shd w:val="clear" w:color="auto" w:fill="auto"/>
                </w:tcPr>
                <w:p w14:paraId="1AEF064F" w14:textId="77777777" w:rsidR="00534098" w:rsidRDefault="00534098" w:rsidP="007A39EB">
                  <w:pPr>
                    <w:pStyle w:val="TableBodyText"/>
                  </w:pPr>
                  <w:r w:rsidRPr="002E0CA4">
                    <w:t>110</w:t>
                  </w:r>
                </w:p>
              </w:tc>
              <w:tc>
                <w:tcPr>
                  <w:tcW w:w="499" w:type="pct"/>
                  <w:shd w:val="clear" w:color="auto" w:fill="auto"/>
                </w:tcPr>
                <w:p w14:paraId="5ED1C06A" w14:textId="77777777" w:rsidR="00534098" w:rsidRDefault="00534098" w:rsidP="007A39EB">
                  <w:pPr>
                    <w:pStyle w:val="TableBodyText"/>
                    <w:ind w:right="28"/>
                  </w:pPr>
                  <w:r w:rsidRPr="002E0CA4">
                    <w:t>103</w:t>
                  </w:r>
                </w:p>
              </w:tc>
            </w:tr>
            <w:tr w:rsidR="00534098" w14:paraId="75E54E7C" w14:textId="77777777" w:rsidTr="007A39EB">
              <w:tc>
                <w:tcPr>
                  <w:tcW w:w="1833" w:type="pct"/>
                  <w:shd w:val="clear" w:color="auto" w:fill="auto"/>
                </w:tcPr>
                <w:p w14:paraId="4A4BE12E" w14:textId="77777777" w:rsidR="00534098" w:rsidRPr="003E2EB4" w:rsidRDefault="00534098" w:rsidP="007A39EB">
                  <w:pPr>
                    <w:pStyle w:val="TableBodyText"/>
                    <w:jc w:val="left"/>
                  </w:pPr>
                  <w:r w:rsidRPr="0052113E">
                    <w:t>Tertiary Education</w:t>
                  </w:r>
                </w:p>
              </w:tc>
              <w:tc>
                <w:tcPr>
                  <w:tcW w:w="1167" w:type="pct"/>
                </w:tcPr>
                <w:p w14:paraId="5C0A72C8" w14:textId="77777777" w:rsidR="00534098" w:rsidRPr="003E2EB4" w:rsidRDefault="00534098" w:rsidP="007A39EB">
                  <w:pPr>
                    <w:pStyle w:val="TableBodyText"/>
                    <w:jc w:val="left"/>
                  </w:pPr>
                  <w:r w:rsidRPr="0052113E">
                    <w:t>Education and Training</w:t>
                  </w:r>
                </w:p>
              </w:tc>
              <w:tc>
                <w:tcPr>
                  <w:tcW w:w="500" w:type="pct"/>
                </w:tcPr>
                <w:p w14:paraId="17E25107" w14:textId="77777777" w:rsidR="00534098" w:rsidRDefault="00534098" w:rsidP="007A39EB">
                  <w:pPr>
                    <w:pStyle w:val="TableBodyText"/>
                  </w:pPr>
                  <w:r w:rsidRPr="002E0CA4">
                    <w:t>112</w:t>
                  </w:r>
                </w:p>
              </w:tc>
              <w:tc>
                <w:tcPr>
                  <w:tcW w:w="500" w:type="pct"/>
                </w:tcPr>
                <w:p w14:paraId="604B425F" w14:textId="77777777" w:rsidR="00534098" w:rsidRDefault="00534098" w:rsidP="007A39EB">
                  <w:pPr>
                    <w:pStyle w:val="TableBodyText"/>
                  </w:pPr>
                  <w:r w:rsidRPr="002E0CA4">
                    <w:t>114</w:t>
                  </w:r>
                </w:p>
              </w:tc>
              <w:tc>
                <w:tcPr>
                  <w:tcW w:w="501" w:type="pct"/>
                  <w:shd w:val="clear" w:color="auto" w:fill="auto"/>
                </w:tcPr>
                <w:p w14:paraId="423E25A1" w14:textId="77777777" w:rsidR="00534098" w:rsidRDefault="00534098" w:rsidP="007A39EB">
                  <w:pPr>
                    <w:pStyle w:val="TableBodyText"/>
                  </w:pPr>
                  <w:r w:rsidRPr="002E0CA4">
                    <w:t>101</w:t>
                  </w:r>
                </w:p>
              </w:tc>
              <w:tc>
                <w:tcPr>
                  <w:tcW w:w="499" w:type="pct"/>
                  <w:shd w:val="clear" w:color="auto" w:fill="auto"/>
                </w:tcPr>
                <w:p w14:paraId="653679A3" w14:textId="77777777" w:rsidR="00534098" w:rsidRDefault="00534098" w:rsidP="007A39EB">
                  <w:pPr>
                    <w:pStyle w:val="TableBodyText"/>
                    <w:ind w:right="28"/>
                  </w:pPr>
                  <w:r w:rsidRPr="002E0CA4">
                    <w:t>88</w:t>
                  </w:r>
                </w:p>
              </w:tc>
            </w:tr>
            <w:tr w:rsidR="00534098" w14:paraId="2FF76F02" w14:textId="77777777" w:rsidTr="007A39EB">
              <w:tc>
                <w:tcPr>
                  <w:tcW w:w="1833" w:type="pct"/>
                  <w:shd w:val="clear" w:color="auto" w:fill="auto"/>
                </w:tcPr>
                <w:p w14:paraId="7900D6F1" w14:textId="77777777" w:rsidR="00534098" w:rsidRPr="003E2EB4" w:rsidRDefault="00534098" w:rsidP="007A39EB">
                  <w:pPr>
                    <w:pStyle w:val="TableBodyText"/>
                    <w:jc w:val="left"/>
                  </w:pPr>
                  <w:r w:rsidRPr="0052113E">
                    <w:t>Adult, Community and Other Education</w:t>
                  </w:r>
                </w:p>
              </w:tc>
              <w:tc>
                <w:tcPr>
                  <w:tcW w:w="1167" w:type="pct"/>
                </w:tcPr>
                <w:p w14:paraId="3042CAF8" w14:textId="77777777" w:rsidR="00534098" w:rsidRPr="003E2EB4" w:rsidRDefault="00534098" w:rsidP="007A39EB">
                  <w:pPr>
                    <w:pStyle w:val="TableBodyText"/>
                    <w:jc w:val="left"/>
                  </w:pPr>
                  <w:r w:rsidRPr="0052113E">
                    <w:t>Education and Training</w:t>
                  </w:r>
                </w:p>
              </w:tc>
              <w:tc>
                <w:tcPr>
                  <w:tcW w:w="500" w:type="pct"/>
                </w:tcPr>
                <w:p w14:paraId="0D7169D5" w14:textId="77777777" w:rsidR="00534098" w:rsidRDefault="00534098" w:rsidP="007A39EB">
                  <w:pPr>
                    <w:pStyle w:val="TableBodyText"/>
                  </w:pPr>
                  <w:r w:rsidRPr="002E0CA4">
                    <w:t>75</w:t>
                  </w:r>
                </w:p>
              </w:tc>
              <w:tc>
                <w:tcPr>
                  <w:tcW w:w="500" w:type="pct"/>
                </w:tcPr>
                <w:p w14:paraId="52F5CCC5" w14:textId="77777777" w:rsidR="00534098" w:rsidRDefault="00534098" w:rsidP="007A39EB">
                  <w:pPr>
                    <w:pStyle w:val="TableBodyText"/>
                  </w:pPr>
                  <w:r w:rsidRPr="002E0CA4">
                    <w:t>81</w:t>
                  </w:r>
                </w:p>
              </w:tc>
              <w:tc>
                <w:tcPr>
                  <w:tcW w:w="501" w:type="pct"/>
                  <w:shd w:val="clear" w:color="auto" w:fill="auto"/>
                </w:tcPr>
                <w:p w14:paraId="3ABD8AD7" w14:textId="77777777" w:rsidR="00534098" w:rsidRDefault="00534098" w:rsidP="007A39EB">
                  <w:pPr>
                    <w:pStyle w:val="TableBodyText"/>
                  </w:pPr>
                  <w:r w:rsidRPr="002E0CA4">
                    <w:t>80</w:t>
                  </w:r>
                </w:p>
              </w:tc>
              <w:tc>
                <w:tcPr>
                  <w:tcW w:w="499" w:type="pct"/>
                  <w:shd w:val="clear" w:color="auto" w:fill="auto"/>
                </w:tcPr>
                <w:p w14:paraId="14843BD1" w14:textId="77777777" w:rsidR="00534098" w:rsidRDefault="00534098" w:rsidP="007A39EB">
                  <w:pPr>
                    <w:pStyle w:val="TableBodyText"/>
                    <w:ind w:right="28"/>
                  </w:pPr>
                  <w:r w:rsidRPr="002E0CA4">
                    <w:t>90</w:t>
                  </w:r>
                </w:p>
              </w:tc>
            </w:tr>
            <w:tr w:rsidR="00534098" w14:paraId="2A864A49" w14:textId="77777777" w:rsidTr="007A39EB">
              <w:tc>
                <w:tcPr>
                  <w:tcW w:w="1833" w:type="pct"/>
                  <w:shd w:val="clear" w:color="auto" w:fill="auto"/>
                </w:tcPr>
                <w:p w14:paraId="426A6E67" w14:textId="77777777" w:rsidR="00534098" w:rsidRPr="003E2EB4" w:rsidRDefault="00534098" w:rsidP="007A39EB">
                  <w:pPr>
                    <w:pStyle w:val="TableBodyText"/>
                    <w:jc w:val="left"/>
                  </w:pPr>
                  <w:r w:rsidRPr="0052113E">
                    <w:t>Education and Training nfd</w:t>
                  </w:r>
                </w:p>
              </w:tc>
              <w:tc>
                <w:tcPr>
                  <w:tcW w:w="1167" w:type="pct"/>
                </w:tcPr>
                <w:p w14:paraId="081A349F" w14:textId="77777777" w:rsidR="00534098" w:rsidRPr="003E2EB4" w:rsidRDefault="00534098" w:rsidP="007A39EB">
                  <w:pPr>
                    <w:pStyle w:val="TableBodyText"/>
                    <w:jc w:val="left"/>
                  </w:pPr>
                  <w:r w:rsidRPr="0052113E">
                    <w:t>Education and Training</w:t>
                  </w:r>
                </w:p>
              </w:tc>
              <w:tc>
                <w:tcPr>
                  <w:tcW w:w="500" w:type="pct"/>
                </w:tcPr>
                <w:p w14:paraId="70616B03" w14:textId="77777777" w:rsidR="00534098" w:rsidRDefault="00534098" w:rsidP="007A39EB">
                  <w:pPr>
                    <w:pStyle w:val="TableBodyText"/>
                  </w:pPr>
                  <w:r w:rsidRPr="002E0CA4">
                    <w:t>27</w:t>
                  </w:r>
                </w:p>
              </w:tc>
              <w:tc>
                <w:tcPr>
                  <w:tcW w:w="500" w:type="pct"/>
                </w:tcPr>
                <w:p w14:paraId="64533538" w14:textId="77777777" w:rsidR="00534098" w:rsidRDefault="00534098" w:rsidP="007A39EB">
                  <w:pPr>
                    <w:pStyle w:val="TableBodyText"/>
                  </w:pPr>
                  <w:r w:rsidRPr="002E0CA4">
                    <w:t>0</w:t>
                  </w:r>
                </w:p>
              </w:tc>
              <w:tc>
                <w:tcPr>
                  <w:tcW w:w="501" w:type="pct"/>
                  <w:shd w:val="clear" w:color="auto" w:fill="auto"/>
                </w:tcPr>
                <w:p w14:paraId="672D8B2B" w14:textId="77777777" w:rsidR="00534098" w:rsidRDefault="00534098" w:rsidP="007A39EB">
                  <w:pPr>
                    <w:pStyle w:val="TableBodyText"/>
                  </w:pPr>
                  <w:r w:rsidRPr="002E0CA4">
                    <w:t>0</w:t>
                  </w:r>
                </w:p>
              </w:tc>
              <w:tc>
                <w:tcPr>
                  <w:tcW w:w="499" w:type="pct"/>
                  <w:shd w:val="clear" w:color="auto" w:fill="auto"/>
                </w:tcPr>
                <w:p w14:paraId="5940EB0D" w14:textId="77777777" w:rsidR="00534098" w:rsidRDefault="00534098" w:rsidP="007A39EB">
                  <w:pPr>
                    <w:pStyle w:val="TableBodyText"/>
                    <w:ind w:right="28"/>
                  </w:pPr>
                  <w:r w:rsidRPr="002E0CA4">
                    <w:t>20</w:t>
                  </w:r>
                </w:p>
              </w:tc>
            </w:tr>
            <w:tr w:rsidR="00534098" w14:paraId="30ABCDD8" w14:textId="77777777" w:rsidTr="007A39EB">
              <w:tc>
                <w:tcPr>
                  <w:tcW w:w="1833" w:type="pct"/>
                  <w:shd w:val="clear" w:color="auto" w:fill="auto"/>
                </w:tcPr>
                <w:p w14:paraId="7CDC8FF5" w14:textId="77777777" w:rsidR="00534098" w:rsidRPr="003E2EB4" w:rsidRDefault="00534098" w:rsidP="007A39EB">
                  <w:pPr>
                    <w:pStyle w:val="TableBodyText"/>
                    <w:jc w:val="left"/>
                  </w:pPr>
                  <w:r w:rsidRPr="009D1C78">
                    <w:t>Hospitals</w:t>
                  </w:r>
                </w:p>
              </w:tc>
              <w:tc>
                <w:tcPr>
                  <w:tcW w:w="1167" w:type="pct"/>
                </w:tcPr>
                <w:p w14:paraId="348BA81C" w14:textId="77777777" w:rsidR="00534098" w:rsidRPr="003E2EB4" w:rsidRDefault="00534098" w:rsidP="007A39EB">
                  <w:pPr>
                    <w:pStyle w:val="TableBodyText"/>
                    <w:jc w:val="left"/>
                  </w:pPr>
                  <w:r w:rsidRPr="009D1C78">
                    <w:t>Health Care and Social Assistance</w:t>
                  </w:r>
                </w:p>
              </w:tc>
              <w:tc>
                <w:tcPr>
                  <w:tcW w:w="500" w:type="pct"/>
                </w:tcPr>
                <w:p w14:paraId="6CBD089F" w14:textId="77777777" w:rsidR="00534098" w:rsidRDefault="00534098" w:rsidP="007A39EB">
                  <w:pPr>
                    <w:pStyle w:val="TableBodyText"/>
                  </w:pPr>
                  <w:r w:rsidRPr="002E0CA4">
                    <w:t>100</w:t>
                  </w:r>
                </w:p>
              </w:tc>
              <w:tc>
                <w:tcPr>
                  <w:tcW w:w="500" w:type="pct"/>
                </w:tcPr>
                <w:p w14:paraId="2B009C6C" w14:textId="77777777" w:rsidR="00534098" w:rsidRDefault="00534098" w:rsidP="007A39EB">
                  <w:pPr>
                    <w:pStyle w:val="TableBodyText"/>
                  </w:pPr>
                  <w:r w:rsidRPr="002E0CA4">
                    <w:t>100</w:t>
                  </w:r>
                </w:p>
              </w:tc>
              <w:tc>
                <w:tcPr>
                  <w:tcW w:w="501" w:type="pct"/>
                  <w:shd w:val="clear" w:color="auto" w:fill="auto"/>
                </w:tcPr>
                <w:p w14:paraId="517D9AFF" w14:textId="77777777" w:rsidR="00534098" w:rsidRDefault="00534098" w:rsidP="007A39EB">
                  <w:pPr>
                    <w:pStyle w:val="TableBodyText"/>
                  </w:pPr>
                  <w:r w:rsidRPr="002E0CA4">
                    <w:t>99</w:t>
                  </w:r>
                </w:p>
              </w:tc>
              <w:tc>
                <w:tcPr>
                  <w:tcW w:w="499" w:type="pct"/>
                  <w:shd w:val="clear" w:color="auto" w:fill="auto"/>
                </w:tcPr>
                <w:p w14:paraId="5AB01894" w14:textId="77777777" w:rsidR="00534098" w:rsidRDefault="00534098" w:rsidP="007A39EB">
                  <w:pPr>
                    <w:pStyle w:val="TableBodyText"/>
                    <w:ind w:right="28"/>
                  </w:pPr>
                  <w:r w:rsidRPr="002E0CA4">
                    <w:t>98</w:t>
                  </w:r>
                </w:p>
              </w:tc>
            </w:tr>
            <w:tr w:rsidR="00534098" w14:paraId="2E4A1183" w14:textId="77777777" w:rsidTr="007A39EB">
              <w:tc>
                <w:tcPr>
                  <w:tcW w:w="1833" w:type="pct"/>
                  <w:shd w:val="clear" w:color="auto" w:fill="auto"/>
                </w:tcPr>
                <w:p w14:paraId="4A049669" w14:textId="77777777" w:rsidR="00534098" w:rsidRPr="00880615" w:rsidRDefault="00534098" w:rsidP="007A39EB">
                  <w:pPr>
                    <w:pStyle w:val="TableBodyText"/>
                    <w:jc w:val="left"/>
                  </w:pPr>
                  <w:r w:rsidRPr="009D1C78">
                    <w:t>Medical and Other Health Care Services</w:t>
                  </w:r>
                </w:p>
              </w:tc>
              <w:tc>
                <w:tcPr>
                  <w:tcW w:w="1167" w:type="pct"/>
                </w:tcPr>
                <w:p w14:paraId="2D0B03CD" w14:textId="77777777" w:rsidR="00534098" w:rsidRPr="00880615" w:rsidRDefault="00534098" w:rsidP="007A39EB">
                  <w:pPr>
                    <w:pStyle w:val="TableBodyText"/>
                    <w:jc w:val="left"/>
                  </w:pPr>
                  <w:r w:rsidRPr="009D1C78">
                    <w:t>Health Care and Social Assistance</w:t>
                  </w:r>
                </w:p>
              </w:tc>
              <w:tc>
                <w:tcPr>
                  <w:tcW w:w="500" w:type="pct"/>
                </w:tcPr>
                <w:p w14:paraId="1A9D9828" w14:textId="77777777" w:rsidR="00534098" w:rsidRDefault="00534098" w:rsidP="007A39EB">
                  <w:pPr>
                    <w:pStyle w:val="TableBodyText"/>
                  </w:pPr>
                  <w:r w:rsidRPr="002E0CA4">
                    <w:t>96</w:t>
                  </w:r>
                </w:p>
              </w:tc>
              <w:tc>
                <w:tcPr>
                  <w:tcW w:w="500" w:type="pct"/>
                </w:tcPr>
                <w:p w14:paraId="2AE2F15A" w14:textId="77777777" w:rsidR="00534098" w:rsidRDefault="00534098" w:rsidP="007A39EB">
                  <w:pPr>
                    <w:pStyle w:val="TableBodyText"/>
                  </w:pPr>
                  <w:r w:rsidRPr="002E0CA4">
                    <w:t>105</w:t>
                  </w:r>
                </w:p>
              </w:tc>
              <w:tc>
                <w:tcPr>
                  <w:tcW w:w="501" w:type="pct"/>
                  <w:shd w:val="clear" w:color="auto" w:fill="auto"/>
                </w:tcPr>
                <w:p w14:paraId="5F51D3B9" w14:textId="77777777" w:rsidR="00534098" w:rsidRDefault="00534098" w:rsidP="007A39EB">
                  <w:pPr>
                    <w:pStyle w:val="TableBodyText"/>
                  </w:pPr>
                  <w:r w:rsidRPr="002E0CA4">
                    <w:t>101</w:t>
                  </w:r>
                </w:p>
              </w:tc>
              <w:tc>
                <w:tcPr>
                  <w:tcW w:w="499" w:type="pct"/>
                  <w:shd w:val="clear" w:color="auto" w:fill="auto"/>
                </w:tcPr>
                <w:p w14:paraId="61344BBA" w14:textId="77777777" w:rsidR="00534098" w:rsidRDefault="00534098" w:rsidP="007A39EB">
                  <w:pPr>
                    <w:pStyle w:val="TableBodyText"/>
                    <w:ind w:right="28"/>
                  </w:pPr>
                  <w:r w:rsidRPr="002E0CA4">
                    <w:t>103</w:t>
                  </w:r>
                </w:p>
              </w:tc>
            </w:tr>
            <w:tr w:rsidR="00534098" w14:paraId="3F6EE6A1" w14:textId="77777777" w:rsidTr="007A39EB">
              <w:tc>
                <w:tcPr>
                  <w:tcW w:w="1833" w:type="pct"/>
                  <w:shd w:val="clear" w:color="auto" w:fill="auto"/>
                </w:tcPr>
                <w:p w14:paraId="6A8E9A7D" w14:textId="77777777" w:rsidR="00534098" w:rsidRPr="00880615" w:rsidRDefault="00534098" w:rsidP="007A39EB">
                  <w:pPr>
                    <w:pStyle w:val="TableBodyText"/>
                    <w:jc w:val="left"/>
                  </w:pPr>
                  <w:r w:rsidRPr="009D1C78">
                    <w:t>Residential Care Services</w:t>
                  </w:r>
                </w:p>
              </w:tc>
              <w:tc>
                <w:tcPr>
                  <w:tcW w:w="1167" w:type="pct"/>
                </w:tcPr>
                <w:p w14:paraId="7BC9ADAF" w14:textId="77777777" w:rsidR="00534098" w:rsidRPr="00880615" w:rsidRDefault="00534098" w:rsidP="007A39EB">
                  <w:pPr>
                    <w:pStyle w:val="TableBodyText"/>
                    <w:jc w:val="left"/>
                  </w:pPr>
                  <w:r w:rsidRPr="009D1C78">
                    <w:t>Health Care and Social Assistance</w:t>
                  </w:r>
                </w:p>
              </w:tc>
              <w:tc>
                <w:tcPr>
                  <w:tcW w:w="500" w:type="pct"/>
                </w:tcPr>
                <w:p w14:paraId="03191195" w14:textId="77777777" w:rsidR="00534098" w:rsidRDefault="00534098" w:rsidP="007A39EB">
                  <w:pPr>
                    <w:pStyle w:val="TableBodyText"/>
                  </w:pPr>
                  <w:r w:rsidRPr="002E0CA4">
                    <w:t>98</w:t>
                  </w:r>
                </w:p>
              </w:tc>
              <w:tc>
                <w:tcPr>
                  <w:tcW w:w="500" w:type="pct"/>
                </w:tcPr>
                <w:p w14:paraId="73C4301B" w14:textId="77777777" w:rsidR="00534098" w:rsidRDefault="00534098" w:rsidP="007A39EB">
                  <w:pPr>
                    <w:pStyle w:val="TableBodyText"/>
                  </w:pPr>
                  <w:r w:rsidRPr="002E0CA4">
                    <w:t>98</w:t>
                  </w:r>
                </w:p>
              </w:tc>
              <w:tc>
                <w:tcPr>
                  <w:tcW w:w="501" w:type="pct"/>
                  <w:shd w:val="clear" w:color="auto" w:fill="auto"/>
                </w:tcPr>
                <w:p w14:paraId="487677BE" w14:textId="77777777" w:rsidR="00534098" w:rsidRDefault="00534098" w:rsidP="007A39EB">
                  <w:pPr>
                    <w:pStyle w:val="TableBodyText"/>
                  </w:pPr>
                  <w:r w:rsidRPr="002E0CA4">
                    <w:t>90</w:t>
                  </w:r>
                </w:p>
              </w:tc>
              <w:tc>
                <w:tcPr>
                  <w:tcW w:w="499" w:type="pct"/>
                  <w:shd w:val="clear" w:color="auto" w:fill="auto"/>
                </w:tcPr>
                <w:p w14:paraId="03DC8F37" w14:textId="77777777" w:rsidR="00534098" w:rsidRDefault="00534098" w:rsidP="007A39EB">
                  <w:pPr>
                    <w:pStyle w:val="TableBodyText"/>
                    <w:ind w:right="28"/>
                  </w:pPr>
                  <w:r w:rsidRPr="002E0CA4">
                    <w:t>90</w:t>
                  </w:r>
                </w:p>
              </w:tc>
            </w:tr>
          </w:tbl>
          <w:p w14:paraId="1C928A6E" w14:textId="77777777" w:rsidR="00534098" w:rsidRDefault="00534098" w:rsidP="007A39EB">
            <w:pPr>
              <w:pStyle w:val="Box"/>
            </w:pPr>
          </w:p>
        </w:tc>
      </w:tr>
      <w:tr w:rsidR="00534098" w14:paraId="09204AEC" w14:textId="77777777" w:rsidTr="007A39EB">
        <w:tc>
          <w:tcPr>
            <w:tcW w:w="5000" w:type="pct"/>
            <w:tcBorders>
              <w:top w:val="nil"/>
              <w:left w:val="nil"/>
              <w:bottom w:val="nil"/>
              <w:right w:val="nil"/>
            </w:tcBorders>
            <w:shd w:val="clear" w:color="auto" w:fill="auto"/>
          </w:tcPr>
          <w:p w14:paraId="5DE72FC4" w14:textId="77777777" w:rsidR="00534098" w:rsidRPr="008F722B" w:rsidRDefault="00534098" w:rsidP="007A39EB">
            <w:pPr>
              <w:pStyle w:val="Continued"/>
            </w:pPr>
            <w:r w:rsidRPr="008F722B">
              <w:t>(continued next page)</w:t>
            </w:r>
          </w:p>
        </w:tc>
      </w:tr>
      <w:tr w:rsidR="00534098" w14:paraId="55692C26" w14:textId="77777777" w:rsidTr="007A39EB">
        <w:tc>
          <w:tcPr>
            <w:tcW w:w="5000" w:type="pct"/>
            <w:tcBorders>
              <w:top w:val="nil"/>
              <w:left w:val="nil"/>
              <w:bottom w:val="single" w:sz="6" w:space="0" w:color="78A22F"/>
              <w:right w:val="nil"/>
            </w:tcBorders>
            <w:shd w:val="clear" w:color="auto" w:fill="auto"/>
          </w:tcPr>
          <w:p w14:paraId="36E6F59C" w14:textId="77777777" w:rsidR="00534098" w:rsidRDefault="00534098" w:rsidP="007A39EB">
            <w:pPr>
              <w:pStyle w:val="Box"/>
              <w:spacing w:before="0" w:line="120" w:lineRule="exact"/>
            </w:pPr>
          </w:p>
        </w:tc>
      </w:tr>
      <w:tr w:rsidR="00534098" w:rsidRPr="000863A5" w14:paraId="3DBE3225" w14:textId="77777777" w:rsidTr="007A39EB">
        <w:tc>
          <w:tcPr>
            <w:tcW w:w="5000" w:type="pct"/>
            <w:tcBorders>
              <w:top w:val="single" w:sz="6" w:space="0" w:color="78A22F"/>
              <w:left w:val="nil"/>
              <w:bottom w:val="nil"/>
              <w:right w:val="nil"/>
            </w:tcBorders>
          </w:tcPr>
          <w:p w14:paraId="3ECF9CC6" w14:textId="201F3FF3" w:rsidR="00534098" w:rsidRPr="00626D32" w:rsidRDefault="00534098" w:rsidP="007A39EB">
            <w:pPr>
              <w:pStyle w:val="BoxSpaceBelow"/>
            </w:pPr>
          </w:p>
        </w:tc>
      </w:tr>
    </w:tbl>
    <w:p w14:paraId="44968397" w14:textId="69E5028D" w:rsidR="00534098" w:rsidRDefault="00534098" w:rsidP="0053409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534098" w14:paraId="73A2AD75" w14:textId="77777777" w:rsidTr="007A39EB">
        <w:trPr>
          <w:tblHeader/>
        </w:trPr>
        <w:tc>
          <w:tcPr>
            <w:tcW w:w="5000" w:type="pct"/>
            <w:tcBorders>
              <w:top w:val="single" w:sz="6" w:space="0" w:color="78A22F"/>
              <w:left w:val="nil"/>
              <w:bottom w:val="nil"/>
              <w:right w:val="nil"/>
            </w:tcBorders>
            <w:shd w:val="clear" w:color="auto" w:fill="auto"/>
          </w:tcPr>
          <w:p w14:paraId="5D432300" w14:textId="42812436" w:rsidR="00534098" w:rsidRPr="00784A05" w:rsidRDefault="00534098" w:rsidP="007A39EB">
            <w:pPr>
              <w:pStyle w:val="TableTitle"/>
            </w:pPr>
            <w:r>
              <w:rPr>
                <w:b w:val="0"/>
              </w:rPr>
              <w:t>Table A.1</w:t>
            </w:r>
            <w:r>
              <w:tab/>
            </w:r>
            <w:r w:rsidRPr="00FD1DD1">
              <w:rPr>
                <w:b w:val="0"/>
                <w:bCs/>
                <w:sz w:val="18"/>
                <w:szCs w:val="18"/>
              </w:rPr>
              <w:t>(continued)</w:t>
            </w:r>
          </w:p>
        </w:tc>
      </w:tr>
      <w:tr w:rsidR="00534098" w14:paraId="476ED990" w14:textId="77777777" w:rsidTr="007A39E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1985"/>
              <w:gridCol w:w="850"/>
              <w:gridCol w:w="850"/>
              <w:gridCol w:w="852"/>
              <w:gridCol w:w="849"/>
            </w:tblGrid>
            <w:tr w:rsidR="00534098" w14:paraId="51BB91F7" w14:textId="77777777" w:rsidTr="007A39EB">
              <w:trPr>
                <w:tblHeader/>
              </w:trPr>
              <w:tc>
                <w:tcPr>
                  <w:tcW w:w="1833" w:type="pct"/>
                  <w:tcBorders>
                    <w:top w:val="single" w:sz="6" w:space="0" w:color="BFBFBF"/>
                    <w:bottom w:val="single" w:sz="6" w:space="0" w:color="BFBFBF"/>
                  </w:tcBorders>
                  <w:shd w:val="clear" w:color="auto" w:fill="auto"/>
                  <w:tcMar>
                    <w:top w:w="28" w:type="dxa"/>
                  </w:tcMar>
                </w:tcPr>
                <w:p w14:paraId="42E56860" w14:textId="77777777" w:rsidR="00534098" w:rsidRDefault="00534098" w:rsidP="007A39EB">
                  <w:pPr>
                    <w:pStyle w:val="TableColumnHeading"/>
                    <w:jc w:val="left"/>
                  </w:pPr>
                  <w:r w:rsidRPr="00CD275C">
                    <w:t>Anzsic 2</w:t>
                  </w:r>
                </w:p>
              </w:tc>
              <w:tc>
                <w:tcPr>
                  <w:tcW w:w="1167" w:type="pct"/>
                  <w:tcBorders>
                    <w:top w:val="single" w:sz="6" w:space="0" w:color="BFBFBF"/>
                    <w:bottom w:val="single" w:sz="6" w:space="0" w:color="BFBFBF"/>
                  </w:tcBorders>
                </w:tcPr>
                <w:p w14:paraId="75E202EA" w14:textId="77777777" w:rsidR="00534098" w:rsidRDefault="00534098" w:rsidP="007A39EB">
                  <w:pPr>
                    <w:pStyle w:val="TableColumnHeading"/>
                    <w:jc w:val="left"/>
                  </w:pPr>
                  <w:r w:rsidRPr="00CD275C">
                    <w:t>Anzsic 1</w:t>
                  </w:r>
                </w:p>
              </w:tc>
              <w:tc>
                <w:tcPr>
                  <w:tcW w:w="500" w:type="pct"/>
                  <w:tcBorders>
                    <w:top w:val="single" w:sz="6" w:space="0" w:color="BFBFBF"/>
                    <w:bottom w:val="single" w:sz="6" w:space="0" w:color="BFBFBF"/>
                  </w:tcBorders>
                </w:tcPr>
                <w:p w14:paraId="7A96B541" w14:textId="77777777" w:rsidR="00534098" w:rsidRDefault="00534098" w:rsidP="007A39EB">
                  <w:pPr>
                    <w:pStyle w:val="TableColumnHeading"/>
                  </w:pPr>
                  <w:r>
                    <w:t>May</w:t>
                  </w:r>
                  <w:r>
                    <w:noBreakHyphen/>
                    <w:t>20</w:t>
                  </w:r>
                </w:p>
              </w:tc>
              <w:tc>
                <w:tcPr>
                  <w:tcW w:w="500" w:type="pct"/>
                  <w:tcBorders>
                    <w:top w:val="single" w:sz="6" w:space="0" w:color="BFBFBF"/>
                    <w:bottom w:val="single" w:sz="6" w:space="0" w:color="BFBFBF"/>
                  </w:tcBorders>
                </w:tcPr>
                <w:p w14:paraId="02B46E56" w14:textId="77777777" w:rsidR="00534098" w:rsidRDefault="00534098" w:rsidP="007A39EB">
                  <w:pPr>
                    <w:pStyle w:val="TableColumnHeading"/>
                  </w:pPr>
                  <w:r>
                    <w:t>Aug</w:t>
                  </w:r>
                  <w:r>
                    <w:noBreakHyphen/>
                    <w:t>20</w:t>
                  </w:r>
                </w:p>
              </w:tc>
              <w:tc>
                <w:tcPr>
                  <w:tcW w:w="501" w:type="pct"/>
                  <w:tcBorders>
                    <w:top w:val="single" w:sz="6" w:space="0" w:color="BFBFBF"/>
                    <w:bottom w:val="single" w:sz="6" w:space="0" w:color="BFBFBF"/>
                  </w:tcBorders>
                  <w:shd w:val="clear" w:color="auto" w:fill="auto"/>
                  <w:tcMar>
                    <w:top w:w="28" w:type="dxa"/>
                  </w:tcMar>
                </w:tcPr>
                <w:p w14:paraId="5EF9861F" w14:textId="77777777" w:rsidR="00534098" w:rsidRDefault="00534098" w:rsidP="007A39EB">
                  <w:pPr>
                    <w:pStyle w:val="TableColumnHeading"/>
                  </w:pPr>
                  <w:r>
                    <w:t>Nov</w:t>
                  </w:r>
                  <w:r>
                    <w:noBreakHyphen/>
                    <w:t>20</w:t>
                  </w:r>
                </w:p>
              </w:tc>
              <w:tc>
                <w:tcPr>
                  <w:tcW w:w="499" w:type="pct"/>
                  <w:tcBorders>
                    <w:top w:val="single" w:sz="6" w:space="0" w:color="BFBFBF"/>
                    <w:bottom w:val="single" w:sz="6" w:space="0" w:color="BFBFBF"/>
                  </w:tcBorders>
                  <w:shd w:val="clear" w:color="auto" w:fill="auto"/>
                  <w:tcMar>
                    <w:top w:w="28" w:type="dxa"/>
                  </w:tcMar>
                </w:tcPr>
                <w:p w14:paraId="259B4BE7" w14:textId="77777777" w:rsidR="00534098" w:rsidRDefault="00534098" w:rsidP="007A39EB">
                  <w:pPr>
                    <w:pStyle w:val="TableColumnHeading"/>
                    <w:ind w:right="28"/>
                  </w:pPr>
                  <w:r>
                    <w:t>Feb</w:t>
                  </w:r>
                  <w:r>
                    <w:noBreakHyphen/>
                    <w:t>21</w:t>
                  </w:r>
                </w:p>
              </w:tc>
            </w:tr>
            <w:tr w:rsidR="00534098" w14:paraId="77AB6013" w14:textId="77777777" w:rsidTr="007A39EB">
              <w:tc>
                <w:tcPr>
                  <w:tcW w:w="1833" w:type="pct"/>
                  <w:tcBorders>
                    <w:top w:val="single" w:sz="6" w:space="0" w:color="BFBFBF"/>
                  </w:tcBorders>
                </w:tcPr>
                <w:p w14:paraId="23DBA1A6" w14:textId="77777777" w:rsidR="00534098" w:rsidRDefault="00534098" w:rsidP="007A39EB">
                  <w:pPr>
                    <w:pStyle w:val="TableUnitsRow"/>
                    <w:jc w:val="left"/>
                  </w:pPr>
                </w:p>
              </w:tc>
              <w:tc>
                <w:tcPr>
                  <w:tcW w:w="1167" w:type="pct"/>
                  <w:tcBorders>
                    <w:top w:val="single" w:sz="6" w:space="0" w:color="BFBFBF"/>
                  </w:tcBorders>
                </w:tcPr>
                <w:p w14:paraId="3BD52CE1" w14:textId="77777777" w:rsidR="00534098" w:rsidRDefault="00534098" w:rsidP="007A39EB">
                  <w:pPr>
                    <w:pStyle w:val="TableUnitsRow"/>
                  </w:pPr>
                </w:p>
              </w:tc>
              <w:tc>
                <w:tcPr>
                  <w:tcW w:w="500" w:type="pct"/>
                  <w:tcBorders>
                    <w:top w:val="single" w:sz="6" w:space="0" w:color="BFBFBF"/>
                  </w:tcBorders>
                </w:tcPr>
                <w:p w14:paraId="7C2789D4" w14:textId="77777777" w:rsidR="00534098" w:rsidRDefault="00534098" w:rsidP="007A39EB">
                  <w:pPr>
                    <w:pStyle w:val="TableUnitsRow"/>
                  </w:pPr>
                  <w:r>
                    <w:t>%</w:t>
                  </w:r>
                </w:p>
              </w:tc>
              <w:tc>
                <w:tcPr>
                  <w:tcW w:w="500" w:type="pct"/>
                  <w:tcBorders>
                    <w:top w:val="single" w:sz="6" w:space="0" w:color="BFBFBF"/>
                  </w:tcBorders>
                </w:tcPr>
                <w:p w14:paraId="13DF7EE8" w14:textId="77777777" w:rsidR="00534098" w:rsidRDefault="00534098" w:rsidP="007A39EB">
                  <w:pPr>
                    <w:pStyle w:val="TableUnitsRow"/>
                  </w:pPr>
                  <w:r>
                    <w:t>%</w:t>
                  </w:r>
                </w:p>
              </w:tc>
              <w:tc>
                <w:tcPr>
                  <w:tcW w:w="501" w:type="pct"/>
                  <w:tcBorders>
                    <w:top w:val="single" w:sz="6" w:space="0" w:color="BFBFBF"/>
                  </w:tcBorders>
                </w:tcPr>
                <w:p w14:paraId="00144B8C" w14:textId="77777777" w:rsidR="00534098" w:rsidRDefault="00534098" w:rsidP="007A39EB">
                  <w:pPr>
                    <w:pStyle w:val="TableUnitsRow"/>
                  </w:pPr>
                  <w:r>
                    <w:t>%</w:t>
                  </w:r>
                </w:p>
              </w:tc>
              <w:tc>
                <w:tcPr>
                  <w:tcW w:w="499" w:type="pct"/>
                  <w:tcBorders>
                    <w:top w:val="single" w:sz="6" w:space="0" w:color="BFBFBF"/>
                  </w:tcBorders>
                </w:tcPr>
                <w:p w14:paraId="25A2F55B" w14:textId="77777777" w:rsidR="00534098" w:rsidRDefault="00534098" w:rsidP="007A39EB">
                  <w:pPr>
                    <w:pStyle w:val="TableUnitsRow"/>
                    <w:ind w:right="28"/>
                  </w:pPr>
                  <w:r>
                    <w:t>%</w:t>
                  </w:r>
                </w:p>
              </w:tc>
            </w:tr>
            <w:tr w:rsidR="00534098" w14:paraId="2D530F91" w14:textId="77777777" w:rsidTr="007A39EB">
              <w:tc>
                <w:tcPr>
                  <w:tcW w:w="1833" w:type="pct"/>
                </w:tcPr>
                <w:p w14:paraId="0491B357" w14:textId="77777777" w:rsidR="00534098" w:rsidRDefault="00534098" w:rsidP="007A39EB">
                  <w:pPr>
                    <w:pStyle w:val="TableBodyText"/>
                    <w:jc w:val="left"/>
                  </w:pPr>
                  <w:r w:rsidRPr="000E1D18">
                    <w:t>Social Assistance Services</w:t>
                  </w:r>
                </w:p>
              </w:tc>
              <w:tc>
                <w:tcPr>
                  <w:tcW w:w="1167" w:type="pct"/>
                </w:tcPr>
                <w:p w14:paraId="6499BC96" w14:textId="77777777" w:rsidR="00534098" w:rsidRDefault="00534098" w:rsidP="007A39EB">
                  <w:pPr>
                    <w:pStyle w:val="TableBodyText"/>
                    <w:jc w:val="left"/>
                  </w:pPr>
                  <w:r w:rsidRPr="000E1D18">
                    <w:t>Health Care and Social Assistance</w:t>
                  </w:r>
                </w:p>
              </w:tc>
              <w:tc>
                <w:tcPr>
                  <w:tcW w:w="500" w:type="pct"/>
                </w:tcPr>
                <w:p w14:paraId="78E4B83B" w14:textId="77777777" w:rsidR="00534098" w:rsidRDefault="00534098" w:rsidP="007A39EB">
                  <w:pPr>
                    <w:pStyle w:val="TableBodyText"/>
                  </w:pPr>
                  <w:r w:rsidRPr="00E5068B">
                    <w:t>90</w:t>
                  </w:r>
                </w:p>
              </w:tc>
              <w:tc>
                <w:tcPr>
                  <w:tcW w:w="500" w:type="pct"/>
                </w:tcPr>
                <w:p w14:paraId="797CA54B" w14:textId="77777777" w:rsidR="00534098" w:rsidRDefault="00534098" w:rsidP="007A39EB">
                  <w:pPr>
                    <w:pStyle w:val="TableBodyText"/>
                  </w:pPr>
                  <w:r w:rsidRPr="00E5068B">
                    <w:t>92</w:t>
                  </w:r>
                </w:p>
              </w:tc>
              <w:tc>
                <w:tcPr>
                  <w:tcW w:w="501" w:type="pct"/>
                </w:tcPr>
                <w:p w14:paraId="3DDE23CF" w14:textId="77777777" w:rsidR="00534098" w:rsidRDefault="00534098" w:rsidP="007A39EB">
                  <w:pPr>
                    <w:pStyle w:val="TableBodyText"/>
                  </w:pPr>
                  <w:r w:rsidRPr="00E5068B">
                    <w:t>96</w:t>
                  </w:r>
                </w:p>
              </w:tc>
              <w:tc>
                <w:tcPr>
                  <w:tcW w:w="499" w:type="pct"/>
                </w:tcPr>
                <w:p w14:paraId="0E1095E4" w14:textId="77777777" w:rsidR="00534098" w:rsidRDefault="00534098" w:rsidP="007A39EB">
                  <w:pPr>
                    <w:pStyle w:val="TableBodyText"/>
                    <w:ind w:right="28"/>
                  </w:pPr>
                  <w:r w:rsidRPr="00E5068B">
                    <w:t>107</w:t>
                  </w:r>
                </w:p>
              </w:tc>
            </w:tr>
            <w:tr w:rsidR="00534098" w14:paraId="73D1C544" w14:textId="77777777" w:rsidTr="007A39EB">
              <w:tc>
                <w:tcPr>
                  <w:tcW w:w="1833" w:type="pct"/>
                </w:tcPr>
                <w:p w14:paraId="6688E8F1" w14:textId="77777777" w:rsidR="00534098" w:rsidRDefault="00534098" w:rsidP="007A39EB">
                  <w:pPr>
                    <w:pStyle w:val="TableBodyText"/>
                    <w:jc w:val="left"/>
                  </w:pPr>
                  <w:r w:rsidRPr="000E1D18">
                    <w:t>Heritage Activities</w:t>
                  </w:r>
                </w:p>
              </w:tc>
              <w:tc>
                <w:tcPr>
                  <w:tcW w:w="1167" w:type="pct"/>
                </w:tcPr>
                <w:p w14:paraId="2D5D5964" w14:textId="77777777" w:rsidR="00534098" w:rsidRDefault="00534098" w:rsidP="007A39EB">
                  <w:pPr>
                    <w:pStyle w:val="TableBodyText"/>
                    <w:jc w:val="left"/>
                  </w:pPr>
                  <w:r w:rsidRPr="000E1D18">
                    <w:t>Arts and Recreation Services</w:t>
                  </w:r>
                </w:p>
              </w:tc>
              <w:tc>
                <w:tcPr>
                  <w:tcW w:w="500" w:type="pct"/>
                </w:tcPr>
                <w:p w14:paraId="713B241F" w14:textId="77777777" w:rsidR="00534098" w:rsidRDefault="00534098" w:rsidP="007A39EB">
                  <w:pPr>
                    <w:pStyle w:val="TableBodyText"/>
                  </w:pPr>
                  <w:r w:rsidRPr="00E5068B">
                    <w:t>83</w:t>
                  </w:r>
                </w:p>
              </w:tc>
              <w:tc>
                <w:tcPr>
                  <w:tcW w:w="500" w:type="pct"/>
                </w:tcPr>
                <w:p w14:paraId="04E5AE74" w14:textId="77777777" w:rsidR="00534098" w:rsidRDefault="00534098" w:rsidP="007A39EB">
                  <w:pPr>
                    <w:pStyle w:val="TableBodyText"/>
                  </w:pPr>
                  <w:r w:rsidRPr="00E5068B">
                    <w:t>100</w:t>
                  </w:r>
                </w:p>
              </w:tc>
              <w:tc>
                <w:tcPr>
                  <w:tcW w:w="501" w:type="pct"/>
                </w:tcPr>
                <w:p w14:paraId="7A624EE9" w14:textId="77777777" w:rsidR="00534098" w:rsidRDefault="00534098" w:rsidP="007A39EB">
                  <w:pPr>
                    <w:pStyle w:val="TableBodyText"/>
                  </w:pPr>
                  <w:r w:rsidRPr="00E5068B">
                    <w:t>113</w:t>
                  </w:r>
                </w:p>
              </w:tc>
              <w:tc>
                <w:tcPr>
                  <w:tcW w:w="499" w:type="pct"/>
                </w:tcPr>
                <w:p w14:paraId="287A3862" w14:textId="77777777" w:rsidR="00534098" w:rsidRDefault="00534098" w:rsidP="007A39EB">
                  <w:pPr>
                    <w:pStyle w:val="TableBodyText"/>
                    <w:ind w:right="28"/>
                  </w:pPr>
                  <w:r w:rsidRPr="00E5068B">
                    <w:t>96</w:t>
                  </w:r>
                </w:p>
              </w:tc>
            </w:tr>
            <w:tr w:rsidR="00534098" w14:paraId="42001567" w14:textId="77777777" w:rsidTr="007A39EB">
              <w:tc>
                <w:tcPr>
                  <w:tcW w:w="1833" w:type="pct"/>
                </w:tcPr>
                <w:p w14:paraId="5189AE59" w14:textId="77777777" w:rsidR="00534098" w:rsidRDefault="00534098" w:rsidP="007A39EB">
                  <w:pPr>
                    <w:pStyle w:val="TableBodyText"/>
                    <w:jc w:val="left"/>
                  </w:pPr>
                  <w:r w:rsidRPr="000E1D18">
                    <w:t>Creative and Performing Arts Activities</w:t>
                  </w:r>
                </w:p>
              </w:tc>
              <w:tc>
                <w:tcPr>
                  <w:tcW w:w="1167" w:type="pct"/>
                </w:tcPr>
                <w:p w14:paraId="29F274DC" w14:textId="77777777" w:rsidR="00534098" w:rsidRDefault="00534098" w:rsidP="007A39EB">
                  <w:pPr>
                    <w:pStyle w:val="TableBodyText"/>
                    <w:jc w:val="left"/>
                  </w:pPr>
                  <w:r w:rsidRPr="000E1D18">
                    <w:t>Arts and Recreation Services</w:t>
                  </w:r>
                </w:p>
              </w:tc>
              <w:tc>
                <w:tcPr>
                  <w:tcW w:w="500" w:type="pct"/>
                </w:tcPr>
                <w:p w14:paraId="5579DE4F" w14:textId="77777777" w:rsidR="00534098" w:rsidRDefault="00534098" w:rsidP="007A39EB">
                  <w:pPr>
                    <w:pStyle w:val="TableBodyText"/>
                  </w:pPr>
                  <w:r w:rsidRPr="00E5068B">
                    <w:t>67</w:t>
                  </w:r>
                </w:p>
              </w:tc>
              <w:tc>
                <w:tcPr>
                  <w:tcW w:w="500" w:type="pct"/>
                </w:tcPr>
                <w:p w14:paraId="3F5253FE" w14:textId="77777777" w:rsidR="00534098" w:rsidRDefault="00534098" w:rsidP="007A39EB">
                  <w:pPr>
                    <w:pStyle w:val="TableBodyText"/>
                  </w:pPr>
                  <w:r w:rsidRPr="00E5068B">
                    <w:t>87</w:t>
                  </w:r>
                </w:p>
              </w:tc>
              <w:tc>
                <w:tcPr>
                  <w:tcW w:w="501" w:type="pct"/>
                </w:tcPr>
                <w:p w14:paraId="546D0233" w14:textId="77777777" w:rsidR="00534098" w:rsidRDefault="00534098" w:rsidP="007A39EB">
                  <w:pPr>
                    <w:pStyle w:val="TableBodyText"/>
                  </w:pPr>
                  <w:r w:rsidRPr="00E5068B">
                    <w:t>110</w:t>
                  </w:r>
                </w:p>
              </w:tc>
              <w:tc>
                <w:tcPr>
                  <w:tcW w:w="499" w:type="pct"/>
                </w:tcPr>
                <w:p w14:paraId="74FA50F1" w14:textId="77777777" w:rsidR="00534098" w:rsidRDefault="00534098" w:rsidP="007A39EB">
                  <w:pPr>
                    <w:pStyle w:val="TableBodyText"/>
                    <w:ind w:right="28"/>
                  </w:pPr>
                  <w:r w:rsidRPr="00E5068B">
                    <w:t>112</w:t>
                  </w:r>
                </w:p>
              </w:tc>
            </w:tr>
            <w:tr w:rsidR="00534098" w14:paraId="46D5758A" w14:textId="77777777" w:rsidTr="007A39EB">
              <w:tc>
                <w:tcPr>
                  <w:tcW w:w="1833" w:type="pct"/>
                </w:tcPr>
                <w:p w14:paraId="1841E0F8" w14:textId="77777777" w:rsidR="00534098" w:rsidRDefault="00534098" w:rsidP="007A39EB">
                  <w:pPr>
                    <w:pStyle w:val="TableBodyText"/>
                    <w:jc w:val="left"/>
                  </w:pPr>
                  <w:r w:rsidRPr="000E1D18">
                    <w:t>Sports and Recreation Activities</w:t>
                  </w:r>
                </w:p>
              </w:tc>
              <w:tc>
                <w:tcPr>
                  <w:tcW w:w="1167" w:type="pct"/>
                </w:tcPr>
                <w:p w14:paraId="326047B0" w14:textId="77777777" w:rsidR="00534098" w:rsidRDefault="00534098" w:rsidP="007A39EB">
                  <w:pPr>
                    <w:pStyle w:val="TableBodyText"/>
                    <w:jc w:val="left"/>
                  </w:pPr>
                  <w:r w:rsidRPr="000E1D18">
                    <w:t>Arts and Recreation Services</w:t>
                  </w:r>
                </w:p>
              </w:tc>
              <w:tc>
                <w:tcPr>
                  <w:tcW w:w="500" w:type="pct"/>
                </w:tcPr>
                <w:p w14:paraId="32AAEA41" w14:textId="77777777" w:rsidR="00534098" w:rsidRDefault="00534098" w:rsidP="007A39EB">
                  <w:pPr>
                    <w:pStyle w:val="TableBodyText"/>
                  </w:pPr>
                  <w:r w:rsidRPr="00E5068B">
                    <w:t>57</w:t>
                  </w:r>
                </w:p>
              </w:tc>
              <w:tc>
                <w:tcPr>
                  <w:tcW w:w="500" w:type="pct"/>
                </w:tcPr>
                <w:p w14:paraId="61E985BF" w14:textId="77777777" w:rsidR="00534098" w:rsidRDefault="00534098" w:rsidP="007A39EB">
                  <w:pPr>
                    <w:pStyle w:val="TableBodyText"/>
                  </w:pPr>
                  <w:r w:rsidRPr="00E5068B">
                    <w:t>77</w:t>
                  </w:r>
                </w:p>
              </w:tc>
              <w:tc>
                <w:tcPr>
                  <w:tcW w:w="501" w:type="pct"/>
                </w:tcPr>
                <w:p w14:paraId="56BCCAD3" w14:textId="77777777" w:rsidR="00534098" w:rsidRDefault="00534098" w:rsidP="007A39EB">
                  <w:pPr>
                    <w:pStyle w:val="TableBodyText"/>
                  </w:pPr>
                  <w:r w:rsidRPr="00E5068B">
                    <w:t>83</w:t>
                  </w:r>
                </w:p>
              </w:tc>
              <w:tc>
                <w:tcPr>
                  <w:tcW w:w="499" w:type="pct"/>
                </w:tcPr>
                <w:p w14:paraId="23BDE3B6" w14:textId="77777777" w:rsidR="00534098" w:rsidRDefault="00534098" w:rsidP="007A39EB">
                  <w:pPr>
                    <w:pStyle w:val="TableBodyText"/>
                    <w:ind w:right="28"/>
                  </w:pPr>
                  <w:r w:rsidRPr="00E5068B">
                    <w:t>95</w:t>
                  </w:r>
                </w:p>
              </w:tc>
            </w:tr>
            <w:tr w:rsidR="00534098" w14:paraId="0BD48749" w14:textId="77777777" w:rsidTr="007A39EB">
              <w:tc>
                <w:tcPr>
                  <w:tcW w:w="1833" w:type="pct"/>
                </w:tcPr>
                <w:p w14:paraId="060B005C" w14:textId="77777777" w:rsidR="00534098" w:rsidRDefault="00534098" w:rsidP="007A39EB">
                  <w:pPr>
                    <w:pStyle w:val="TableBodyText"/>
                    <w:jc w:val="left"/>
                  </w:pPr>
                  <w:r w:rsidRPr="000E1D18">
                    <w:t>Gambling Activities</w:t>
                  </w:r>
                </w:p>
              </w:tc>
              <w:tc>
                <w:tcPr>
                  <w:tcW w:w="1167" w:type="pct"/>
                </w:tcPr>
                <w:p w14:paraId="6F197900" w14:textId="77777777" w:rsidR="00534098" w:rsidRDefault="00534098" w:rsidP="007A39EB">
                  <w:pPr>
                    <w:pStyle w:val="TableBodyText"/>
                    <w:jc w:val="left"/>
                  </w:pPr>
                  <w:r w:rsidRPr="000E1D18">
                    <w:t>Arts and Recreation Services</w:t>
                  </w:r>
                </w:p>
              </w:tc>
              <w:tc>
                <w:tcPr>
                  <w:tcW w:w="500" w:type="pct"/>
                </w:tcPr>
                <w:p w14:paraId="3F43DBF4" w14:textId="77777777" w:rsidR="00534098" w:rsidRDefault="00534098" w:rsidP="007A39EB">
                  <w:pPr>
                    <w:pStyle w:val="TableBodyText"/>
                  </w:pPr>
                  <w:r w:rsidRPr="00E5068B">
                    <w:t>60</w:t>
                  </w:r>
                </w:p>
              </w:tc>
              <w:tc>
                <w:tcPr>
                  <w:tcW w:w="500" w:type="pct"/>
                </w:tcPr>
                <w:p w14:paraId="2959E94C" w14:textId="77777777" w:rsidR="00534098" w:rsidRDefault="00534098" w:rsidP="007A39EB">
                  <w:pPr>
                    <w:pStyle w:val="TableBodyText"/>
                  </w:pPr>
                  <w:r w:rsidRPr="00E5068B">
                    <w:t>77</w:t>
                  </w:r>
                </w:p>
              </w:tc>
              <w:tc>
                <w:tcPr>
                  <w:tcW w:w="501" w:type="pct"/>
                </w:tcPr>
                <w:p w14:paraId="7957D149" w14:textId="77777777" w:rsidR="00534098" w:rsidRDefault="00534098" w:rsidP="007A39EB">
                  <w:pPr>
                    <w:pStyle w:val="TableBodyText"/>
                  </w:pPr>
                  <w:r w:rsidRPr="00E5068B">
                    <w:t>83</w:t>
                  </w:r>
                </w:p>
              </w:tc>
              <w:tc>
                <w:tcPr>
                  <w:tcW w:w="499" w:type="pct"/>
                </w:tcPr>
                <w:p w14:paraId="3904E511" w14:textId="77777777" w:rsidR="00534098" w:rsidRDefault="00534098" w:rsidP="007A39EB">
                  <w:pPr>
                    <w:pStyle w:val="TableBodyText"/>
                    <w:ind w:right="28"/>
                  </w:pPr>
                  <w:r w:rsidRPr="00E5068B">
                    <w:t>93</w:t>
                  </w:r>
                </w:p>
              </w:tc>
            </w:tr>
            <w:tr w:rsidR="00534098" w14:paraId="06BFCA41" w14:textId="77777777" w:rsidTr="007A39EB">
              <w:tc>
                <w:tcPr>
                  <w:tcW w:w="1833" w:type="pct"/>
                </w:tcPr>
                <w:p w14:paraId="7356A148" w14:textId="77777777" w:rsidR="00534098" w:rsidRDefault="00534098" w:rsidP="007A39EB">
                  <w:pPr>
                    <w:pStyle w:val="TableBodyText"/>
                    <w:jc w:val="left"/>
                  </w:pPr>
                  <w:r w:rsidRPr="000E1D18">
                    <w:t>Repair and Maintenance</w:t>
                  </w:r>
                </w:p>
              </w:tc>
              <w:tc>
                <w:tcPr>
                  <w:tcW w:w="1167" w:type="pct"/>
                </w:tcPr>
                <w:p w14:paraId="5D7635F9" w14:textId="77777777" w:rsidR="00534098" w:rsidRDefault="00534098" w:rsidP="007A39EB">
                  <w:pPr>
                    <w:pStyle w:val="TableBodyText"/>
                    <w:jc w:val="left"/>
                  </w:pPr>
                  <w:r w:rsidRPr="000E1D18">
                    <w:t>Other Services</w:t>
                  </w:r>
                </w:p>
              </w:tc>
              <w:tc>
                <w:tcPr>
                  <w:tcW w:w="500" w:type="pct"/>
                </w:tcPr>
                <w:p w14:paraId="1B01842D" w14:textId="77777777" w:rsidR="00534098" w:rsidRDefault="00534098" w:rsidP="007A39EB">
                  <w:pPr>
                    <w:pStyle w:val="TableBodyText"/>
                  </w:pPr>
                  <w:r w:rsidRPr="00E5068B">
                    <w:t>89</w:t>
                  </w:r>
                </w:p>
              </w:tc>
              <w:tc>
                <w:tcPr>
                  <w:tcW w:w="500" w:type="pct"/>
                </w:tcPr>
                <w:p w14:paraId="24386959" w14:textId="77777777" w:rsidR="00534098" w:rsidRDefault="00534098" w:rsidP="007A39EB">
                  <w:pPr>
                    <w:pStyle w:val="TableBodyText"/>
                  </w:pPr>
                  <w:r w:rsidRPr="00E5068B">
                    <w:t>88</w:t>
                  </w:r>
                </w:p>
              </w:tc>
              <w:tc>
                <w:tcPr>
                  <w:tcW w:w="501" w:type="pct"/>
                </w:tcPr>
                <w:p w14:paraId="232E3B3F" w14:textId="77777777" w:rsidR="00534098" w:rsidRDefault="00534098" w:rsidP="007A39EB">
                  <w:pPr>
                    <w:pStyle w:val="TableBodyText"/>
                  </w:pPr>
                  <w:r w:rsidRPr="00E5068B">
                    <w:t>91</w:t>
                  </w:r>
                </w:p>
              </w:tc>
              <w:tc>
                <w:tcPr>
                  <w:tcW w:w="499" w:type="pct"/>
                </w:tcPr>
                <w:p w14:paraId="3FA3B767" w14:textId="77777777" w:rsidR="00534098" w:rsidRDefault="00534098" w:rsidP="007A39EB">
                  <w:pPr>
                    <w:pStyle w:val="TableBodyText"/>
                    <w:ind w:right="28"/>
                  </w:pPr>
                  <w:r w:rsidRPr="00E5068B">
                    <w:t>94</w:t>
                  </w:r>
                </w:p>
              </w:tc>
            </w:tr>
            <w:tr w:rsidR="00534098" w14:paraId="3D21AEAB" w14:textId="77777777" w:rsidTr="00FD1DD1">
              <w:tc>
                <w:tcPr>
                  <w:tcW w:w="1833" w:type="pct"/>
                </w:tcPr>
                <w:p w14:paraId="06BEDF4E" w14:textId="77777777" w:rsidR="00534098" w:rsidRDefault="00534098" w:rsidP="007A39EB">
                  <w:pPr>
                    <w:pStyle w:val="TableBodyText"/>
                    <w:jc w:val="left"/>
                  </w:pPr>
                  <w:r w:rsidRPr="000E1D18">
                    <w:t>Personal and Other Services</w:t>
                  </w:r>
                </w:p>
              </w:tc>
              <w:tc>
                <w:tcPr>
                  <w:tcW w:w="1167" w:type="pct"/>
                </w:tcPr>
                <w:p w14:paraId="638975F2" w14:textId="77777777" w:rsidR="00534098" w:rsidRDefault="00534098" w:rsidP="007A39EB">
                  <w:pPr>
                    <w:pStyle w:val="TableBodyText"/>
                    <w:jc w:val="left"/>
                  </w:pPr>
                  <w:r w:rsidRPr="000E1D18">
                    <w:t>Other Services</w:t>
                  </w:r>
                </w:p>
              </w:tc>
              <w:tc>
                <w:tcPr>
                  <w:tcW w:w="500" w:type="pct"/>
                </w:tcPr>
                <w:p w14:paraId="2B7EB11D" w14:textId="77777777" w:rsidR="00534098" w:rsidRDefault="00534098" w:rsidP="007A39EB">
                  <w:pPr>
                    <w:pStyle w:val="TableBodyText"/>
                  </w:pPr>
                  <w:r w:rsidRPr="00E5068B">
                    <w:t>90</w:t>
                  </w:r>
                </w:p>
              </w:tc>
              <w:tc>
                <w:tcPr>
                  <w:tcW w:w="500" w:type="pct"/>
                </w:tcPr>
                <w:p w14:paraId="365D641A" w14:textId="77777777" w:rsidR="00534098" w:rsidRDefault="00534098" w:rsidP="007A39EB">
                  <w:pPr>
                    <w:pStyle w:val="TableBodyText"/>
                  </w:pPr>
                  <w:r w:rsidRPr="00E5068B">
                    <w:t>90</w:t>
                  </w:r>
                </w:p>
              </w:tc>
              <w:tc>
                <w:tcPr>
                  <w:tcW w:w="501" w:type="pct"/>
                </w:tcPr>
                <w:p w14:paraId="37D6069F" w14:textId="77777777" w:rsidR="00534098" w:rsidRDefault="00534098" w:rsidP="007A39EB">
                  <w:pPr>
                    <w:pStyle w:val="TableBodyText"/>
                  </w:pPr>
                  <w:r w:rsidRPr="00E5068B">
                    <w:t>100</w:t>
                  </w:r>
                </w:p>
              </w:tc>
              <w:tc>
                <w:tcPr>
                  <w:tcW w:w="499" w:type="pct"/>
                </w:tcPr>
                <w:p w14:paraId="28C8DF0D" w14:textId="77777777" w:rsidR="00534098" w:rsidRDefault="00534098" w:rsidP="007A39EB">
                  <w:pPr>
                    <w:pStyle w:val="TableBodyText"/>
                    <w:ind w:right="28"/>
                  </w:pPr>
                  <w:r w:rsidRPr="00E5068B">
                    <w:t>114</w:t>
                  </w:r>
                </w:p>
              </w:tc>
            </w:tr>
            <w:tr w:rsidR="00534098" w14:paraId="6CE4FAD8" w14:textId="77777777" w:rsidTr="00FD1DD1">
              <w:tc>
                <w:tcPr>
                  <w:tcW w:w="1833" w:type="pct"/>
                  <w:tcBorders>
                    <w:bottom w:val="single" w:sz="4" w:space="0" w:color="BFBFBF"/>
                  </w:tcBorders>
                </w:tcPr>
                <w:p w14:paraId="5036B1C2" w14:textId="77777777" w:rsidR="00534098" w:rsidRDefault="00534098" w:rsidP="007A39EB">
                  <w:pPr>
                    <w:pStyle w:val="TableBodyText"/>
                    <w:jc w:val="left"/>
                  </w:pPr>
                  <w:r w:rsidRPr="000E1D18">
                    <w:t>Private Households Employing Staff and Undifferentiated Goods</w:t>
                  </w:r>
                  <w:r>
                    <w:noBreakHyphen/>
                  </w:r>
                  <w:r w:rsidRPr="000E1D18">
                    <w:t xml:space="preserve"> and Service</w:t>
                  </w:r>
                  <w:r>
                    <w:noBreakHyphen/>
                  </w:r>
                  <w:r w:rsidRPr="000E1D18">
                    <w:t>Producing Activities of Households for Own Use</w:t>
                  </w:r>
                </w:p>
              </w:tc>
              <w:tc>
                <w:tcPr>
                  <w:tcW w:w="1167" w:type="pct"/>
                  <w:tcBorders>
                    <w:bottom w:val="single" w:sz="4" w:space="0" w:color="BFBFBF"/>
                  </w:tcBorders>
                </w:tcPr>
                <w:p w14:paraId="5D4E3EEF" w14:textId="77777777" w:rsidR="00534098" w:rsidRDefault="00534098" w:rsidP="007A39EB">
                  <w:pPr>
                    <w:pStyle w:val="TableBodyText"/>
                    <w:jc w:val="left"/>
                  </w:pPr>
                  <w:r w:rsidRPr="000E1D18">
                    <w:t>Other Services</w:t>
                  </w:r>
                </w:p>
              </w:tc>
              <w:tc>
                <w:tcPr>
                  <w:tcW w:w="500" w:type="pct"/>
                  <w:tcBorders>
                    <w:bottom w:val="single" w:sz="4" w:space="0" w:color="BFBFBF"/>
                  </w:tcBorders>
                </w:tcPr>
                <w:p w14:paraId="1DD14067" w14:textId="77777777" w:rsidR="00534098" w:rsidRDefault="00534098" w:rsidP="007A39EB">
                  <w:pPr>
                    <w:pStyle w:val="TableBodyText"/>
                  </w:pPr>
                  <w:r w:rsidRPr="00E5068B">
                    <w:t>52</w:t>
                  </w:r>
                </w:p>
              </w:tc>
              <w:tc>
                <w:tcPr>
                  <w:tcW w:w="500" w:type="pct"/>
                  <w:tcBorders>
                    <w:bottom w:val="single" w:sz="4" w:space="0" w:color="BFBFBF"/>
                  </w:tcBorders>
                </w:tcPr>
                <w:p w14:paraId="7FA06045" w14:textId="77777777" w:rsidR="00534098" w:rsidRDefault="00534098" w:rsidP="007A39EB">
                  <w:pPr>
                    <w:pStyle w:val="TableBodyText"/>
                  </w:pPr>
                  <w:r w:rsidRPr="00E5068B">
                    <w:t>85</w:t>
                  </w:r>
                </w:p>
              </w:tc>
              <w:tc>
                <w:tcPr>
                  <w:tcW w:w="501" w:type="pct"/>
                  <w:tcBorders>
                    <w:bottom w:val="single" w:sz="4" w:space="0" w:color="BFBFBF"/>
                  </w:tcBorders>
                </w:tcPr>
                <w:p w14:paraId="469A2164" w14:textId="77777777" w:rsidR="00534098" w:rsidRDefault="00534098" w:rsidP="007A39EB">
                  <w:pPr>
                    <w:pStyle w:val="TableBodyText"/>
                  </w:pPr>
                  <w:r w:rsidRPr="00E5068B">
                    <w:t>16</w:t>
                  </w:r>
                </w:p>
              </w:tc>
              <w:tc>
                <w:tcPr>
                  <w:tcW w:w="499" w:type="pct"/>
                  <w:tcBorders>
                    <w:bottom w:val="single" w:sz="4" w:space="0" w:color="BFBFBF"/>
                  </w:tcBorders>
                </w:tcPr>
                <w:p w14:paraId="21FFC994" w14:textId="77777777" w:rsidR="00534098" w:rsidRDefault="00534098" w:rsidP="007A39EB">
                  <w:pPr>
                    <w:pStyle w:val="TableBodyText"/>
                    <w:ind w:right="28"/>
                  </w:pPr>
                  <w:r w:rsidRPr="00E5068B">
                    <w:t>35</w:t>
                  </w:r>
                </w:p>
              </w:tc>
            </w:tr>
          </w:tbl>
          <w:p w14:paraId="277826A2" w14:textId="77777777" w:rsidR="00534098" w:rsidRDefault="00534098" w:rsidP="007A39EB">
            <w:pPr>
              <w:pStyle w:val="Box"/>
            </w:pPr>
          </w:p>
        </w:tc>
      </w:tr>
      <w:tr w:rsidR="00534098" w14:paraId="63A4FDAD" w14:textId="77777777" w:rsidTr="007A39EB">
        <w:tc>
          <w:tcPr>
            <w:tcW w:w="5000" w:type="pct"/>
            <w:tcBorders>
              <w:top w:val="nil"/>
              <w:left w:val="nil"/>
              <w:bottom w:val="nil"/>
              <w:right w:val="nil"/>
            </w:tcBorders>
            <w:shd w:val="clear" w:color="auto" w:fill="auto"/>
          </w:tcPr>
          <w:p w14:paraId="029D3272" w14:textId="77777777" w:rsidR="00534098" w:rsidRPr="00C82134" w:rsidRDefault="00534098" w:rsidP="007A39EB">
            <w:pPr>
              <w:pStyle w:val="Source"/>
              <w:rPr>
                <w:iCs/>
              </w:rPr>
            </w:pPr>
            <w:r>
              <w:rPr>
                <w:i/>
              </w:rPr>
              <w:t>Source</w:t>
            </w:r>
            <w:r w:rsidRPr="00795D02">
              <w:t>:</w:t>
            </w:r>
            <w:r>
              <w:rPr>
                <w:i/>
              </w:rPr>
              <w:t xml:space="preserve"> </w:t>
            </w:r>
            <w:r>
              <w:rPr>
                <w:iCs/>
              </w:rPr>
              <w:t>ABS (</w:t>
            </w:r>
            <w:r w:rsidRPr="00DE6B81">
              <w:rPr>
                <w:i/>
              </w:rPr>
              <w:t>Labour Force, Australia, Detailed, March 2021</w:t>
            </w:r>
            <w:r>
              <w:rPr>
                <w:iCs/>
              </w:rPr>
              <w:t>, Cat. no. </w:t>
            </w:r>
            <w:r w:rsidRPr="001A5670">
              <w:rPr>
                <w:iCs/>
              </w:rPr>
              <w:t>6291.0.55.001</w:t>
            </w:r>
            <w:r>
              <w:rPr>
                <w:iCs/>
              </w:rPr>
              <w:t>, table 06).</w:t>
            </w:r>
          </w:p>
        </w:tc>
      </w:tr>
      <w:tr w:rsidR="00534098" w14:paraId="0D613D27" w14:textId="77777777" w:rsidTr="007A39EB">
        <w:tc>
          <w:tcPr>
            <w:tcW w:w="5000" w:type="pct"/>
            <w:tcBorders>
              <w:top w:val="nil"/>
              <w:left w:val="nil"/>
              <w:bottom w:val="single" w:sz="6" w:space="0" w:color="78A22F"/>
              <w:right w:val="nil"/>
            </w:tcBorders>
            <w:shd w:val="clear" w:color="auto" w:fill="auto"/>
          </w:tcPr>
          <w:p w14:paraId="4BA4D3E1" w14:textId="77777777" w:rsidR="00534098" w:rsidRDefault="00534098" w:rsidP="007A39EB">
            <w:pPr>
              <w:pStyle w:val="Box"/>
              <w:spacing w:before="0" w:line="120" w:lineRule="exact"/>
            </w:pPr>
          </w:p>
        </w:tc>
      </w:tr>
      <w:tr w:rsidR="00534098" w:rsidRPr="000863A5" w14:paraId="7F227867" w14:textId="77777777" w:rsidTr="007A39EB">
        <w:tc>
          <w:tcPr>
            <w:tcW w:w="5000" w:type="pct"/>
            <w:tcBorders>
              <w:top w:val="single" w:sz="6" w:space="0" w:color="78A22F"/>
              <w:left w:val="nil"/>
              <w:bottom w:val="nil"/>
              <w:right w:val="nil"/>
            </w:tcBorders>
          </w:tcPr>
          <w:p w14:paraId="6673AF8C" w14:textId="119FC912" w:rsidR="00534098" w:rsidRPr="00626D32" w:rsidRDefault="00534098" w:rsidP="007A39EB">
            <w:pPr>
              <w:pStyle w:val="BoxSpaceBelow"/>
            </w:pPr>
          </w:p>
        </w:tc>
      </w:tr>
    </w:tbl>
    <w:p w14:paraId="7B4A5D1B" w14:textId="77777777" w:rsidR="00534098" w:rsidRDefault="00534098" w:rsidP="00534098">
      <w:pPr>
        <w:rPr>
          <w:szCs w:val="20"/>
          <w:shd w:val="clear" w:color="auto" w:fill="FFFFFF"/>
        </w:rPr>
      </w:pPr>
      <w:r>
        <w:rPr>
          <w:shd w:val="clear" w:color="auto" w:fill="FFFFFF"/>
        </w:rPr>
        <w:br w:type="page"/>
      </w:r>
    </w:p>
    <w:p w14:paraId="6EE2D72E" w14:textId="77777777" w:rsidR="00534098" w:rsidRDefault="00534098" w:rsidP="002F2CF6">
      <w:pPr>
        <w:pStyle w:val="Heading2"/>
        <w:ind w:left="0" w:firstLine="0"/>
        <w:rPr>
          <w:shd w:val="clear" w:color="auto" w:fill="FFFFFF"/>
        </w:rPr>
      </w:pPr>
      <w:bookmarkStart w:id="19" w:name="_Toc74138582"/>
      <w:r>
        <w:rPr>
          <w:shd w:val="clear" w:color="auto" w:fill="FFFFFF"/>
        </w:rPr>
        <w:t>Appendix B: calculating the effect of reallocation and within industry growth on aggregate productivity</w:t>
      </w:r>
      <w:bookmarkEnd w:id="19"/>
    </w:p>
    <w:p w14:paraId="0F660204" w14:textId="77777777" w:rsidR="00534098" w:rsidRDefault="00534098" w:rsidP="00534098">
      <w:pPr>
        <w:pStyle w:val="BodyText"/>
        <w:rPr>
          <w:shd w:val="clear" w:color="auto" w:fill="FFFFFF"/>
        </w:rPr>
      </w:pPr>
      <w:r>
        <w:rPr>
          <w:shd w:val="clear" w:color="auto" w:fill="FFFFFF"/>
        </w:rPr>
        <w:t>Discussed in the section 2 is an estimate of the industry contributions to market sector labour productivity growth under an alternative decomposition framework presented by the ABS.</w:t>
      </w:r>
    </w:p>
    <w:p w14:paraId="57680222" w14:textId="4E30D5A6" w:rsidR="00534098" w:rsidRDefault="00534098" w:rsidP="00534098">
      <w:pPr>
        <w:pStyle w:val="BodyText"/>
        <w:rPr>
          <w:shd w:val="clear" w:color="auto" w:fill="FFFFFF"/>
        </w:rPr>
      </w:pPr>
      <w:r>
        <w:rPr>
          <w:shd w:val="clear" w:color="auto" w:fill="FFFFFF"/>
        </w:rPr>
        <w:t>The framework explains aggregate labour productivity growth in terms of the direct (within industry) effect and the reallocation (between industry) effects. The components are derived using industry productivity measures weighted by the relative industry shares and summed across all industries. This approach is considered a ‘bottom</w:t>
      </w:r>
      <w:r>
        <w:rPr>
          <w:shd w:val="clear" w:color="auto" w:fill="FFFFFF"/>
        </w:rPr>
        <w:noBreakHyphen/>
        <w:t>up’ approach and traces the aggregate productivity performance to its industry origins</w:t>
      </w:r>
      <w:r w:rsidR="00821945">
        <w:rPr>
          <w:shd w:val="clear" w:color="auto" w:fill="FFFFFF"/>
        </w:rPr>
        <w:t xml:space="preserve"> </w:t>
      </w:r>
      <w:r w:rsidR="00821945" w:rsidRPr="00614794">
        <w:t>(ABS 2015)</w:t>
      </w:r>
      <w:r w:rsidRPr="00614794">
        <w:t>.</w:t>
      </w:r>
    </w:p>
    <w:p w14:paraId="4C26B269" w14:textId="77777777" w:rsidR="00534098" w:rsidRDefault="00534098" w:rsidP="00534098">
      <w:pPr>
        <w:pStyle w:val="BodyText"/>
        <w:rPr>
          <w:shd w:val="clear" w:color="auto" w:fill="FFFFFF"/>
        </w:rPr>
      </w:pPr>
      <w:r>
        <w:rPr>
          <w:shd w:val="clear" w:color="auto" w:fill="FFFFFF"/>
        </w:rPr>
        <w:t xml:space="preserve">Formally the decomposition used in this paper is defined by equation 1: </w:t>
      </w:r>
    </w:p>
    <w:p w14:paraId="03973ABE" w14:textId="77777777" w:rsidR="00534098" w:rsidRPr="003472EA" w:rsidRDefault="007D24C8" w:rsidP="002F2CF6">
      <w:pPr>
        <w:pStyle w:val="BodyText"/>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AL</m:t>
                      </m:r>
                      <m:sSub>
                        <m:sSubPr>
                          <m:ctrlPr>
                            <w:rPr>
                              <w:rFonts w:ascii="Cambria Math" w:hAnsi="Cambria Math"/>
                              <w:i/>
                            </w:rPr>
                          </m:ctrlPr>
                        </m:sSubPr>
                        <m:e>
                          <m:r>
                            <w:rPr>
                              <w:rFonts w:ascii="Cambria Math" w:hAnsi="Cambria Math"/>
                            </w:rPr>
                            <m:t>P</m:t>
                          </m:r>
                        </m:e>
                        <m:sub>
                          <m:r>
                            <w:rPr>
                              <w:rFonts w:ascii="Cambria Math" w:hAnsi="Cambria Math"/>
                            </w:rPr>
                            <m:t>T</m:t>
                          </m:r>
                        </m:sub>
                      </m:sSub>
                    </m:num>
                    <m:den>
                      <m:r>
                        <w:rPr>
                          <w:rFonts w:ascii="Cambria Math" w:hAnsi="Cambria Math"/>
                        </w:rPr>
                        <m:t>AL</m:t>
                      </m:r>
                      <m:sSub>
                        <m:sSubPr>
                          <m:ctrlPr>
                            <w:rPr>
                              <w:rFonts w:ascii="Cambria Math" w:hAnsi="Cambria Math"/>
                              <w:i/>
                            </w:rPr>
                          </m:ctrlPr>
                        </m:sSubPr>
                        <m:e>
                          <m:r>
                            <w:rPr>
                              <w:rFonts w:ascii="Cambria Math" w:hAnsi="Cambria Math"/>
                            </w:rPr>
                            <m:t>P</m:t>
                          </m:r>
                        </m:e>
                        <m:sub>
                          <m:r>
                            <w:rPr>
                              <w:rFonts w:ascii="Cambria Math" w:hAnsi="Cambria Math"/>
                            </w:rPr>
                            <m:t>t-1</m:t>
                          </m:r>
                        </m:sub>
                      </m:sSub>
                    </m:den>
                  </m:f>
                </m:e>
              </m:d>
            </m:e>
          </m:fun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i,t</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L</m:t>
                          </m:r>
                          <m:sSubSup>
                            <m:sSubSupPr>
                              <m:ctrlPr>
                                <w:rPr>
                                  <w:rFonts w:ascii="Cambria Math" w:hAnsi="Cambria Math"/>
                                  <w:i/>
                                </w:rPr>
                              </m:ctrlPr>
                            </m:sSubSupPr>
                            <m:e>
                              <m:r>
                                <w:rPr>
                                  <w:rFonts w:ascii="Cambria Math" w:hAnsi="Cambria Math"/>
                                </w:rPr>
                                <m:t>P</m:t>
                              </m:r>
                            </m:e>
                            <m:sub>
                              <m:r>
                                <w:rPr>
                                  <w:rFonts w:ascii="Cambria Math" w:hAnsi="Cambria Math"/>
                                </w:rPr>
                                <m:t>i,t</m:t>
                              </m:r>
                            </m:sub>
                            <m:sup>
                              <m:r>
                                <w:rPr>
                                  <w:rFonts w:ascii="Cambria Math" w:hAnsi="Cambria Math"/>
                                </w:rPr>
                                <m:t>v</m:t>
                              </m:r>
                            </m:sup>
                          </m:sSubSup>
                        </m:num>
                        <m:den>
                          <m:r>
                            <w:rPr>
                              <w:rFonts w:ascii="Cambria Math" w:hAnsi="Cambria Math"/>
                            </w:rPr>
                            <m:t>L</m:t>
                          </m:r>
                          <m:sSubSup>
                            <m:sSubSupPr>
                              <m:ctrlPr>
                                <w:rPr>
                                  <w:rFonts w:ascii="Cambria Math" w:hAnsi="Cambria Math"/>
                                  <w:i/>
                                </w:rPr>
                              </m:ctrlPr>
                            </m:sSubSupPr>
                            <m:e>
                              <m:r>
                                <w:rPr>
                                  <w:rFonts w:ascii="Cambria Math" w:hAnsi="Cambria Math"/>
                                </w:rPr>
                                <m:t>P</m:t>
                              </m:r>
                            </m:e>
                            <m:sub>
                              <m:r>
                                <w:rPr>
                                  <w:rFonts w:ascii="Cambria Math" w:hAnsi="Cambria Math"/>
                                </w:rPr>
                                <m:t>i,t-1</m:t>
                              </m:r>
                            </m:sub>
                            <m:sup>
                              <m:r>
                                <w:rPr>
                                  <w:rFonts w:ascii="Cambria Math" w:hAnsi="Cambria Math"/>
                                </w:rPr>
                                <m:t>v</m:t>
                              </m:r>
                            </m:sup>
                          </m:sSubSup>
                        </m:den>
                      </m:f>
                    </m:e>
                  </m:d>
                </m:e>
              </m:func>
              <m:r>
                <w:rPr>
                  <w:rFonts w:ascii="Cambria Math" w:hAnsi="Cambria Math"/>
                </w:rPr>
                <m:t>+</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i,t</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 t</m:t>
                                      </m:r>
                                    </m:sub>
                                  </m:sSub>
                                </m:num>
                                <m:den>
                                  <m:sSub>
                                    <m:sSubPr>
                                      <m:ctrlPr>
                                        <w:rPr>
                                          <w:rFonts w:ascii="Cambria Math" w:hAnsi="Cambria Math"/>
                                          <w:i/>
                                        </w:rPr>
                                      </m:ctrlPr>
                                    </m:sSubPr>
                                    <m:e>
                                      <m:r>
                                        <w:rPr>
                                          <w:rFonts w:ascii="Cambria Math" w:hAnsi="Cambria Math"/>
                                        </w:rPr>
                                        <m:t>H</m:t>
                                      </m:r>
                                    </m:e>
                                    <m:sub>
                                      <m:r>
                                        <w:rPr>
                                          <w:rFonts w:ascii="Cambria Math" w:hAnsi="Cambria Math"/>
                                        </w:rPr>
                                        <m:t>i, t-1</m:t>
                                      </m:r>
                                    </m:sub>
                                  </m:sSub>
                                </m:den>
                              </m:f>
                            </m:e>
                          </m:d>
                        </m:e>
                      </m:func>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h</m:t>
                          </m:r>
                        </m:e>
                        <m:sub>
                          <m:r>
                            <w:rPr>
                              <w:rFonts w:ascii="Cambria Math" w:hAnsi="Cambria Math"/>
                            </w:rPr>
                            <m:t>i,t</m:t>
                          </m:r>
                        </m:sub>
                      </m:sSub>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 t</m:t>
                                      </m:r>
                                    </m:sub>
                                  </m:sSub>
                                </m:num>
                                <m:den>
                                  <m:sSub>
                                    <m:sSubPr>
                                      <m:ctrlPr>
                                        <w:rPr>
                                          <w:rFonts w:ascii="Cambria Math" w:hAnsi="Cambria Math"/>
                                          <w:i/>
                                        </w:rPr>
                                      </m:ctrlPr>
                                    </m:sSubPr>
                                    <m:e>
                                      <m:r>
                                        <w:rPr>
                                          <w:rFonts w:ascii="Cambria Math" w:hAnsi="Cambria Math"/>
                                        </w:rPr>
                                        <m:t>H</m:t>
                                      </m:r>
                                    </m:e>
                                    <m:sub>
                                      <m:r>
                                        <w:rPr>
                                          <w:rFonts w:ascii="Cambria Math" w:hAnsi="Cambria Math"/>
                                        </w:rPr>
                                        <m:t>i, t-1</m:t>
                                      </m:r>
                                    </m:sub>
                                  </m:sSub>
                                </m:den>
                              </m:f>
                            </m:e>
                          </m:d>
                        </m:e>
                      </m:func>
                    </m:e>
                  </m:nary>
                </m:e>
              </m:d>
            </m:e>
          </m:nary>
          <m:r>
            <w:rPr>
              <w:rFonts w:ascii="Cambria Math" w:hAnsi="Cambria Math"/>
            </w:rPr>
            <m:t xml:space="preserve"> (1) </m:t>
          </m:r>
        </m:oMath>
      </m:oMathPara>
    </w:p>
    <w:p w14:paraId="5BB54145" w14:textId="77777777" w:rsidR="00534098" w:rsidRDefault="00534098" w:rsidP="002F2CF6">
      <w:pPr>
        <w:pStyle w:val="BodyText"/>
      </w:pPr>
      <w:r>
        <w:t>Where:</w:t>
      </w:r>
    </w:p>
    <w:p w14:paraId="5395E163" w14:textId="77777777" w:rsidR="00534098" w:rsidRDefault="00534098" w:rsidP="002F2CF6">
      <w:pPr>
        <w:pStyle w:val="BodyText"/>
      </w:pPr>
      <w:r>
        <w:t xml:space="preserve">ALP is the aggregate labour productivity (aggregate value added per hour); </w:t>
      </w:r>
    </w:p>
    <w:p w14:paraId="37F46D54" w14:textId="77777777" w:rsidR="00534098" w:rsidRDefault="00534098" w:rsidP="002F2CF6">
      <w:pPr>
        <w:pStyle w:val="BodyText"/>
      </w:pPr>
      <m:oMath>
        <m:r>
          <w:rPr>
            <w:rFonts w:ascii="Cambria Math" w:hAnsi="Cambria Math"/>
          </w:rPr>
          <m:t>L</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v</m:t>
            </m:r>
          </m:sup>
        </m:sSubSup>
        <m:r>
          <w:rPr>
            <w:rFonts w:ascii="Cambria Math" w:hAnsi="Cambria Math"/>
          </w:rPr>
          <m:t xml:space="preserve"> </m:t>
        </m:r>
      </m:oMath>
      <w:r>
        <w:t>is the value</w:t>
      </w:r>
      <w:r>
        <w:noBreakHyphen/>
        <w:t xml:space="preserve">added labour productivity for industry i; </w:t>
      </w:r>
    </w:p>
    <w:p w14:paraId="37130B9A" w14:textId="77777777" w:rsidR="00534098" w:rsidRDefault="007D24C8" w:rsidP="002F2CF6">
      <w:pPr>
        <w:pStyle w:val="BodyText"/>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m:t>
        </m:r>
      </m:oMath>
      <w:r w:rsidR="00534098">
        <w:t xml:space="preserve">is the two period average of industry i’s share in aggregate value added; </w:t>
      </w:r>
    </w:p>
    <w:p w14:paraId="70B0F5D9" w14:textId="77777777" w:rsidR="00534098" w:rsidRDefault="007D24C8" w:rsidP="002F2CF6">
      <w:pPr>
        <w:pStyle w:val="BodyText"/>
      </w:pP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00534098">
        <w:t xml:space="preserve"> is the industry i’s share in aggregate hours in period t</w:t>
      </w:r>
      <w:r w:rsidR="00534098">
        <w:noBreakHyphen/>
        <w:t>1; and</w:t>
      </w:r>
    </w:p>
    <w:p w14:paraId="4FD47D0B" w14:textId="77777777" w:rsidR="00534098" w:rsidRDefault="00534098" w:rsidP="002F2CF6">
      <w:pPr>
        <w:pStyle w:val="BodyText"/>
      </w:pPr>
      <w:r>
        <w:t xml:space="preserve">H is hours worked. </w:t>
      </w:r>
    </w:p>
    <w:p w14:paraId="25CDE88A" w14:textId="77777777" w:rsidR="00534098" w:rsidRDefault="00534098" w:rsidP="00534098">
      <w:pPr>
        <w:pStyle w:val="BodyText"/>
      </w:pPr>
      <w:r>
        <w:t>The first term in equation 1 is a ‘direct productivity effect’, which is equal to the weighted sum of industry value added productivity growth rates, with the industry shares in total value added as weights. This term captures the impact of productivity growth in each industry. As industry labour productivity rises, the aggregate labour productivity also improves in proportion to industries’ share in value added.</w:t>
      </w:r>
    </w:p>
    <w:p w14:paraId="675EABEE" w14:textId="77777777" w:rsidR="00534098" w:rsidRPr="009F3FB7" w:rsidRDefault="00534098" w:rsidP="00534098">
      <w:pPr>
        <w:pStyle w:val="BodyText"/>
        <w:rPr>
          <w:spacing w:val="-4"/>
        </w:rPr>
      </w:pPr>
      <w:r w:rsidRPr="009F3FB7">
        <w:rPr>
          <w:spacing w:val="-4"/>
        </w:rPr>
        <w:t>The second term in equation 1 is a ‘labour reallocation effect’ that captures the impact on aggregate output of the shift of labour between low</w:t>
      </w:r>
      <w:r w:rsidRPr="009F3FB7">
        <w:rPr>
          <w:spacing w:val="-4"/>
        </w:rPr>
        <w:noBreakHyphen/>
        <w:t>productivity</w:t>
      </w:r>
      <w:r w:rsidRPr="009F3FB7">
        <w:rPr>
          <w:spacing w:val="-4"/>
        </w:rPr>
        <w:noBreakHyphen/>
        <w:t>level industries and high</w:t>
      </w:r>
      <w:r w:rsidRPr="009F3FB7">
        <w:rPr>
          <w:spacing w:val="-4"/>
        </w:rPr>
        <w:noBreakHyphen/>
        <w:t>productivity</w:t>
      </w:r>
      <w:r w:rsidRPr="009F3FB7">
        <w:rPr>
          <w:spacing w:val="-4"/>
        </w:rPr>
        <w:noBreakHyphen/>
        <w:t>level industries. Aggregate productivity growth depends not only on the rates of productivity within industries but also on changes in the composition of industries. Faster employment growth in high</w:t>
      </w:r>
      <w:r w:rsidRPr="009F3FB7">
        <w:rPr>
          <w:spacing w:val="-4"/>
        </w:rPr>
        <w:noBreakHyphen/>
        <w:t>productivity</w:t>
      </w:r>
      <w:r w:rsidRPr="009F3FB7">
        <w:rPr>
          <w:spacing w:val="-4"/>
        </w:rPr>
        <w:noBreakHyphen/>
        <w:t xml:space="preserve">level industries contributes to improvements in the aggregate labour productivity growth by increasing the size of aggregate output given the same quantity of hours worked. </w:t>
      </w:r>
    </w:p>
    <w:p w14:paraId="6838EAC8" w14:textId="77777777" w:rsidR="002F2CF6" w:rsidRPr="005A7BE4" w:rsidRDefault="002F2CF6" w:rsidP="002F2CF6">
      <w:pPr>
        <w:pStyle w:val="BodyText"/>
      </w:pPr>
      <w:r w:rsidRPr="005A7BE4">
        <w:br w:type="page"/>
      </w:r>
    </w:p>
    <w:p w14:paraId="376C6440" w14:textId="75A4AAE0" w:rsidR="00873FD6" w:rsidRDefault="00873FD6" w:rsidP="00663429">
      <w:pPr>
        <w:pStyle w:val="Heading2"/>
        <w:spacing w:after="360"/>
      </w:pPr>
      <w:bookmarkStart w:id="20" w:name="_Toc74138583"/>
      <w:r>
        <w:t>Abbreviations</w:t>
      </w:r>
      <w:bookmarkEnd w:id="20"/>
    </w:p>
    <w:tbl>
      <w:tblPr>
        <w:tblW w:w="5000" w:type="pct"/>
        <w:tblLayout w:type="fixed"/>
        <w:tblLook w:val="0000" w:firstRow="0" w:lastRow="0" w:firstColumn="0" w:lastColumn="0" w:noHBand="0" w:noVBand="0"/>
      </w:tblPr>
      <w:tblGrid>
        <w:gridCol w:w="1953"/>
        <w:gridCol w:w="6835"/>
      </w:tblGrid>
      <w:tr w:rsidR="002E440F" w14:paraId="5C0A063D" w14:textId="77777777" w:rsidTr="002E440F">
        <w:tc>
          <w:tcPr>
            <w:tcW w:w="1953" w:type="dxa"/>
          </w:tcPr>
          <w:p w14:paraId="399862FD" w14:textId="77777777" w:rsidR="002E440F" w:rsidRDefault="002E440F" w:rsidP="00663429">
            <w:pPr>
              <w:pStyle w:val="BodyText"/>
              <w:spacing w:before="120"/>
              <w:ind w:left="-57" w:right="6"/>
            </w:pPr>
            <w:r>
              <w:t>ABN</w:t>
            </w:r>
          </w:p>
        </w:tc>
        <w:tc>
          <w:tcPr>
            <w:tcW w:w="6835" w:type="dxa"/>
          </w:tcPr>
          <w:p w14:paraId="261A5A61" w14:textId="77777777" w:rsidR="002E440F" w:rsidRDefault="002E440F" w:rsidP="00663429">
            <w:pPr>
              <w:pStyle w:val="BodyText"/>
              <w:spacing w:before="120"/>
              <w:ind w:left="-57" w:right="6"/>
            </w:pPr>
            <w:r>
              <w:t>Australian Business number</w:t>
            </w:r>
          </w:p>
        </w:tc>
      </w:tr>
      <w:tr w:rsidR="002E440F" w14:paraId="454D3CD8" w14:textId="77777777" w:rsidTr="002E440F">
        <w:tc>
          <w:tcPr>
            <w:tcW w:w="1953" w:type="dxa"/>
          </w:tcPr>
          <w:p w14:paraId="079E4B8C" w14:textId="77777777" w:rsidR="002E440F" w:rsidRDefault="002E440F" w:rsidP="00663429">
            <w:pPr>
              <w:pStyle w:val="BodyText"/>
              <w:spacing w:before="120"/>
              <w:ind w:left="-57" w:right="6"/>
            </w:pPr>
            <w:r>
              <w:t>ABS</w:t>
            </w:r>
          </w:p>
        </w:tc>
        <w:tc>
          <w:tcPr>
            <w:tcW w:w="6835" w:type="dxa"/>
          </w:tcPr>
          <w:p w14:paraId="5EC4F739" w14:textId="77777777" w:rsidR="002E440F" w:rsidRDefault="002E440F" w:rsidP="00663429">
            <w:pPr>
              <w:pStyle w:val="BodyText"/>
              <w:spacing w:before="120"/>
              <w:ind w:left="-57" w:right="6"/>
            </w:pPr>
            <w:r>
              <w:t>Australian Bureau of Statistics</w:t>
            </w:r>
          </w:p>
        </w:tc>
      </w:tr>
      <w:tr w:rsidR="002E440F" w14:paraId="0B46B89F" w14:textId="77777777" w:rsidTr="002E440F">
        <w:tc>
          <w:tcPr>
            <w:tcW w:w="1953" w:type="dxa"/>
          </w:tcPr>
          <w:p w14:paraId="3F23FCF7" w14:textId="77777777" w:rsidR="002E440F" w:rsidRDefault="002E440F" w:rsidP="00663429">
            <w:pPr>
              <w:pStyle w:val="BodyText"/>
              <w:spacing w:before="120"/>
              <w:ind w:left="-57" w:right="6"/>
            </w:pPr>
            <w:r>
              <w:t>ALP</w:t>
            </w:r>
          </w:p>
        </w:tc>
        <w:tc>
          <w:tcPr>
            <w:tcW w:w="6835" w:type="dxa"/>
          </w:tcPr>
          <w:p w14:paraId="62AC690B" w14:textId="77777777" w:rsidR="002E440F" w:rsidRDefault="002E440F" w:rsidP="00663429">
            <w:pPr>
              <w:pStyle w:val="BodyText"/>
              <w:spacing w:before="120"/>
              <w:ind w:left="-57" w:right="6"/>
            </w:pPr>
            <w:r>
              <w:t>A</w:t>
            </w:r>
            <w:r w:rsidRPr="00311DED">
              <w:t>ggregate labour productivity</w:t>
            </w:r>
          </w:p>
        </w:tc>
      </w:tr>
      <w:tr w:rsidR="002E440F" w14:paraId="0A6A5950" w14:textId="77777777" w:rsidTr="002E440F">
        <w:tc>
          <w:tcPr>
            <w:tcW w:w="1953" w:type="dxa"/>
          </w:tcPr>
          <w:p w14:paraId="33255546" w14:textId="77777777" w:rsidR="002E440F" w:rsidRDefault="002E440F" w:rsidP="00663429">
            <w:pPr>
              <w:pStyle w:val="BodyText"/>
              <w:spacing w:before="120"/>
              <w:ind w:left="-57" w:right="6"/>
            </w:pPr>
            <w:r>
              <w:t>ANZSIC</w:t>
            </w:r>
          </w:p>
        </w:tc>
        <w:tc>
          <w:tcPr>
            <w:tcW w:w="6835" w:type="dxa"/>
          </w:tcPr>
          <w:p w14:paraId="3A452A08" w14:textId="77777777" w:rsidR="002E440F" w:rsidRDefault="002E440F" w:rsidP="00663429">
            <w:pPr>
              <w:pStyle w:val="BodyText"/>
              <w:spacing w:before="120"/>
              <w:ind w:left="-57" w:right="6"/>
            </w:pPr>
            <w:r w:rsidRPr="004552E2">
              <w:t xml:space="preserve">Australian and New Zealand </w:t>
            </w:r>
            <w:r>
              <w:t>s</w:t>
            </w:r>
            <w:r w:rsidRPr="004552E2">
              <w:t xml:space="preserve">tandard </w:t>
            </w:r>
            <w:r>
              <w:t>I</w:t>
            </w:r>
            <w:r w:rsidRPr="004552E2">
              <w:t xml:space="preserve">ndustrial </w:t>
            </w:r>
            <w:r>
              <w:t>c</w:t>
            </w:r>
            <w:r w:rsidRPr="004552E2">
              <w:t>lassification</w:t>
            </w:r>
          </w:p>
        </w:tc>
      </w:tr>
      <w:tr w:rsidR="002E440F" w14:paraId="443B29EC" w14:textId="77777777" w:rsidTr="002E440F">
        <w:tc>
          <w:tcPr>
            <w:tcW w:w="1953" w:type="dxa"/>
          </w:tcPr>
          <w:p w14:paraId="2CF114D3" w14:textId="77777777" w:rsidR="002E440F" w:rsidRDefault="002E440F" w:rsidP="00663429">
            <w:pPr>
              <w:pStyle w:val="BodyText"/>
              <w:spacing w:before="120"/>
              <w:ind w:left="-57" w:right="6"/>
            </w:pPr>
            <w:r>
              <w:t>ASIC</w:t>
            </w:r>
          </w:p>
        </w:tc>
        <w:tc>
          <w:tcPr>
            <w:tcW w:w="6835" w:type="dxa"/>
          </w:tcPr>
          <w:p w14:paraId="37B8B66C" w14:textId="77777777" w:rsidR="002E440F" w:rsidRDefault="002E440F" w:rsidP="00663429">
            <w:pPr>
              <w:pStyle w:val="BodyText"/>
              <w:spacing w:before="120"/>
              <w:ind w:left="-57" w:right="6"/>
            </w:pPr>
            <w:r w:rsidRPr="00C93941">
              <w:t>Australian Securities and Investments Commission</w:t>
            </w:r>
          </w:p>
        </w:tc>
      </w:tr>
      <w:tr w:rsidR="002E440F" w14:paraId="77D8BEAC" w14:textId="77777777" w:rsidTr="002E440F">
        <w:tc>
          <w:tcPr>
            <w:tcW w:w="1953" w:type="dxa"/>
          </w:tcPr>
          <w:p w14:paraId="2CC410A9" w14:textId="77777777" w:rsidR="002E440F" w:rsidRDefault="002E440F" w:rsidP="00663429">
            <w:pPr>
              <w:pStyle w:val="BodyText"/>
              <w:spacing w:before="120"/>
              <w:ind w:left="-57" w:right="6"/>
            </w:pPr>
            <w:r>
              <w:t>ATO</w:t>
            </w:r>
          </w:p>
        </w:tc>
        <w:tc>
          <w:tcPr>
            <w:tcW w:w="6835" w:type="dxa"/>
          </w:tcPr>
          <w:p w14:paraId="78BFF9A2" w14:textId="77777777" w:rsidR="002E440F" w:rsidRDefault="002E440F" w:rsidP="00663429">
            <w:pPr>
              <w:pStyle w:val="BodyText"/>
              <w:spacing w:before="120"/>
              <w:ind w:left="-57" w:right="6"/>
            </w:pPr>
            <w:r w:rsidRPr="007B17A4">
              <w:t>Australian Taxation Office</w:t>
            </w:r>
          </w:p>
        </w:tc>
      </w:tr>
      <w:tr w:rsidR="002E440F" w14:paraId="77DC829F" w14:textId="77777777" w:rsidTr="002E440F">
        <w:tc>
          <w:tcPr>
            <w:tcW w:w="1953" w:type="dxa"/>
          </w:tcPr>
          <w:p w14:paraId="5117D261" w14:textId="77777777" w:rsidR="002E440F" w:rsidRDefault="002E440F" w:rsidP="00663429">
            <w:pPr>
              <w:pStyle w:val="BodyText"/>
              <w:spacing w:before="120"/>
              <w:ind w:left="-57" w:right="6"/>
            </w:pPr>
            <w:r>
              <w:t>COVID</w:t>
            </w:r>
          </w:p>
        </w:tc>
        <w:tc>
          <w:tcPr>
            <w:tcW w:w="6835" w:type="dxa"/>
          </w:tcPr>
          <w:p w14:paraId="19EEC3DC" w14:textId="77777777" w:rsidR="002E440F" w:rsidRDefault="002E440F" w:rsidP="00663429">
            <w:pPr>
              <w:pStyle w:val="BodyText"/>
              <w:spacing w:before="120"/>
              <w:ind w:left="-57" w:right="6"/>
            </w:pPr>
            <w:r w:rsidRPr="008B54E8">
              <w:t>Coronavirus</w:t>
            </w:r>
          </w:p>
        </w:tc>
      </w:tr>
      <w:tr w:rsidR="002E440F" w14:paraId="3F554812" w14:textId="77777777" w:rsidTr="002E440F">
        <w:tc>
          <w:tcPr>
            <w:tcW w:w="1953" w:type="dxa"/>
          </w:tcPr>
          <w:p w14:paraId="618BF456" w14:textId="77777777" w:rsidR="002E440F" w:rsidRDefault="002E440F" w:rsidP="00663429">
            <w:pPr>
              <w:pStyle w:val="BodyText"/>
              <w:spacing w:before="120"/>
              <w:ind w:left="-57" w:right="6"/>
            </w:pPr>
            <w:r>
              <w:t>CPI</w:t>
            </w:r>
          </w:p>
        </w:tc>
        <w:tc>
          <w:tcPr>
            <w:tcW w:w="6835" w:type="dxa"/>
          </w:tcPr>
          <w:p w14:paraId="51297AB5" w14:textId="77777777" w:rsidR="002E440F" w:rsidRDefault="002E440F" w:rsidP="00663429">
            <w:pPr>
              <w:pStyle w:val="BodyText"/>
              <w:spacing w:before="120"/>
              <w:ind w:left="-57" w:right="6"/>
            </w:pPr>
            <w:r>
              <w:t>Consumer price index</w:t>
            </w:r>
          </w:p>
        </w:tc>
      </w:tr>
      <w:tr w:rsidR="002E440F" w14:paraId="092BBC0B" w14:textId="77777777" w:rsidTr="002E440F">
        <w:tc>
          <w:tcPr>
            <w:tcW w:w="1953" w:type="dxa"/>
          </w:tcPr>
          <w:p w14:paraId="45BABDF8" w14:textId="77777777" w:rsidR="002E440F" w:rsidRDefault="002E440F" w:rsidP="00663429">
            <w:pPr>
              <w:pStyle w:val="BodyText"/>
              <w:spacing w:before="120"/>
              <w:ind w:left="-57" w:right="6"/>
            </w:pPr>
            <w:r>
              <w:t>GDI</w:t>
            </w:r>
          </w:p>
        </w:tc>
        <w:tc>
          <w:tcPr>
            <w:tcW w:w="6835" w:type="dxa"/>
          </w:tcPr>
          <w:p w14:paraId="2816AE5C" w14:textId="77777777" w:rsidR="002E440F" w:rsidRDefault="002E440F" w:rsidP="00663429">
            <w:pPr>
              <w:pStyle w:val="BodyText"/>
              <w:spacing w:before="120"/>
              <w:ind w:left="-57" w:right="6"/>
            </w:pPr>
            <w:r>
              <w:t>Gross domestic income</w:t>
            </w:r>
          </w:p>
        </w:tc>
      </w:tr>
      <w:tr w:rsidR="002E440F" w14:paraId="75BBA2E7" w14:textId="77777777" w:rsidTr="002E440F">
        <w:tc>
          <w:tcPr>
            <w:tcW w:w="1953" w:type="dxa"/>
          </w:tcPr>
          <w:p w14:paraId="6DD9A372" w14:textId="77777777" w:rsidR="002E440F" w:rsidRDefault="002E440F" w:rsidP="00663429">
            <w:pPr>
              <w:pStyle w:val="BodyText"/>
              <w:spacing w:before="120"/>
              <w:ind w:left="-57" w:right="6"/>
            </w:pPr>
            <w:r>
              <w:t>GDP</w:t>
            </w:r>
          </w:p>
        </w:tc>
        <w:tc>
          <w:tcPr>
            <w:tcW w:w="6835" w:type="dxa"/>
          </w:tcPr>
          <w:p w14:paraId="5160481F" w14:textId="77777777" w:rsidR="002E440F" w:rsidRDefault="002E440F" w:rsidP="00663429">
            <w:pPr>
              <w:pStyle w:val="BodyText"/>
              <w:spacing w:before="120"/>
              <w:ind w:left="-57" w:right="6"/>
            </w:pPr>
            <w:r>
              <w:t>Gross domestic product</w:t>
            </w:r>
          </w:p>
        </w:tc>
      </w:tr>
      <w:tr w:rsidR="002E440F" w14:paraId="7726037E" w14:textId="77777777" w:rsidTr="002E440F">
        <w:tc>
          <w:tcPr>
            <w:tcW w:w="1953" w:type="dxa"/>
          </w:tcPr>
          <w:p w14:paraId="3A65695C" w14:textId="77777777" w:rsidR="002E440F" w:rsidRDefault="002E440F" w:rsidP="00663429">
            <w:pPr>
              <w:pStyle w:val="BodyText"/>
              <w:spacing w:before="120"/>
              <w:ind w:left="-57" w:right="6"/>
            </w:pPr>
            <w:r>
              <w:t>GNI</w:t>
            </w:r>
          </w:p>
        </w:tc>
        <w:tc>
          <w:tcPr>
            <w:tcW w:w="6835" w:type="dxa"/>
          </w:tcPr>
          <w:p w14:paraId="5F87C88F" w14:textId="77777777" w:rsidR="002E440F" w:rsidRDefault="002E440F" w:rsidP="00663429">
            <w:pPr>
              <w:pStyle w:val="BodyText"/>
              <w:spacing w:before="120"/>
              <w:ind w:left="-57" w:right="6"/>
            </w:pPr>
            <w:r>
              <w:t>Gross national income</w:t>
            </w:r>
          </w:p>
        </w:tc>
      </w:tr>
      <w:tr w:rsidR="002E440F" w14:paraId="4C27FFBE" w14:textId="77777777" w:rsidTr="002E440F">
        <w:tc>
          <w:tcPr>
            <w:tcW w:w="1953" w:type="dxa"/>
          </w:tcPr>
          <w:p w14:paraId="0860E80C" w14:textId="77777777" w:rsidR="002E440F" w:rsidRDefault="002E440F" w:rsidP="00663429">
            <w:pPr>
              <w:pStyle w:val="BodyText"/>
              <w:spacing w:before="120"/>
              <w:ind w:left="-57" w:right="6"/>
            </w:pPr>
            <w:r>
              <w:t>GST</w:t>
            </w:r>
          </w:p>
        </w:tc>
        <w:tc>
          <w:tcPr>
            <w:tcW w:w="6835" w:type="dxa"/>
          </w:tcPr>
          <w:p w14:paraId="08B2BDCC" w14:textId="77777777" w:rsidR="002E440F" w:rsidRDefault="002E440F" w:rsidP="00663429">
            <w:pPr>
              <w:pStyle w:val="BodyText"/>
              <w:spacing w:before="120"/>
              <w:ind w:left="-57" w:right="6"/>
            </w:pPr>
            <w:r>
              <w:t>G</w:t>
            </w:r>
            <w:r w:rsidRPr="007E1DF7">
              <w:t>oods and services tax</w:t>
            </w:r>
          </w:p>
        </w:tc>
      </w:tr>
      <w:tr w:rsidR="002E440F" w14:paraId="263FD2F7" w14:textId="77777777" w:rsidTr="002E440F">
        <w:tc>
          <w:tcPr>
            <w:tcW w:w="1953" w:type="dxa"/>
          </w:tcPr>
          <w:p w14:paraId="358B048D" w14:textId="77777777" w:rsidR="002E440F" w:rsidRDefault="002E440F" w:rsidP="00663429">
            <w:pPr>
              <w:pStyle w:val="BodyText"/>
              <w:spacing w:before="120"/>
              <w:ind w:left="-57" w:right="6"/>
            </w:pPr>
            <w:r>
              <w:t>GVA</w:t>
            </w:r>
          </w:p>
        </w:tc>
        <w:tc>
          <w:tcPr>
            <w:tcW w:w="6835" w:type="dxa"/>
          </w:tcPr>
          <w:p w14:paraId="313A579C" w14:textId="77777777" w:rsidR="002E440F" w:rsidRDefault="002E440F" w:rsidP="00663429">
            <w:pPr>
              <w:pStyle w:val="BodyText"/>
              <w:spacing w:before="120"/>
              <w:ind w:left="-57" w:right="6"/>
            </w:pPr>
            <w:r>
              <w:t>Gross value added</w:t>
            </w:r>
          </w:p>
        </w:tc>
      </w:tr>
      <w:tr w:rsidR="002E440F" w14:paraId="23111857" w14:textId="77777777" w:rsidTr="002E440F">
        <w:tc>
          <w:tcPr>
            <w:tcW w:w="1953" w:type="dxa"/>
          </w:tcPr>
          <w:p w14:paraId="798D18A8" w14:textId="77777777" w:rsidR="002E440F" w:rsidRDefault="002E440F" w:rsidP="00663429">
            <w:pPr>
              <w:pStyle w:val="BodyText"/>
              <w:spacing w:before="120"/>
              <w:ind w:left="-57" w:right="6"/>
            </w:pPr>
            <w:r>
              <w:t>HILDA</w:t>
            </w:r>
          </w:p>
        </w:tc>
        <w:tc>
          <w:tcPr>
            <w:tcW w:w="6835" w:type="dxa"/>
          </w:tcPr>
          <w:p w14:paraId="34F7D773" w14:textId="77777777" w:rsidR="002E440F" w:rsidRDefault="002E440F" w:rsidP="00663429">
            <w:pPr>
              <w:pStyle w:val="BodyText"/>
              <w:spacing w:before="120"/>
              <w:ind w:left="-57" w:right="6"/>
            </w:pPr>
            <w:r w:rsidRPr="00484E83">
              <w:t>Household, Income and Labour Dynamics in Australia</w:t>
            </w:r>
          </w:p>
        </w:tc>
      </w:tr>
      <w:tr w:rsidR="002E440F" w14:paraId="41231CFD" w14:textId="77777777" w:rsidTr="002E440F">
        <w:tc>
          <w:tcPr>
            <w:tcW w:w="1953" w:type="dxa"/>
          </w:tcPr>
          <w:p w14:paraId="61DF98F8" w14:textId="77777777" w:rsidR="002E440F" w:rsidRDefault="002E440F" w:rsidP="00663429">
            <w:pPr>
              <w:pStyle w:val="BodyText"/>
              <w:spacing w:before="120"/>
              <w:ind w:left="-57" w:right="6"/>
            </w:pPr>
            <w:r>
              <w:t>IT</w:t>
            </w:r>
          </w:p>
        </w:tc>
        <w:tc>
          <w:tcPr>
            <w:tcW w:w="6835" w:type="dxa"/>
          </w:tcPr>
          <w:p w14:paraId="59FC5A5A" w14:textId="77777777" w:rsidR="002E440F" w:rsidRDefault="002E440F" w:rsidP="00663429">
            <w:pPr>
              <w:pStyle w:val="BodyText"/>
              <w:spacing w:before="120"/>
              <w:ind w:left="-57" w:right="6"/>
            </w:pPr>
            <w:r>
              <w:t>Information technology</w:t>
            </w:r>
          </w:p>
        </w:tc>
      </w:tr>
      <w:tr w:rsidR="002E440F" w14:paraId="73D3F5C7" w14:textId="77777777" w:rsidTr="002E440F">
        <w:tc>
          <w:tcPr>
            <w:tcW w:w="1953" w:type="dxa"/>
          </w:tcPr>
          <w:p w14:paraId="7B1BFE22" w14:textId="77777777" w:rsidR="002E440F" w:rsidRDefault="002E440F" w:rsidP="00663429">
            <w:pPr>
              <w:pStyle w:val="BodyText"/>
              <w:spacing w:before="120"/>
              <w:ind w:left="-57" w:right="6"/>
            </w:pPr>
            <w:r>
              <w:t>MFP</w:t>
            </w:r>
          </w:p>
        </w:tc>
        <w:tc>
          <w:tcPr>
            <w:tcW w:w="6835" w:type="dxa"/>
          </w:tcPr>
          <w:p w14:paraId="7BF15197" w14:textId="77777777" w:rsidR="002E440F" w:rsidRDefault="002E440F" w:rsidP="00663429">
            <w:pPr>
              <w:pStyle w:val="BodyText"/>
              <w:spacing w:before="120"/>
              <w:ind w:left="-57" w:right="6"/>
            </w:pPr>
            <w:r>
              <w:t>Multifactor productivity</w:t>
            </w:r>
          </w:p>
        </w:tc>
      </w:tr>
      <w:tr w:rsidR="002E440F" w14:paraId="505E01F5" w14:textId="77777777" w:rsidTr="002E440F">
        <w:tc>
          <w:tcPr>
            <w:tcW w:w="1953" w:type="dxa"/>
          </w:tcPr>
          <w:p w14:paraId="2588D119" w14:textId="77777777" w:rsidR="002E440F" w:rsidRDefault="002E440F" w:rsidP="00663429">
            <w:pPr>
              <w:pStyle w:val="BodyText"/>
              <w:spacing w:before="120"/>
              <w:ind w:left="-57" w:right="6"/>
            </w:pPr>
            <w:r>
              <w:t>MYEFO</w:t>
            </w:r>
          </w:p>
        </w:tc>
        <w:tc>
          <w:tcPr>
            <w:tcW w:w="6835" w:type="dxa"/>
          </w:tcPr>
          <w:p w14:paraId="0CCA8506" w14:textId="77777777" w:rsidR="002E440F" w:rsidRDefault="002E440F" w:rsidP="00663429">
            <w:pPr>
              <w:pStyle w:val="BodyText"/>
              <w:spacing w:before="120"/>
              <w:ind w:left="-57" w:right="6"/>
            </w:pPr>
            <w:r>
              <w:t>M</w:t>
            </w:r>
            <w:r w:rsidRPr="00054023">
              <w:t>id</w:t>
            </w:r>
            <w:r>
              <w:t>-</w:t>
            </w:r>
            <w:r w:rsidRPr="00054023">
              <w:t>year economic and financial outlook</w:t>
            </w:r>
          </w:p>
        </w:tc>
      </w:tr>
      <w:tr w:rsidR="002E440F" w14:paraId="11837FF2" w14:textId="77777777" w:rsidTr="002E440F">
        <w:tc>
          <w:tcPr>
            <w:tcW w:w="1953" w:type="dxa"/>
          </w:tcPr>
          <w:p w14:paraId="417DF87C" w14:textId="77777777" w:rsidR="002E440F" w:rsidRDefault="002E440F" w:rsidP="00663429">
            <w:pPr>
              <w:pStyle w:val="BodyText"/>
              <w:spacing w:before="120"/>
              <w:ind w:left="-57" w:right="6"/>
            </w:pPr>
            <w:r>
              <w:t>NA</w:t>
            </w:r>
          </w:p>
        </w:tc>
        <w:tc>
          <w:tcPr>
            <w:tcW w:w="6835" w:type="dxa"/>
          </w:tcPr>
          <w:p w14:paraId="18B276C7" w14:textId="77777777" w:rsidR="002E440F" w:rsidRDefault="002E440F" w:rsidP="00663429">
            <w:pPr>
              <w:pStyle w:val="BodyText"/>
              <w:spacing w:before="120"/>
              <w:ind w:left="-57" w:right="6"/>
            </w:pPr>
            <w:r>
              <w:t>Not applicable</w:t>
            </w:r>
          </w:p>
        </w:tc>
      </w:tr>
      <w:tr w:rsidR="002E440F" w14:paraId="2324E2C4" w14:textId="77777777" w:rsidTr="002E440F">
        <w:tc>
          <w:tcPr>
            <w:tcW w:w="1953" w:type="dxa"/>
          </w:tcPr>
          <w:p w14:paraId="7CD01D9C" w14:textId="77777777" w:rsidR="002E440F" w:rsidRDefault="002E440F" w:rsidP="00663429">
            <w:pPr>
              <w:pStyle w:val="BodyText"/>
              <w:spacing w:before="120"/>
              <w:ind w:left="-57" w:right="6"/>
            </w:pPr>
            <w:r>
              <w:t>NZ</w:t>
            </w:r>
          </w:p>
        </w:tc>
        <w:tc>
          <w:tcPr>
            <w:tcW w:w="6835" w:type="dxa"/>
          </w:tcPr>
          <w:p w14:paraId="570CDA70" w14:textId="77777777" w:rsidR="002E440F" w:rsidRDefault="002E440F" w:rsidP="00663429">
            <w:pPr>
              <w:pStyle w:val="BodyText"/>
              <w:spacing w:before="120"/>
              <w:ind w:left="-57" w:right="6"/>
            </w:pPr>
            <w:r>
              <w:t>New Zealand</w:t>
            </w:r>
          </w:p>
        </w:tc>
      </w:tr>
      <w:tr w:rsidR="002E440F" w14:paraId="3DD760C3" w14:textId="77777777" w:rsidTr="002E440F">
        <w:tc>
          <w:tcPr>
            <w:tcW w:w="1953" w:type="dxa"/>
          </w:tcPr>
          <w:p w14:paraId="591C3824" w14:textId="77777777" w:rsidR="002E440F" w:rsidRDefault="002E440F" w:rsidP="00663429">
            <w:pPr>
              <w:pStyle w:val="BodyText"/>
              <w:spacing w:before="120"/>
              <w:ind w:left="-57" w:right="6"/>
            </w:pPr>
            <w:r>
              <w:t>OECD</w:t>
            </w:r>
          </w:p>
        </w:tc>
        <w:tc>
          <w:tcPr>
            <w:tcW w:w="6835" w:type="dxa"/>
          </w:tcPr>
          <w:p w14:paraId="2AA2AD19" w14:textId="77777777" w:rsidR="002E440F" w:rsidRDefault="002E440F" w:rsidP="00663429">
            <w:pPr>
              <w:pStyle w:val="BodyText"/>
              <w:spacing w:before="120"/>
              <w:ind w:left="-57" w:right="6"/>
            </w:pPr>
            <w:r w:rsidRPr="00B11944">
              <w:t>Organisation for Economic Co-operation and Development</w:t>
            </w:r>
          </w:p>
        </w:tc>
      </w:tr>
      <w:tr w:rsidR="002E440F" w14:paraId="5EA316C6" w14:textId="77777777" w:rsidTr="002E440F">
        <w:tc>
          <w:tcPr>
            <w:tcW w:w="1953" w:type="dxa"/>
          </w:tcPr>
          <w:p w14:paraId="0AA7FA07" w14:textId="77777777" w:rsidR="002E440F" w:rsidRDefault="002E440F" w:rsidP="00663429">
            <w:pPr>
              <w:pStyle w:val="BodyText"/>
              <w:spacing w:before="120"/>
              <w:ind w:left="-57" w:right="6"/>
            </w:pPr>
            <w:r>
              <w:t>ONS</w:t>
            </w:r>
          </w:p>
        </w:tc>
        <w:tc>
          <w:tcPr>
            <w:tcW w:w="6835" w:type="dxa"/>
          </w:tcPr>
          <w:p w14:paraId="692F8235" w14:textId="77777777" w:rsidR="002E440F" w:rsidRDefault="002E440F" w:rsidP="00663429">
            <w:pPr>
              <w:pStyle w:val="BodyText"/>
              <w:spacing w:before="120"/>
              <w:ind w:left="-57" w:right="6"/>
            </w:pPr>
            <w:r w:rsidRPr="00435E96">
              <w:t>Office of National Statistics</w:t>
            </w:r>
            <w:r>
              <w:t xml:space="preserve"> (United Kingdom)</w:t>
            </w:r>
          </w:p>
        </w:tc>
      </w:tr>
      <w:tr w:rsidR="002E440F" w14:paraId="687904EB" w14:textId="77777777" w:rsidTr="002E440F">
        <w:tc>
          <w:tcPr>
            <w:tcW w:w="1953" w:type="dxa"/>
          </w:tcPr>
          <w:p w14:paraId="31AD9CDF" w14:textId="77777777" w:rsidR="002E440F" w:rsidRDefault="002E440F" w:rsidP="00663429">
            <w:pPr>
              <w:pStyle w:val="BodyText"/>
              <w:spacing w:before="120"/>
              <w:ind w:left="-57" w:right="6"/>
            </w:pPr>
            <w:r>
              <w:t>PC</w:t>
            </w:r>
          </w:p>
        </w:tc>
        <w:tc>
          <w:tcPr>
            <w:tcW w:w="6835" w:type="dxa"/>
          </w:tcPr>
          <w:p w14:paraId="6C67E2E9" w14:textId="77777777" w:rsidR="002E440F" w:rsidRDefault="002E440F" w:rsidP="00663429">
            <w:pPr>
              <w:pStyle w:val="BodyText"/>
              <w:spacing w:before="120"/>
              <w:ind w:left="-57" w:right="6"/>
            </w:pPr>
            <w:r>
              <w:t>Productivity Commission</w:t>
            </w:r>
          </w:p>
        </w:tc>
      </w:tr>
      <w:tr w:rsidR="002E440F" w14:paraId="1A7B2C0B" w14:textId="77777777" w:rsidTr="002E440F">
        <w:tc>
          <w:tcPr>
            <w:tcW w:w="1953" w:type="dxa"/>
          </w:tcPr>
          <w:p w14:paraId="05BEAA61" w14:textId="77777777" w:rsidR="002E440F" w:rsidRDefault="002E440F" w:rsidP="00663429">
            <w:pPr>
              <w:pStyle w:val="BodyText"/>
              <w:spacing w:before="120"/>
              <w:ind w:left="-57" w:right="6"/>
            </w:pPr>
            <w:r>
              <w:t>QALI</w:t>
            </w:r>
          </w:p>
        </w:tc>
        <w:tc>
          <w:tcPr>
            <w:tcW w:w="6835" w:type="dxa"/>
          </w:tcPr>
          <w:p w14:paraId="7E9AFA24" w14:textId="77777777" w:rsidR="002E440F" w:rsidRDefault="002E440F" w:rsidP="00663429">
            <w:pPr>
              <w:pStyle w:val="BodyText"/>
              <w:spacing w:before="120"/>
              <w:ind w:left="-57" w:right="6"/>
            </w:pPr>
            <w:r>
              <w:t>Q</w:t>
            </w:r>
            <w:r w:rsidRPr="00C23CDF">
              <w:t>uality adjusted labour inputs</w:t>
            </w:r>
          </w:p>
        </w:tc>
      </w:tr>
      <w:tr w:rsidR="002E440F" w14:paraId="0B686599" w14:textId="77777777" w:rsidTr="002E440F">
        <w:tc>
          <w:tcPr>
            <w:tcW w:w="1953" w:type="dxa"/>
          </w:tcPr>
          <w:p w14:paraId="2C848A40" w14:textId="77777777" w:rsidR="002E440F" w:rsidRDefault="002E440F" w:rsidP="00663429">
            <w:pPr>
              <w:pStyle w:val="BodyText"/>
              <w:spacing w:before="120"/>
              <w:ind w:left="-57" w:right="6"/>
            </w:pPr>
            <w:r>
              <w:t>UK</w:t>
            </w:r>
          </w:p>
        </w:tc>
        <w:tc>
          <w:tcPr>
            <w:tcW w:w="6835" w:type="dxa"/>
          </w:tcPr>
          <w:p w14:paraId="73B8963C" w14:textId="77777777" w:rsidR="002E440F" w:rsidRDefault="002E440F" w:rsidP="00663429">
            <w:pPr>
              <w:pStyle w:val="BodyText"/>
              <w:spacing w:before="120"/>
              <w:ind w:left="-57" w:right="6"/>
            </w:pPr>
            <w:r>
              <w:t>United Kingdom</w:t>
            </w:r>
          </w:p>
        </w:tc>
      </w:tr>
      <w:tr w:rsidR="002E440F" w14:paraId="09F5FAFA" w14:textId="77777777" w:rsidTr="002E440F">
        <w:tc>
          <w:tcPr>
            <w:tcW w:w="1953" w:type="dxa"/>
          </w:tcPr>
          <w:p w14:paraId="3F0E6457" w14:textId="77777777" w:rsidR="002E440F" w:rsidRDefault="002E440F" w:rsidP="00663429">
            <w:pPr>
              <w:pStyle w:val="BodyText"/>
              <w:spacing w:before="120"/>
              <w:ind w:left="-57" w:right="6"/>
            </w:pPr>
            <w:r>
              <w:t>US</w:t>
            </w:r>
          </w:p>
        </w:tc>
        <w:tc>
          <w:tcPr>
            <w:tcW w:w="6835" w:type="dxa"/>
          </w:tcPr>
          <w:p w14:paraId="262C3B91" w14:textId="77777777" w:rsidR="002E440F" w:rsidRDefault="002E440F" w:rsidP="00663429">
            <w:pPr>
              <w:pStyle w:val="BodyText"/>
              <w:spacing w:before="120"/>
              <w:ind w:left="-57" w:right="6"/>
            </w:pPr>
            <w:r>
              <w:t>United States of America</w:t>
            </w:r>
          </w:p>
        </w:tc>
      </w:tr>
    </w:tbl>
    <w:p w14:paraId="6D9B2D23" w14:textId="34D30925" w:rsidR="00873FD6" w:rsidRPr="005A7BE4" w:rsidRDefault="00873FD6" w:rsidP="005A7BE4">
      <w:pPr>
        <w:pStyle w:val="BodyText"/>
      </w:pPr>
      <w:r w:rsidRPr="005A7BE4">
        <w:br w:type="page"/>
      </w:r>
    </w:p>
    <w:p w14:paraId="2D79CA3B" w14:textId="544EC9A9" w:rsidR="00695CC8" w:rsidRDefault="00695CC8" w:rsidP="00FE7592">
      <w:pPr>
        <w:pStyle w:val="Heading2"/>
        <w:spacing w:after="360"/>
      </w:pPr>
      <w:bookmarkStart w:id="21" w:name="_Toc74138584"/>
      <w:r>
        <w:t>References</w:t>
      </w:r>
      <w:bookmarkEnd w:id="21"/>
    </w:p>
    <w:p w14:paraId="321069A9" w14:textId="20B6DA9B" w:rsidR="00193E2B" w:rsidRPr="00C338A7" w:rsidRDefault="00193E2B" w:rsidP="00C338A7">
      <w:pPr>
        <w:pStyle w:val="Reference"/>
        <w:rPr>
          <w:spacing w:val="-4"/>
          <w:sz w:val="22"/>
          <w:szCs w:val="22"/>
        </w:rPr>
      </w:pPr>
      <w:r w:rsidRPr="00C338A7">
        <w:rPr>
          <w:spacing w:val="-4"/>
          <w:sz w:val="22"/>
          <w:szCs w:val="22"/>
        </w:rPr>
        <w:t xml:space="preserve">ABS (Australian Bureau of Statistics) 2015, </w:t>
      </w:r>
      <w:r w:rsidRPr="00C338A7">
        <w:rPr>
          <w:i/>
          <w:iCs/>
          <w:spacing w:val="-4"/>
          <w:sz w:val="22"/>
          <w:szCs w:val="22"/>
        </w:rPr>
        <w:t>Australian System of National Accounts Concepts, Sources and Methods</w:t>
      </w:r>
      <w:r w:rsidRPr="00C338A7">
        <w:rPr>
          <w:spacing w:val="-4"/>
          <w:sz w:val="22"/>
          <w:szCs w:val="22"/>
        </w:rPr>
        <w:t>, Cat. No. 5216.0</w:t>
      </w:r>
      <w:r w:rsidR="00AD0093" w:rsidRPr="00C338A7">
        <w:rPr>
          <w:spacing w:val="-4"/>
          <w:sz w:val="22"/>
          <w:szCs w:val="22"/>
        </w:rPr>
        <w:t>, Canberra.</w:t>
      </w:r>
    </w:p>
    <w:p w14:paraId="6294414D" w14:textId="33F09D0A" w:rsidR="00193E2B" w:rsidRPr="00B85FC1" w:rsidRDefault="00193E2B" w:rsidP="00C338A7">
      <w:pPr>
        <w:pStyle w:val="Reference"/>
        <w:rPr>
          <w:spacing w:val="-6"/>
          <w:sz w:val="22"/>
          <w:szCs w:val="22"/>
        </w:rPr>
      </w:pPr>
      <w:r w:rsidRPr="00B85FC1">
        <w:rPr>
          <w:spacing w:val="-6"/>
          <w:sz w:val="22"/>
          <w:szCs w:val="22"/>
        </w:rPr>
        <w:t>——</w:t>
      </w:r>
      <w:r w:rsidR="008278E9" w:rsidRPr="00B85FC1">
        <w:rPr>
          <w:spacing w:val="-6"/>
          <w:sz w:val="22"/>
          <w:szCs w:val="22"/>
        </w:rPr>
        <w:t> </w:t>
      </w:r>
      <w:r w:rsidRPr="00B85FC1">
        <w:rPr>
          <w:spacing w:val="-6"/>
          <w:sz w:val="22"/>
          <w:szCs w:val="22"/>
        </w:rPr>
        <w:t xml:space="preserve">2020a, </w:t>
      </w:r>
      <w:r w:rsidRPr="00B85FC1">
        <w:rPr>
          <w:i/>
          <w:iCs/>
          <w:spacing w:val="-6"/>
          <w:sz w:val="22"/>
          <w:szCs w:val="22"/>
        </w:rPr>
        <w:t>Australian National Accounts: National Income, Expenditure and Product</w:t>
      </w:r>
      <w:r w:rsidRPr="00B85FC1">
        <w:rPr>
          <w:spacing w:val="-6"/>
          <w:sz w:val="22"/>
          <w:szCs w:val="22"/>
        </w:rPr>
        <w:t xml:space="preserve">, Australian Bureau </w:t>
      </w:r>
      <w:r w:rsidRPr="002A005D">
        <w:rPr>
          <w:spacing w:val="-8"/>
          <w:sz w:val="22"/>
          <w:szCs w:val="22"/>
        </w:rPr>
        <w:t>of Statistics, https://www.abs.gov.au/statistics/economy/national-accounts/australian-national-accounts-national-income-expenditure-and-product/jun-2020#data-download</w:t>
      </w:r>
      <w:r w:rsidRPr="00B85FC1">
        <w:rPr>
          <w:spacing w:val="-6"/>
          <w:sz w:val="22"/>
          <w:szCs w:val="22"/>
        </w:rPr>
        <w:t xml:space="preserve"> (accessed 27 April 2020).</w:t>
      </w:r>
    </w:p>
    <w:p w14:paraId="6C9A03A8" w14:textId="1E377AF4"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2020b, </w:t>
      </w:r>
      <w:r w:rsidRPr="00C338A7">
        <w:rPr>
          <w:i/>
          <w:iCs/>
          <w:spacing w:val="-4"/>
          <w:sz w:val="22"/>
          <w:szCs w:val="22"/>
        </w:rPr>
        <w:t>Australian National Accounts: National Income, Expenditure and Product, December 2020</w:t>
      </w:r>
      <w:r w:rsidRPr="00C338A7">
        <w:rPr>
          <w:spacing w:val="-4"/>
          <w:sz w:val="22"/>
          <w:szCs w:val="22"/>
        </w:rPr>
        <w:t>, Cat. no. 5206.0., Canberra.</w:t>
      </w:r>
    </w:p>
    <w:p w14:paraId="6B8B3851" w14:textId="00FD6B15"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2020c, </w:t>
      </w:r>
      <w:r w:rsidRPr="00C338A7">
        <w:rPr>
          <w:i/>
          <w:iCs/>
          <w:spacing w:val="-4"/>
          <w:sz w:val="22"/>
          <w:szCs w:val="22"/>
        </w:rPr>
        <w:t>Australian System of National Accounts, 2019-20</w:t>
      </w:r>
      <w:r w:rsidRPr="00C338A7">
        <w:rPr>
          <w:spacing w:val="-4"/>
          <w:sz w:val="22"/>
          <w:szCs w:val="22"/>
        </w:rPr>
        <w:t>, Cat. No. 5204.0.</w:t>
      </w:r>
    </w:p>
    <w:p w14:paraId="56FC7808" w14:textId="7E820FA9"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2020d, </w:t>
      </w:r>
      <w:r w:rsidRPr="00C338A7">
        <w:rPr>
          <w:i/>
          <w:iCs/>
          <w:spacing w:val="-4"/>
          <w:sz w:val="22"/>
          <w:szCs w:val="22"/>
        </w:rPr>
        <w:t>Employee earnings, August 2020</w:t>
      </w:r>
      <w:r w:rsidRPr="00C338A7">
        <w:rPr>
          <w:spacing w:val="-4"/>
          <w:sz w:val="22"/>
          <w:szCs w:val="22"/>
        </w:rPr>
        <w:t>, Cat. no. 6337.0, Canberra.</w:t>
      </w:r>
    </w:p>
    <w:p w14:paraId="2E95A772" w14:textId="2F6F4170"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2020e, </w:t>
      </w:r>
      <w:r w:rsidRPr="00C338A7">
        <w:rPr>
          <w:i/>
          <w:iCs/>
          <w:spacing w:val="-4"/>
          <w:sz w:val="22"/>
          <w:szCs w:val="22"/>
        </w:rPr>
        <w:t>Estimates of Industry Multifactor Productivity, 2019-20</w:t>
      </w:r>
      <w:r w:rsidRPr="00C338A7">
        <w:rPr>
          <w:spacing w:val="-4"/>
          <w:sz w:val="22"/>
          <w:szCs w:val="22"/>
        </w:rPr>
        <w:t>, Cat. no. 5260.0.55.002., Canberra.</w:t>
      </w:r>
    </w:p>
    <w:p w14:paraId="3E458067" w14:textId="3BE048DC"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2020f, </w:t>
      </w:r>
      <w:r w:rsidRPr="00C338A7">
        <w:rPr>
          <w:i/>
          <w:iCs/>
          <w:spacing w:val="-4"/>
          <w:sz w:val="22"/>
          <w:szCs w:val="22"/>
        </w:rPr>
        <w:t>Labour Account Australia, December 2020</w:t>
      </w:r>
      <w:r w:rsidRPr="00C338A7">
        <w:rPr>
          <w:spacing w:val="-4"/>
          <w:sz w:val="22"/>
          <w:szCs w:val="22"/>
        </w:rPr>
        <w:t>, Cat. no. 6150.0.55.003., Canberra.</w:t>
      </w:r>
    </w:p>
    <w:p w14:paraId="0B5BCDE8" w14:textId="19C78BFC"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2020g, </w:t>
      </w:r>
      <w:r w:rsidRPr="00C338A7">
        <w:rPr>
          <w:i/>
          <w:iCs/>
          <w:spacing w:val="-4"/>
          <w:sz w:val="22"/>
          <w:szCs w:val="22"/>
        </w:rPr>
        <w:t>Methods changes during the COVID-19 period</w:t>
      </w:r>
      <w:r w:rsidRPr="00C338A7">
        <w:rPr>
          <w:spacing w:val="-4"/>
          <w:sz w:val="22"/>
          <w:szCs w:val="22"/>
        </w:rPr>
        <w:t>, Cat. no. 1359.0., Canberra.</w:t>
      </w:r>
    </w:p>
    <w:p w14:paraId="5BF6F2A1" w14:textId="42C1C307"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2020h, </w:t>
      </w:r>
      <w:r w:rsidRPr="00C338A7">
        <w:rPr>
          <w:i/>
          <w:iCs/>
          <w:spacing w:val="-4"/>
          <w:sz w:val="22"/>
          <w:szCs w:val="22"/>
        </w:rPr>
        <w:t>Variations in the Utilisation of Productivity Inputs</w:t>
      </w:r>
      <w:r w:rsidRPr="00C338A7">
        <w:rPr>
          <w:spacing w:val="-4"/>
          <w:sz w:val="22"/>
          <w:szCs w:val="22"/>
        </w:rPr>
        <w:t>, Canberra, https://www.abs.gov.au/articles/variations-utilisation-productivity-inputs (accessed 5 May 2021).</w:t>
      </w:r>
    </w:p>
    <w:p w14:paraId="2BC6F0EB" w14:textId="7214D967"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2021a, </w:t>
      </w:r>
      <w:r w:rsidRPr="00C338A7">
        <w:rPr>
          <w:i/>
          <w:iCs/>
          <w:spacing w:val="-4"/>
          <w:sz w:val="22"/>
          <w:szCs w:val="22"/>
        </w:rPr>
        <w:t>Building Activity, Australia, December 2020</w:t>
      </w:r>
      <w:r w:rsidRPr="00C338A7">
        <w:rPr>
          <w:spacing w:val="-4"/>
          <w:sz w:val="22"/>
          <w:szCs w:val="22"/>
        </w:rPr>
        <w:t>, Cat. no. 8752.0., Canberra.</w:t>
      </w:r>
    </w:p>
    <w:p w14:paraId="0A152677" w14:textId="07F9D6CB" w:rsidR="00193E2B" w:rsidRPr="005D11E9" w:rsidRDefault="00193E2B" w:rsidP="00C338A7">
      <w:pPr>
        <w:pStyle w:val="Reference"/>
        <w:rPr>
          <w:spacing w:val="-6"/>
          <w:sz w:val="22"/>
          <w:szCs w:val="22"/>
        </w:rPr>
      </w:pPr>
      <w:r w:rsidRPr="005D11E9">
        <w:rPr>
          <w:spacing w:val="-6"/>
          <w:sz w:val="22"/>
          <w:szCs w:val="22"/>
        </w:rPr>
        <w:t>——</w:t>
      </w:r>
      <w:r w:rsidR="008278E9" w:rsidRPr="005D11E9">
        <w:rPr>
          <w:spacing w:val="-6"/>
          <w:sz w:val="22"/>
          <w:szCs w:val="22"/>
        </w:rPr>
        <w:t> </w:t>
      </w:r>
      <w:r w:rsidRPr="005D11E9">
        <w:rPr>
          <w:spacing w:val="-6"/>
          <w:sz w:val="22"/>
          <w:szCs w:val="22"/>
        </w:rPr>
        <w:t xml:space="preserve">2021b, </w:t>
      </w:r>
      <w:r w:rsidRPr="005D11E9">
        <w:rPr>
          <w:i/>
          <w:iCs/>
          <w:spacing w:val="-6"/>
          <w:sz w:val="22"/>
          <w:szCs w:val="22"/>
        </w:rPr>
        <w:t>Construction Work Done, Australia, Preliminary, December 2020</w:t>
      </w:r>
      <w:r w:rsidRPr="005D11E9">
        <w:rPr>
          <w:spacing w:val="-6"/>
          <w:sz w:val="22"/>
          <w:szCs w:val="22"/>
        </w:rPr>
        <w:t>, Cat. no. 8755.0., Canberra.</w:t>
      </w:r>
    </w:p>
    <w:p w14:paraId="68715475" w14:textId="42A5ACAE"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2021c, </w:t>
      </w:r>
      <w:r w:rsidRPr="00C338A7">
        <w:rPr>
          <w:i/>
          <w:iCs/>
          <w:spacing w:val="-4"/>
          <w:sz w:val="22"/>
          <w:szCs w:val="22"/>
        </w:rPr>
        <w:t>Labour Force, Australia, Detailed, March 2021</w:t>
      </w:r>
      <w:r w:rsidRPr="00C338A7">
        <w:rPr>
          <w:spacing w:val="-4"/>
          <w:sz w:val="22"/>
          <w:szCs w:val="22"/>
        </w:rPr>
        <w:t>, Cat. no. 6291.0.55.003, Canberra.</w:t>
      </w:r>
    </w:p>
    <w:p w14:paraId="5EC1F34E" w14:textId="3465EC71"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2021d, </w:t>
      </w:r>
      <w:r w:rsidRPr="00C338A7">
        <w:rPr>
          <w:i/>
          <w:iCs/>
          <w:spacing w:val="-4"/>
          <w:sz w:val="22"/>
          <w:szCs w:val="22"/>
        </w:rPr>
        <w:t>Residential Property Price Indexes: Eight Capital Cities</w:t>
      </w:r>
      <w:r w:rsidRPr="00C338A7">
        <w:rPr>
          <w:spacing w:val="-4"/>
          <w:sz w:val="22"/>
          <w:szCs w:val="22"/>
        </w:rPr>
        <w:t>, Cat. no. 6416.0, Canberra.</w:t>
      </w:r>
    </w:p>
    <w:p w14:paraId="519FD944" w14:textId="77777777" w:rsidR="00193E2B" w:rsidRPr="00C338A7" w:rsidRDefault="00193E2B" w:rsidP="00C338A7">
      <w:pPr>
        <w:pStyle w:val="Reference"/>
        <w:rPr>
          <w:spacing w:val="-4"/>
          <w:sz w:val="22"/>
          <w:szCs w:val="22"/>
        </w:rPr>
      </w:pPr>
      <w:r w:rsidRPr="00C338A7">
        <w:rPr>
          <w:spacing w:val="-4"/>
          <w:sz w:val="22"/>
          <w:szCs w:val="22"/>
        </w:rPr>
        <w:t xml:space="preserve">ASIC 2020, </w:t>
      </w:r>
      <w:r w:rsidRPr="00C338A7">
        <w:rPr>
          <w:i/>
          <w:iCs/>
          <w:spacing w:val="-4"/>
          <w:sz w:val="22"/>
          <w:szCs w:val="22"/>
        </w:rPr>
        <w:t>Insolvency statistics - Series 1 Companies entering external administration and controller appointments</w:t>
      </w:r>
      <w:r w:rsidRPr="00C338A7">
        <w:rPr>
          <w:spacing w:val="-4"/>
          <w:sz w:val="22"/>
          <w:szCs w:val="22"/>
        </w:rPr>
        <w:t>, web page, c=au;o=Australian Government;ou=Australian Government Australian Securities and Investments Commission, https://asic.gov.au/regulatory-resources/find-a-document/statistics/insolvency-statistics/insolvency-statistics-series-1-companies-entering-external-administration-and-controller-appointments/ (accessed 18 May 2021).</w:t>
      </w:r>
    </w:p>
    <w:p w14:paraId="7C5EEF0D" w14:textId="77DCB321" w:rsidR="00193E2B" w:rsidRPr="00C338A7" w:rsidRDefault="00193E2B" w:rsidP="00C338A7">
      <w:pPr>
        <w:pStyle w:val="Reference"/>
        <w:rPr>
          <w:spacing w:val="-4"/>
          <w:sz w:val="22"/>
          <w:szCs w:val="22"/>
        </w:rPr>
      </w:pPr>
      <w:r w:rsidRPr="00C338A7">
        <w:rPr>
          <w:spacing w:val="-4"/>
          <w:sz w:val="22"/>
          <w:szCs w:val="22"/>
        </w:rPr>
        <w:t xml:space="preserve">ATO (Australian Tax Offfice) 2020, </w:t>
      </w:r>
      <w:r w:rsidRPr="00C338A7">
        <w:rPr>
          <w:i/>
          <w:iCs/>
          <w:spacing w:val="-4"/>
          <w:sz w:val="22"/>
          <w:szCs w:val="22"/>
        </w:rPr>
        <w:t>COVID-19 Boosting cash flow for employers interim report</w:t>
      </w:r>
      <w:r w:rsidRPr="00C338A7">
        <w:rPr>
          <w:spacing w:val="-4"/>
          <w:sz w:val="22"/>
          <w:szCs w:val="22"/>
        </w:rPr>
        <w:t>, As at November 2020, Canberra, https://www.ato.gov.au/uploadedFiles/Content/SPR/downloads/covid_</w:t>
      </w:r>
      <w:r w:rsidR="00535080">
        <w:rPr>
          <w:spacing w:val="-4"/>
          <w:sz w:val="22"/>
          <w:szCs w:val="22"/>
        </w:rPr>
        <w:br/>
      </w:r>
      <w:r w:rsidRPr="00C338A7">
        <w:rPr>
          <w:spacing w:val="-4"/>
          <w:sz w:val="22"/>
          <w:szCs w:val="22"/>
        </w:rPr>
        <w:t>19_boosting_cash_flow_infographic.pdf (accessed 25 March 2021).</w:t>
      </w:r>
    </w:p>
    <w:p w14:paraId="6105AE65" w14:textId="77777777" w:rsidR="00193E2B" w:rsidRPr="00C338A7" w:rsidRDefault="00193E2B" w:rsidP="00C338A7">
      <w:pPr>
        <w:pStyle w:val="Reference"/>
        <w:rPr>
          <w:spacing w:val="-4"/>
          <w:sz w:val="22"/>
          <w:szCs w:val="22"/>
        </w:rPr>
      </w:pPr>
      <w:r w:rsidRPr="00C338A7">
        <w:rPr>
          <w:spacing w:val="-4"/>
          <w:sz w:val="22"/>
          <w:szCs w:val="22"/>
        </w:rPr>
        <w:t xml:space="preserve">Australian Government 2020, </w:t>
      </w:r>
      <w:r w:rsidRPr="00C338A7">
        <w:rPr>
          <w:i/>
          <w:iCs/>
          <w:spacing w:val="-4"/>
          <w:sz w:val="22"/>
          <w:szCs w:val="22"/>
        </w:rPr>
        <w:t>Mid-Year Economic and Fiscal Outlook 2020-21 - Appendix D</w:t>
      </w:r>
      <w:r w:rsidRPr="00C338A7">
        <w:rPr>
          <w:spacing w:val="-4"/>
          <w:sz w:val="22"/>
          <w:szCs w:val="22"/>
        </w:rPr>
        <w:t>, Canberra, https://budget.gov.au/2020-21/content/myefo/download/10_appendix_d.pdf (accessed 25 March 2021).</w:t>
      </w:r>
    </w:p>
    <w:p w14:paraId="32004F74" w14:textId="77777777" w:rsidR="00193E2B" w:rsidRPr="00C338A7" w:rsidRDefault="00193E2B" w:rsidP="00C338A7">
      <w:pPr>
        <w:pStyle w:val="Reference"/>
        <w:rPr>
          <w:spacing w:val="-4"/>
          <w:sz w:val="22"/>
          <w:szCs w:val="22"/>
        </w:rPr>
      </w:pPr>
      <w:r w:rsidRPr="00C338A7">
        <w:rPr>
          <w:spacing w:val="-4"/>
          <w:sz w:val="22"/>
          <w:szCs w:val="22"/>
        </w:rPr>
        <w:t xml:space="preserve">—— 2021, </w:t>
      </w:r>
      <w:r w:rsidRPr="00C338A7">
        <w:rPr>
          <w:i/>
          <w:iCs/>
          <w:spacing w:val="-4"/>
          <w:sz w:val="22"/>
          <w:szCs w:val="22"/>
        </w:rPr>
        <w:t>Budget Paper No. 1, Budget Strategy and Outlook 2021-22</w:t>
      </w:r>
      <w:r w:rsidRPr="00C338A7">
        <w:rPr>
          <w:spacing w:val="-4"/>
          <w:sz w:val="22"/>
          <w:szCs w:val="22"/>
        </w:rPr>
        <w:t>, Canberra.</w:t>
      </w:r>
    </w:p>
    <w:p w14:paraId="50F4EB28" w14:textId="77777777" w:rsidR="00193E2B" w:rsidRPr="00C338A7" w:rsidRDefault="00193E2B" w:rsidP="00C338A7">
      <w:pPr>
        <w:pStyle w:val="Reference"/>
        <w:rPr>
          <w:spacing w:val="-4"/>
          <w:sz w:val="22"/>
          <w:szCs w:val="22"/>
        </w:rPr>
      </w:pPr>
      <w:r w:rsidRPr="00C338A7">
        <w:rPr>
          <w:spacing w:val="-4"/>
          <w:sz w:val="22"/>
          <w:szCs w:val="22"/>
        </w:rPr>
        <w:t xml:space="preserve">Barrero, J., Bloom, N. and Davis, S. 2020, </w:t>
      </w:r>
      <w:r w:rsidRPr="00C338A7">
        <w:rPr>
          <w:i/>
          <w:iCs/>
          <w:spacing w:val="-4"/>
          <w:sz w:val="22"/>
          <w:szCs w:val="22"/>
        </w:rPr>
        <w:t>Why Working From Home Will Stick</w:t>
      </w:r>
      <w:r w:rsidRPr="00C338A7">
        <w:rPr>
          <w:spacing w:val="-4"/>
          <w:sz w:val="22"/>
          <w:szCs w:val="22"/>
        </w:rPr>
        <w:t>, 2020–174, Becker Friedman Institute for Economics Working Paper, University of Chicago.</w:t>
      </w:r>
    </w:p>
    <w:p w14:paraId="5EEE4B73" w14:textId="77777777" w:rsidR="00193E2B" w:rsidRPr="00C338A7" w:rsidRDefault="00193E2B" w:rsidP="00C338A7">
      <w:pPr>
        <w:pStyle w:val="Reference"/>
        <w:rPr>
          <w:spacing w:val="-4"/>
          <w:sz w:val="22"/>
          <w:szCs w:val="22"/>
        </w:rPr>
      </w:pPr>
      <w:r w:rsidRPr="00C338A7">
        <w:rPr>
          <w:spacing w:val="-4"/>
          <w:sz w:val="22"/>
          <w:szCs w:val="22"/>
        </w:rPr>
        <w:t xml:space="preserve">Beck, M. and Hensher, D. 2020, </w:t>
      </w:r>
      <w:r w:rsidRPr="00C338A7">
        <w:rPr>
          <w:i/>
          <w:iCs/>
          <w:spacing w:val="-4"/>
          <w:sz w:val="22"/>
          <w:szCs w:val="22"/>
        </w:rPr>
        <w:t>Insights into Working from Home in Australia in 2020: Positives, Negatives and the Potential for Future Benefits to Transport and Society</w:t>
      </w:r>
      <w:r w:rsidRPr="00C338A7">
        <w:rPr>
          <w:spacing w:val="-4"/>
          <w:sz w:val="22"/>
          <w:szCs w:val="22"/>
        </w:rPr>
        <w:t>, Working Paper, Institute of Transport and Logistics Studies, The University of Sydney Business School.</w:t>
      </w:r>
    </w:p>
    <w:p w14:paraId="76D16685" w14:textId="77777777" w:rsidR="00193E2B" w:rsidRPr="00C338A7" w:rsidRDefault="00193E2B" w:rsidP="00C338A7">
      <w:pPr>
        <w:pStyle w:val="Reference"/>
        <w:rPr>
          <w:spacing w:val="-4"/>
          <w:sz w:val="22"/>
          <w:szCs w:val="22"/>
        </w:rPr>
      </w:pPr>
      <w:r w:rsidRPr="00C338A7">
        <w:rPr>
          <w:spacing w:val="-4"/>
          <w:sz w:val="22"/>
          <w:szCs w:val="22"/>
        </w:rPr>
        <w:t xml:space="preserve">Bishop, J. and Day, I. 2020, </w:t>
      </w:r>
      <w:r w:rsidRPr="00C338A7">
        <w:rPr>
          <w:i/>
          <w:iCs/>
          <w:spacing w:val="-4"/>
          <w:sz w:val="22"/>
          <w:szCs w:val="22"/>
        </w:rPr>
        <w:t>How Many Jobs Did JobKeeper Keep?</w:t>
      </w:r>
      <w:r w:rsidRPr="00C338A7">
        <w:rPr>
          <w:spacing w:val="-4"/>
          <w:sz w:val="22"/>
          <w:szCs w:val="22"/>
        </w:rPr>
        <w:t>, Reserve Bank of Australia, Sydney.</w:t>
      </w:r>
    </w:p>
    <w:p w14:paraId="5A570429" w14:textId="77777777" w:rsidR="00193E2B" w:rsidRPr="00C338A7" w:rsidRDefault="00193E2B" w:rsidP="00C338A7">
      <w:pPr>
        <w:pStyle w:val="Reference"/>
        <w:rPr>
          <w:spacing w:val="-4"/>
          <w:sz w:val="22"/>
          <w:szCs w:val="22"/>
        </w:rPr>
      </w:pPr>
      <w:r w:rsidRPr="00C338A7">
        <w:rPr>
          <w:spacing w:val="-4"/>
          <w:sz w:val="22"/>
          <w:szCs w:val="22"/>
        </w:rPr>
        <w:t xml:space="preserve">BLS (Bureau of Labor Statistics) 2021, </w:t>
      </w:r>
      <w:r w:rsidRPr="00C338A7">
        <w:rPr>
          <w:i/>
          <w:iCs/>
          <w:spacing w:val="-4"/>
          <w:sz w:val="22"/>
          <w:szCs w:val="22"/>
        </w:rPr>
        <w:t>Labor Force Statistics from the Current Population Survey</w:t>
      </w:r>
      <w:r w:rsidRPr="00C338A7">
        <w:rPr>
          <w:spacing w:val="-4"/>
          <w:sz w:val="22"/>
          <w:szCs w:val="22"/>
        </w:rPr>
        <w:t>, Series id: LNS12000000.</w:t>
      </w:r>
    </w:p>
    <w:p w14:paraId="57477EDF" w14:textId="3EE2DFF6" w:rsidR="00193E2B" w:rsidRPr="00C338A7" w:rsidRDefault="00193E2B" w:rsidP="00C338A7">
      <w:pPr>
        <w:pStyle w:val="Reference"/>
        <w:rPr>
          <w:spacing w:val="-4"/>
          <w:sz w:val="22"/>
          <w:szCs w:val="22"/>
        </w:rPr>
      </w:pPr>
      <w:r w:rsidRPr="00C338A7">
        <w:rPr>
          <w:spacing w:val="-4"/>
          <w:sz w:val="22"/>
          <w:szCs w:val="22"/>
        </w:rPr>
        <w:t xml:space="preserve">Bowden, P., Poole, N. and James, P. 2012, </w:t>
      </w:r>
      <w:r w:rsidRPr="00C338A7">
        <w:rPr>
          <w:i/>
          <w:iCs/>
          <w:spacing w:val="-4"/>
          <w:sz w:val="22"/>
          <w:szCs w:val="22"/>
        </w:rPr>
        <w:t>Channel Nine and potential insolvency: still the one - Insolvency/Bankruptcy/Re-structuring - Australia</w:t>
      </w:r>
      <w:r w:rsidRPr="00C338A7">
        <w:rPr>
          <w:spacing w:val="-4"/>
          <w:sz w:val="22"/>
          <w:szCs w:val="22"/>
        </w:rPr>
        <w:t>, https://www.mondaq.com/australia/insolvency</w:t>
      </w:r>
      <w:r w:rsidR="007A13CA">
        <w:rPr>
          <w:spacing w:val="-4"/>
          <w:sz w:val="22"/>
          <w:szCs w:val="22"/>
        </w:rPr>
        <w:br/>
      </w:r>
      <w:r w:rsidRPr="00C338A7">
        <w:rPr>
          <w:spacing w:val="-4"/>
          <w:sz w:val="22"/>
          <w:szCs w:val="22"/>
        </w:rPr>
        <w:t>bankruptcy/202508/channel-nine-and-potential-insolvency-still-the-one (accessed 19 May 2021).</w:t>
      </w:r>
    </w:p>
    <w:p w14:paraId="6CDB1304" w14:textId="77777777" w:rsidR="00193E2B" w:rsidRPr="00C338A7" w:rsidRDefault="00193E2B" w:rsidP="00C338A7">
      <w:pPr>
        <w:pStyle w:val="Reference"/>
        <w:rPr>
          <w:spacing w:val="-4"/>
          <w:sz w:val="22"/>
          <w:szCs w:val="22"/>
        </w:rPr>
      </w:pPr>
      <w:r w:rsidRPr="00C338A7">
        <w:rPr>
          <w:spacing w:val="-4"/>
          <w:sz w:val="22"/>
          <w:szCs w:val="22"/>
        </w:rPr>
        <w:t xml:space="preserve">Charumilind, S., Greenberg, E., Lamb, J. and Singhal, S. 2020, </w:t>
      </w:r>
      <w:r w:rsidRPr="00C338A7">
        <w:rPr>
          <w:i/>
          <w:iCs/>
          <w:spacing w:val="-4"/>
          <w:sz w:val="22"/>
          <w:szCs w:val="22"/>
        </w:rPr>
        <w:t>COVID-19: Saving thousands of lives and trillions in livelihoods</w:t>
      </w:r>
      <w:r w:rsidRPr="00C338A7">
        <w:rPr>
          <w:spacing w:val="-4"/>
          <w:sz w:val="22"/>
          <w:szCs w:val="22"/>
        </w:rPr>
        <w:t>, McKinsey &amp; Company.</w:t>
      </w:r>
    </w:p>
    <w:p w14:paraId="2B7570C6" w14:textId="77777777" w:rsidR="00193E2B" w:rsidRPr="00C338A7" w:rsidRDefault="00193E2B" w:rsidP="00C338A7">
      <w:pPr>
        <w:pStyle w:val="Reference"/>
        <w:rPr>
          <w:spacing w:val="-4"/>
          <w:sz w:val="22"/>
          <w:szCs w:val="22"/>
        </w:rPr>
      </w:pPr>
      <w:r w:rsidRPr="00C338A7">
        <w:rPr>
          <w:spacing w:val="-4"/>
          <w:sz w:val="22"/>
          <w:szCs w:val="22"/>
        </w:rPr>
        <w:t xml:space="preserve">Goolsbee, A. and Syverson, C. 2021, ‘Fear, lockdown, and diversion: Comparing drivers of pandemic economic decline 2020’, </w:t>
      </w:r>
      <w:r w:rsidRPr="00C338A7">
        <w:rPr>
          <w:i/>
          <w:iCs/>
          <w:spacing w:val="-4"/>
          <w:sz w:val="22"/>
          <w:szCs w:val="22"/>
        </w:rPr>
        <w:t>Journal of Public Economics</w:t>
      </w:r>
      <w:r w:rsidRPr="00C338A7">
        <w:rPr>
          <w:spacing w:val="-4"/>
          <w:sz w:val="22"/>
          <w:szCs w:val="22"/>
        </w:rPr>
        <w:t>, vol. 193.</w:t>
      </w:r>
    </w:p>
    <w:p w14:paraId="53741A32" w14:textId="77777777" w:rsidR="00193E2B" w:rsidRPr="00C338A7" w:rsidRDefault="00193E2B" w:rsidP="00C338A7">
      <w:pPr>
        <w:pStyle w:val="Reference"/>
        <w:rPr>
          <w:spacing w:val="-4"/>
          <w:sz w:val="22"/>
          <w:szCs w:val="22"/>
        </w:rPr>
      </w:pPr>
      <w:r w:rsidRPr="00C338A7">
        <w:rPr>
          <w:spacing w:val="-4"/>
          <w:sz w:val="22"/>
          <w:szCs w:val="22"/>
        </w:rPr>
        <w:t xml:space="preserve">Government of Canada, S.C. 2021, </w:t>
      </w:r>
      <w:r w:rsidRPr="00C338A7">
        <w:rPr>
          <w:i/>
          <w:iCs/>
          <w:spacing w:val="-4"/>
          <w:sz w:val="22"/>
          <w:szCs w:val="22"/>
        </w:rPr>
        <w:t>Actual hours worked by job type (main or all jobs), monthly, unadjusted for seasonality</w:t>
      </w:r>
      <w:r w:rsidRPr="00C338A7">
        <w:rPr>
          <w:spacing w:val="-4"/>
          <w:sz w:val="22"/>
          <w:szCs w:val="22"/>
        </w:rPr>
        <w:t>, https://www150.statcan.gc.ca/t1/tbl1/en/tv.action?pid=1410003201 (accessed 19 May 2021).</w:t>
      </w:r>
    </w:p>
    <w:p w14:paraId="281DC7D5" w14:textId="77777777" w:rsidR="00193E2B" w:rsidRPr="002D4993" w:rsidRDefault="00193E2B" w:rsidP="00C338A7">
      <w:pPr>
        <w:pStyle w:val="Reference"/>
        <w:rPr>
          <w:spacing w:val="-6"/>
          <w:sz w:val="22"/>
          <w:szCs w:val="22"/>
        </w:rPr>
      </w:pPr>
      <w:r w:rsidRPr="002D4993">
        <w:rPr>
          <w:spacing w:val="-6"/>
          <w:sz w:val="22"/>
          <w:szCs w:val="22"/>
        </w:rPr>
        <w:t xml:space="preserve">Hale, T., Angrist, N., Goldszmidt, R., Kira, B., Petherick, A., Phillips, T., Webster, S., Cameron-Blake, E., Hallas, L., Majumdar, S. and Tatlow, H. 2021, ‘A global panel database of pandemic policies (Oxford COVID-19 Government Response Tracker)’, </w:t>
      </w:r>
      <w:r w:rsidRPr="002D4993">
        <w:rPr>
          <w:i/>
          <w:iCs/>
          <w:spacing w:val="-6"/>
          <w:sz w:val="22"/>
          <w:szCs w:val="22"/>
        </w:rPr>
        <w:t>Nature Human Behaviour</w:t>
      </w:r>
      <w:r w:rsidRPr="002D4993">
        <w:rPr>
          <w:spacing w:val="-6"/>
          <w:sz w:val="22"/>
          <w:szCs w:val="22"/>
        </w:rPr>
        <w:t>, vol. 5, pp. 529–538.</w:t>
      </w:r>
    </w:p>
    <w:p w14:paraId="1987FDCA" w14:textId="77777777" w:rsidR="00193E2B" w:rsidRPr="00C338A7" w:rsidRDefault="00193E2B" w:rsidP="00C338A7">
      <w:pPr>
        <w:pStyle w:val="Reference"/>
        <w:rPr>
          <w:spacing w:val="-4"/>
          <w:sz w:val="22"/>
          <w:szCs w:val="22"/>
        </w:rPr>
      </w:pPr>
      <w:r w:rsidRPr="00C338A7">
        <w:rPr>
          <w:spacing w:val="-4"/>
          <w:sz w:val="22"/>
          <w:szCs w:val="22"/>
        </w:rPr>
        <w:t xml:space="preserve">Kochańczyk, M. and Lipniacki, T. 2021, ‘Pareto-based evaluation of national responses to COVID-19 pandemic shows that saving lives and protecting economy are non-trade-off objectives’, </w:t>
      </w:r>
      <w:r w:rsidRPr="00C338A7">
        <w:rPr>
          <w:i/>
          <w:iCs/>
          <w:spacing w:val="-4"/>
          <w:sz w:val="22"/>
          <w:szCs w:val="22"/>
        </w:rPr>
        <w:t>Scientific Reports</w:t>
      </w:r>
      <w:r w:rsidRPr="00C338A7">
        <w:rPr>
          <w:spacing w:val="-4"/>
          <w:sz w:val="22"/>
          <w:szCs w:val="22"/>
        </w:rPr>
        <w:t>, vol. 11, no. 1, p. 2425.</w:t>
      </w:r>
    </w:p>
    <w:p w14:paraId="111FE5D5" w14:textId="77777777" w:rsidR="00193E2B" w:rsidRPr="00C338A7" w:rsidRDefault="00193E2B" w:rsidP="00C338A7">
      <w:pPr>
        <w:pStyle w:val="Reference"/>
        <w:rPr>
          <w:spacing w:val="-4"/>
          <w:sz w:val="22"/>
          <w:szCs w:val="22"/>
        </w:rPr>
      </w:pPr>
      <w:r w:rsidRPr="00C338A7">
        <w:rPr>
          <w:spacing w:val="-4"/>
          <w:sz w:val="22"/>
          <w:szCs w:val="22"/>
        </w:rPr>
        <w:t xml:space="preserve">König, M. and Winkler, A. 2021, ‘COVID-19: Lockdowns, Fatality Rates and GDP Growth: Evidence for the First Three Quarters of 2020’, Springer, Germany, </w:t>
      </w:r>
      <w:r w:rsidRPr="00C338A7">
        <w:rPr>
          <w:i/>
          <w:iCs/>
          <w:spacing w:val="-4"/>
          <w:sz w:val="22"/>
          <w:szCs w:val="22"/>
        </w:rPr>
        <w:t>Inter economics</w:t>
      </w:r>
      <w:r w:rsidRPr="00C338A7">
        <w:rPr>
          <w:spacing w:val="-4"/>
          <w:sz w:val="22"/>
          <w:szCs w:val="22"/>
        </w:rPr>
        <w:t>, vol. 56, no. 1, pp. 32–39.</w:t>
      </w:r>
    </w:p>
    <w:p w14:paraId="0FC0DFBE" w14:textId="77777777" w:rsidR="00193E2B" w:rsidRPr="00C338A7" w:rsidRDefault="00193E2B" w:rsidP="00C338A7">
      <w:pPr>
        <w:pStyle w:val="Reference"/>
        <w:rPr>
          <w:spacing w:val="-4"/>
          <w:sz w:val="22"/>
          <w:szCs w:val="22"/>
        </w:rPr>
      </w:pPr>
      <w:r w:rsidRPr="00C338A7">
        <w:rPr>
          <w:spacing w:val="-4"/>
          <w:sz w:val="22"/>
          <w:szCs w:val="22"/>
        </w:rPr>
        <w:t xml:space="preserve">Liming, C., Raitzer, D., Hasan, R., Lavado, R. and Velarde, O. 2020, </w:t>
      </w:r>
      <w:r w:rsidRPr="00C338A7">
        <w:rPr>
          <w:i/>
          <w:iCs/>
          <w:spacing w:val="-4"/>
          <w:sz w:val="22"/>
          <w:szCs w:val="22"/>
        </w:rPr>
        <w:t>What works to control COVID-19? econometric analysis of a cross-country panel</w:t>
      </w:r>
      <w:r w:rsidRPr="00C338A7">
        <w:rPr>
          <w:spacing w:val="-4"/>
          <w:sz w:val="22"/>
          <w:szCs w:val="22"/>
        </w:rPr>
        <w:t>, 625, ADB economics working paper series, Asian Development Bank.</w:t>
      </w:r>
    </w:p>
    <w:p w14:paraId="75543ACF" w14:textId="385A7A44" w:rsidR="00193E2B" w:rsidRPr="00C338A7" w:rsidRDefault="00193E2B" w:rsidP="00C338A7">
      <w:pPr>
        <w:pStyle w:val="Reference"/>
        <w:rPr>
          <w:spacing w:val="-4"/>
          <w:sz w:val="22"/>
          <w:szCs w:val="22"/>
        </w:rPr>
      </w:pPr>
      <w:r w:rsidRPr="00C338A7">
        <w:rPr>
          <w:spacing w:val="-4"/>
          <w:sz w:val="22"/>
          <w:szCs w:val="22"/>
        </w:rPr>
        <w:t xml:space="preserve">Melbourne Institute 2021, </w:t>
      </w:r>
      <w:r w:rsidRPr="00C338A7">
        <w:rPr>
          <w:i/>
          <w:iCs/>
          <w:spacing w:val="-4"/>
          <w:sz w:val="22"/>
          <w:szCs w:val="22"/>
        </w:rPr>
        <w:t>The Household, Income and Labour Dynamics in Australia (HILDA) Survey, GENERAL RELEASE 19 (Waves 1-19)</w:t>
      </w:r>
      <w:r w:rsidRPr="00C338A7">
        <w:rPr>
          <w:spacing w:val="-4"/>
          <w:sz w:val="22"/>
          <w:szCs w:val="22"/>
        </w:rPr>
        <w:t>, ADA Dataverse, https://dataverse.ada.edu.au/citation?</w:t>
      </w:r>
      <w:r w:rsidR="00A25FFA">
        <w:rPr>
          <w:spacing w:val="-4"/>
          <w:sz w:val="22"/>
          <w:szCs w:val="22"/>
        </w:rPr>
        <w:br/>
      </w:r>
      <w:r w:rsidRPr="00C338A7">
        <w:rPr>
          <w:spacing w:val="-4"/>
          <w:sz w:val="22"/>
          <w:szCs w:val="22"/>
        </w:rPr>
        <w:t>persistentId=doi:10.26193/3QRFMZ (accessed 4 May 2021).</w:t>
      </w:r>
    </w:p>
    <w:p w14:paraId="3B611FA5" w14:textId="77777777" w:rsidR="00193E2B" w:rsidRPr="00C338A7" w:rsidRDefault="00193E2B" w:rsidP="00C338A7">
      <w:pPr>
        <w:pStyle w:val="Reference"/>
        <w:rPr>
          <w:spacing w:val="-4"/>
          <w:sz w:val="22"/>
          <w:szCs w:val="22"/>
        </w:rPr>
      </w:pPr>
      <w:r w:rsidRPr="00C338A7">
        <w:rPr>
          <w:spacing w:val="-4"/>
          <w:sz w:val="22"/>
          <w:szCs w:val="22"/>
        </w:rPr>
        <w:t xml:space="preserve">OECD (Organisation for Economic Co-operation and Development) 2021, </w:t>
      </w:r>
      <w:r w:rsidRPr="00C338A7">
        <w:rPr>
          <w:i/>
          <w:iCs/>
          <w:spacing w:val="-4"/>
          <w:sz w:val="22"/>
          <w:szCs w:val="22"/>
        </w:rPr>
        <w:t>Quarterly National Accounts : Quarterly Growth Rates of real GDP, change over previous quarter</w:t>
      </w:r>
      <w:r w:rsidRPr="00C338A7">
        <w:rPr>
          <w:spacing w:val="-4"/>
          <w:sz w:val="22"/>
          <w:szCs w:val="22"/>
        </w:rPr>
        <w:t>, OECD Stat, https://stats.oecd.org/index.aspx?queryid=350 (accessed 18 May 2021).</w:t>
      </w:r>
    </w:p>
    <w:p w14:paraId="1807CDF1" w14:textId="7DF15F74" w:rsidR="00193E2B" w:rsidRPr="00C338A7" w:rsidRDefault="00E133CA" w:rsidP="00C338A7">
      <w:pPr>
        <w:pStyle w:val="Reference"/>
        <w:rPr>
          <w:spacing w:val="-6"/>
          <w:sz w:val="22"/>
          <w:szCs w:val="22"/>
        </w:rPr>
      </w:pPr>
      <w:r w:rsidRPr="00C338A7">
        <w:rPr>
          <w:spacing w:val="-8"/>
          <w:sz w:val="22"/>
          <w:szCs w:val="22"/>
        </w:rPr>
        <w:t xml:space="preserve">ONS (Office for National Statistics) </w:t>
      </w:r>
      <w:r w:rsidR="00193E2B" w:rsidRPr="00C338A7">
        <w:rPr>
          <w:spacing w:val="-8"/>
          <w:sz w:val="22"/>
          <w:szCs w:val="22"/>
        </w:rPr>
        <w:t>2021</w:t>
      </w:r>
      <w:r w:rsidR="00D50434" w:rsidRPr="00C338A7">
        <w:rPr>
          <w:spacing w:val="-8"/>
          <w:sz w:val="22"/>
          <w:szCs w:val="22"/>
        </w:rPr>
        <w:t>a</w:t>
      </w:r>
      <w:r w:rsidR="00193E2B" w:rsidRPr="00C338A7">
        <w:rPr>
          <w:spacing w:val="-8"/>
          <w:sz w:val="22"/>
          <w:szCs w:val="22"/>
        </w:rPr>
        <w:t xml:space="preserve">, </w:t>
      </w:r>
      <w:r w:rsidR="00193E2B" w:rsidRPr="00C338A7">
        <w:rPr>
          <w:i/>
          <w:iCs/>
          <w:spacing w:val="-8"/>
          <w:sz w:val="22"/>
          <w:szCs w:val="22"/>
        </w:rPr>
        <w:t>HOUR01 SA: Actual weekly hours worked (seasonally adjusted)</w:t>
      </w:r>
      <w:r w:rsidR="00193E2B" w:rsidRPr="00C338A7">
        <w:rPr>
          <w:spacing w:val="-8"/>
          <w:sz w:val="22"/>
          <w:szCs w:val="22"/>
        </w:rPr>
        <w:t>,</w:t>
      </w:r>
      <w:r w:rsidR="00193E2B" w:rsidRPr="00C338A7">
        <w:rPr>
          <w:spacing w:val="-6"/>
          <w:sz w:val="22"/>
          <w:szCs w:val="22"/>
        </w:rPr>
        <w:t xml:space="preserve"> https://www.ons.gov.uk/employmentandlabourmarket/peopleinwork/earningsandworkinghours/datasets/actualweeklyhoursworkedseasonallyadjustedhour01sa (accessed 19 May 2021).</w:t>
      </w:r>
    </w:p>
    <w:p w14:paraId="7E745796" w14:textId="28F07F82" w:rsidR="00193E2B" w:rsidRPr="00C338A7" w:rsidRDefault="00E133CA" w:rsidP="00C338A7">
      <w:pPr>
        <w:pStyle w:val="Reference"/>
        <w:rPr>
          <w:spacing w:val="-4"/>
          <w:sz w:val="22"/>
          <w:szCs w:val="22"/>
        </w:rPr>
      </w:pPr>
      <w:r w:rsidRPr="00C338A7">
        <w:rPr>
          <w:spacing w:val="-4"/>
          <w:sz w:val="22"/>
          <w:szCs w:val="22"/>
        </w:rPr>
        <w:t>——</w:t>
      </w:r>
      <w:r w:rsidR="008278E9">
        <w:rPr>
          <w:spacing w:val="-4"/>
          <w:sz w:val="22"/>
          <w:szCs w:val="22"/>
        </w:rPr>
        <w:t> </w:t>
      </w:r>
      <w:r w:rsidR="00193E2B" w:rsidRPr="00C338A7">
        <w:rPr>
          <w:spacing w:val="-4"/>
          <w:sz w:val="22"/>
          <w:szCs w:val="22"/>
        </w:rPr>
        <w:t>2021</w:t>
      </w:r>
      <w:r w:rsidR="00D50434" w:rsidRPr="00C338A7">
        <w:rPr>
          <w:spacing w:val="-4"/>
          <w:sz w:val="22"/>
          <w:szCs w:val="22"/>
        </w:rPr>
        <w:t>b</w:t>
      </w:r>
      <w:r w:rsidR="00193E2B" w:rsidRPr="00C338A7">
        <w:rPr>
          <w:spacing w:val="-4"/>
          <w:sz w:val="22"/>
          <w:szCs w:val="22"/>
        </w:rPr>
        <w:t xml:space="preserve">, </w:t>
      </w:r>
      <w:r w:rsidR="00193E2B" w:rsidRPr="00C338A7">
        <w:rPr>
          <w:i/>
          <w:iCs/>
          <w:spacing w:val="-4"/>
          <w:sz w:val="22"/>
          <w:szCs w:val="22"/>
        </w:rPr>
        <w:t>Labour market statistics time series</w:t>
      </w:r>
      <w:r w:rsidR="00193E2B" w:rsidRPr="00C338A7">
        <w:rPr>
          <w:spacing w:val="-4"/>
          <w:sz w:val="22"/>
          <w:szCs w:val="22"/>
        </w:rPr>
        <w:t>, Series id. MGRZ, https://www.ons.gov.uk/</w:t>
      </w:r>
      <w:r w:rsidR="008278E9">
        <w:rPr>
          <w:spacing w:val="-4"/>
          <w:sz w:val="22"/>
          <w:szCs w:val="22"/>
        </w:rPr>
        <w:br/>
      </w:r>
      <w:r w:rsidR="00193E2B" w:rsidRPr="00C338A7">
        <w:rPr>
          <w:spacing w:val="-4"/>
          <w:sz w:val="22"/>
          <w:szCs w:val="22"/>
        </w:rPr>
        <w:t>employmentandlabourmarket/peopleinwork/employmentandemployeetypes/timeseries/mgrz/lms (accessed 11 May 2021).</w:t>
      </w:r>
    </w:p>
    <w:p w14:paraId="505108CE" w14:textId="77777777" w:rsidR="00193E2B" w:rsidRPr="00C338A7" w:rsidRDefault="00193E2B" w:rsidP="00C338A7">
      <w:pPr>
        <w:pStyle w:val="Reference"/>
        <w:rPr>
          <w:spacing w:val="-4"/>
          <w:sz w:val="22"/>
          <w:szCs w:val="22"/>
        </w:rPr>
      </w:pPr>
      <w:r w:rsidRPr="00C338A7">
        <w:rPr>
          <w:spacing w:val="-4"/>
          <w:sz w:val="22"/>
          <w:szCs w:val="22"/>
        </w:rPr>
        <w:t xml:space="preserve">PC (Productivity Commission) 2017, </w:t>
      </w:r>
      <w:r w:rsidRPr="00C338A7">
        <w:rPr>
          <w:i/>
          <w:iCs/>
          <w:spacing w:val="-4"/>
          <w:sz w:val="22"/>
          <w:szCs w:val="22"/>
        </w:rPr>
        <w:t>Shifting the Dial: 5 Year Productivity Review, supporting paper no. 1, Productivity and Income - the Australian Story</w:t>
      </w:r>
      <w:r w:rsidRPr="00C338A7">
        <w:rPr>
          <w:spacing w:val="-4"/>
          <w:sz w:val="22"/>
          <w:szCs w:val="22"/>
        </w:rPr>
        <w:t>, Canberra.</w:t>
      </w:r>
    </w:p>
    <w:p w14:paraId="4FCBB5A7" w14:textId="588589E7"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2019, </w:t>
      </w:r>
      <w:r w:rsidRPr="00C338A7">
        <w:rPr>
          <w:i/>
          <w:iCs/>
          <w:spacing w:val="-4"/>
          <w:sz w:val="22"/>
          <w:szCs w:val="22"/>
        </w:rPr>
        <w:t>PC Productivity Bulletin</w:t>
      </w:r>
      <w:r w:rsidRPr="00C338A7">
        <w:rPr>
          <w:spacing w:val="-4"/>
          <w:sz w:val="22"/>
          <w:szCs w:val="22"/>
        </w:rPr>
        <w:t>, Canberra.</w:t>
      </w:r>
    </w:p>
    <w:p w14:paraId="5504BA4F" w14:textId="57FDEE65"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2020, </w:t>
      </w:r>
      <w:r w:rsidRPr="00C338A7">
        <w:rPr>
          <w:i/>
          <w:iCs/>
          <w:spacing w:val="-4"/>
          <w:sz w:val="22"/>
          <w:szCs w:val="22"/>
        </w:rPr>
        <w:t>PC Productivity Insights</w:t>
      </w:r>
      <w:r w:rsidRPr="00C338A7">
        <w:rPr>
          <w:spacing w:val="-4"/>
          <w:sz w:val="22"/>
          <w:szCs w:val="22"/>
        </w:rPr>
        <w:t>, Canberra.</w:t>
      </w:r>
    </w:p>
    <w:p w14:paraId="316C3F18" w14:textId="3C81C050" w:rsidR="00193E2B" w:rsidRPr="00C338A7" w:rsidRDefault="00193E2B" w:rsidP="00C338A7">
      <w:pPr>
        <w:pStyle w:val="Reference"/>
        <w:rPr>
          <w:spacing w:val="-4"/>
          <w:sz w:val="22"/>
          <w:szCs w:val="22"/>
        </w:rPr>
      </w:pPr>
      <w:r w:rsidRPr="00C338A7">
        <w:rPr>
          <w:spacing w:val="-4"/>
          <w:sz w:val="22"/>
          <w:szCs w:val="22"/>
        </w:rPr>
        <w:t>——</w:t>
      </w:r>
      <w:r w:rsidR="008278E9">
        <w:rPr>
          <w:spacing w:val="-4"/>
          <w:sz w:val="22"/>
          <w:szCs w:val="22"/>
        </w:rPr>
        <w:t> </w:t>
      </w:r>
      <w:r w:rsidRPr="00C338A7">
        <w:rPr>
          <w:spacing w:val="-4"/>
          <w:sz w:val="22"/>
          <w:szCs w:val="22"/>
        </w:rPr>
        <w:t xml:space="preserve">2021, </w:t>
      </w:r>
      <w:r w:rsidRPr="00C338A7">
        <w:rPr>
          <w:i/>
          <w:iCs/>
          <w:spacing w:val="-4"/>
          <w:sz w:val="22"/>
          <w:szCs w:val="22"/>
        </w:rPr>
        <w:t>Things you can’t drop on your feet: An overview of Australia’s services sector productivity</w:t>
      </w:r>
      <w:r w:rsidRPr="00C338A7">
        <w:rPr>
          <w:spacing w:val="-4"/>
          <w:sz w:val="22"/>
          <w:szCs w:val="22"/>
        </w:rPr>
        <w:t>, PC Productivity Insights, Canberra, April.</w:t>
      </w:r>
    </w:p>
    <w:p w14:paraId="20BD3FC2" w14:textId="77777777" w:rsidR="00193E2B" w:rsidRPr="00C338A7" w:rsidRDefault="00193E2B" w:rsidP="00C338A7">
      <w:pPr>
        <w:pStyle w:val="Reference"/>
        <w:rPr>
          <w:spacing w:val="-4"/>
          <w:sz w:val="22"/>
          <w:szCs w:val="22"/>
        </w:rPr>
      </w:pPr>
      <w:r w:rsidRPr="00C338A7">
        <w:rPr>
          <w:spacing w:val="-4"/>
          <w:sz w:val="22"/>
          <w:szCs w:val="22"/>
        </w:rPr>
        <w:t xml:space="preserve">Phillips, B., Gray, M. and Biddle, N. 2020, </w:t>
      </w:r>
      <w:r w:rsidRPr="00C338A7">
        <w:rPr>
          <w:i/>
          <w:iCs/>
          <w:spacing w:val="-4"/>
          <w:sz w:val="22"/>
          <w:szCs w:val="22"/>
        </w:rPr>
        <w:t>COVID-19 JobKeeper and JobSeeker impacts on poverty and housing stress under current and alternative economic and policy scenarios</w:t>
      </w:r>
      <w:r w:rsidRPr="00C338A7">
        <w:rPr>
          <w:spacing w:val="-4"/>
          <w:sz w:val="22"/>
          <w:szCs w:val="22"/>
        </w:rPr>
        <w:t>, ANU Centre for Social Research and Methods.</w:t>
      </w:r>
    </w:p>
    <w:p w14:paraId="1743A642" w14:textId="77777777" w:rsidR="00193E2B" w:rsidRPr="00C338A7" w:rsidRDefault="00193E2B" w:rsidP="00C338A7">
      <w:pPr>
        <w:pStyle w:val="Reference"/>
        <w:rPr>
          <w:spacing w:val="-4"/>
          <w:sz w:val="22"/>
          <w:szCs w:val="22"/>
        </w:rPr>
      </w:pPr>
      <w:r w:rsidRPr="00C338A7">
        <w:rPr>
          <w:spacing w:val="-4"/>
          <w:sz w:val="22"/>
          <w:szCs w:val="22"/>
        </w:rPr>
        <w:t xml:space="preserve">Statistics Canada 2021, </w:t>
      </w:r>
      <w:r w:rsidRPr="00C338A7">
        <w:rPr>
          <w:i/>
          <w:iCs/>
          <w:spacing w:val="-4"/>
          <w:sz w:val="22"/>
          <w:szCs w:val="22"/>
        </w:rPr>
        <w:t>Table 14-10-0287-01  Labour force characteristics, monthly, seasonally adjusted and trend-cycle, last 5 months</w:t>
      </w:r>
      <w:r w:rsidRPr="00C338A7">
        <w:rPr>
          <w:spacing w:val="-4"/>
          <w:sz w:val="22"/>
          <w:szCs w:val="22"/>
        </w:rPr>
        <w:t>, https://www150.statcan.gc.ca/t1/tbl1/en/tv.action?pid=1410028701 (accessed 18 May 2021).</w:t>
      </w:r>
    </w:p>
    <w:p w14:paraId="194DEEF9" w14:textId="77777777" w:rsidR="00193E2B" w:rsidRPr="00C338A7" w:rsidRDefault="00193E2B" w:rsidP="00C338A7">
      <w:pPr>
        <w:pStyle w:val="Reference"/>
        <w:rPr>
          <w:spacing w:val="-4"/>
          <w:sz w:val="22"/>
          <w:szCs w:val="22"/>
        </w:rPr>
      </w:pPr>
      <w:r w:rsidRPr="00C338A7">
        <w:rPr>
          <w:spacing w:val="-4"/>
          <w:sz w:val="22"/>
          <w:szCs w:val="22"/>
        </w:rPr>
        <w:t xml:space="preserve">Stats NZ 2021, </w:t>
      </w:r>
      <w:r w:rsidRPr="00C338A7">
        <w:rPr>
          <w:i/>
          <w:iCs/>
          <w:spacing w:val="-4"/>
          <w:sz w:val="22"/>
          <w:szCs w:val="22"/>
        </w:rPr>
        <w:t>Labour market statistics: March 2021 quarter</w:t>
      </w:r>
      <w:r w:rsidRPr="00C338A7">
        <w:rPr>
          <w:spacing w:val="-4"/>
          <w:sz w:val="22"/>
          <w:szCs w:val="22"/>
        </w:rPr>
        <w:t>, https://www.stats.govt.nz/information-releases/labour-market-statistics-march-2021-quarter (accessed 18 May 2021).</w:t>
      </w:r>
    </w:p>
    <w:p w14:paraId="5DD57463" w14:textId="1DA4B179" w:rsidR="00193E2B" w:rsidRPr="00C338A7" w:rsidRDefault="00193E2B" w:rsidP="00C338A7">
      <w:pPr>
        <w:pStyle w:val="Reference"/>
        <w:rPr>
          <w:spacing w:val="-4"/>
          <w:sz w:val="22"/>
          <w:szCs w:val="22"/>
        </w:rPr>
      </w:pPr>
      <w:r w:rsidRPr="00C338A7">
        <w:rPr>
          <w:spacing w:val="-4"/>
          <w:sz w:val="22"/>
          <w:szCs w:val="22"/>
        </w:rPr>
        <w:t xml:space="preserve">Treasury 2020a, </w:t>
      </w:r>
      <w:r w:rsidRPr="00C338A7">
        <w:rPr>
          <w:i/>
          <w:iCs/>
          <w:spacing w:val="-4"/>
          <w:sz w:val="22"/>
          <w:szCs w:val="22"/>
        </w:rPr>
        <w:t>Boosting cash flow for employers</w:t>
      </w:r>
      <w:r w:rsidRPr="00C338A7">
        <w:rPr>
          <w:spacing w:val="-4"/>
          <w:sz w:val="22"/>
          <w:szCs w:val="22"/>
        </w:rPr>
        <w:t>, Canberra, https://treasury.gov.au/sites/</w:t>
      </w:r>
      <w:r w:rsidR="00AB59E1">
        <w:rPr>
          <w:spacing w:val="-4"/>
          <w:sz w:val="22"/>
          <w:szCs w:val="22"/>
        </w:rPr>
        <w:br/>
      </w:r>
      <w:r w:rsidRPr="00C338A7">
        <w:rPr>
          <w:spacing w:val="-4"/>
          <w:sz w:val="22"/>
          <w:szCs w:val="22"/>
        </w:rPr>
        <w:t>default/files/2020-04/fact_sheet-boosting_cash_flow_for_employers.pdf (accessed 25 March 2021).</w:t>
      </w:r>
    </w:p>
    <w:p w14:paraId="60DEE111" w14:textId="36E4B576" w:rsidR="00193E2B" w:rsidRPr="00C338A7" w:rsidRDefault="00193E2B" w:rsidP="00C338A7">
      <w:pPr>
        <w:pStyle w:val="Reference"/>
        <w:rPr>
          <w:spacing w:val="-4"/>
          <w:sz w:val="22"/>
          <w:szCs w:val="22"/>
        </w:rPr>
      </w:pPr>
      <w:r w:rsidRPr="00C338A7">
        <w:rPr>
          <w:spacing w:val="-4"/>
          <w:sz w:val="22"/>
          <w:szCs w:val="22"/>
        </w:rPr>
        <w:t>——</w:t>
      </w:r>
      <w:r w:rsidR="00343561">
        <w:rPr>
          <w:spacing w:val="-4"/>
          <w:sz w:val="22"/>
          <w:szCs w:val="22"/>
        </w:rPr>
        <w:t> </w:t>
      </w:r>
      <w:r w:rsidRPr="00C338A7">
        <w:rPr>
          <w:spacing w:val="-4"/>
          <w:sz w:val="22"/>
          <w:szCs w:val="22"/>
        </w:rPr>
        <w:t xml:space="preserve">2020b, </w:t>
      </w:r>
      <w:r w:rsidRPr="00C338A7">
        <w:rPr>
          <w:i/>
          <w:iCs/>
          <w:spacing w:val="-4"/>
          <w:sz w:val="22"/>
          <w:szCs w:val="22"/>
        </w:rPr>
        <w:t>HomeBuilder</w:t>
      </w:r>
      <w:r w:rsidRPr="00C338A7">
        <w:rPr>
          <w:spacing w:val="-4"/>
          <w:sz w:val="22"/>
          <w:szCs w:val="22"/>
        </w:rPr>
        <w:t>, Canberra, https://treasury.gov.au/sites/default/files/2021-04/Home</w:t>
      </w:r>
      <w:r w:rsidR="00535080">
        <w:rPr>
          <w:spacing w:val="-4"/>
          <w:sz w:val="22"/>
          <w:szCs w:val="22"/>
        </w:rPr>
        <w:br/>
      </w:r>
      <w:r w:rsidRPr="00C338A7">
        <w:rPr>
          <w:spacing w:val="-4"/>
          <w:sz w:val="22"/>
          <w:szCs w:val="22"/>
        </w:rPr>
        <w:t>BuilderFS_20210417.pdf (accessed 21 April 2021).</w:t>
      </w:r>
    </w:p>
    <w:p w14:paraId="616D209E" w14:textId="77777777" w:rsidR="00193E2B" w:rsidRPr="00C338A7" w:rsidRDefault="00193E2B" w:rsidP="00C338A7">
      <w:pPr>
        <w:pStyle w:val="Reference"/>
        <w:rPr>
          <w:spacing w:val="-4"/>
          <w:sz w:val="22"/>
          <w:szCs w:val="22"/>
        </w:rPr>
      </w:pPr>
      <w:r w:rsidRPr="00C338A7">
        <w:rPr>
          <w:spacing w:val="-4"/>
          <w:sz w:val="22"/>
          <w:szCs w:val="22"/>
        </w:rPr>
        <w:t xml:space="preserve">—— 2020c, </w:t>
      </w:r>
      <w:r w:rsidRPr="00C338A7">
        <w:rPr>
          <w:i/>
          <w:iCs/>
          <w:spacing w:val="-4"/>
          <w:sz w:val="22"/>
          <w:szCs w:val="22"/>
        </w:rPr>
        <w:t>JobKeeper Payment Extension</w:t>
      </w:r>
      <w:r w:rsidRPr="00C338A7">
        <w:rPr>
          <w:spacing w:val="-4"/>
          <w:sz w:val="22"/>
          <w:szCs w:val="22"/>
        </w:rPr>
        <w:t>, Australian Government, Canberra.</w:t>
      </w:r>
    </w:p>
    <w:p w14:paraId="400D93C9" w14:textId="56959683" w:rsidR="00A77AA7" w:rsidRPr="00C338A7" w:rsidRDefault="00193E2B" w:rsidP="00193E2B">
      <w:pPr>
        <w:pStyle w:val="Reference"/>
        <w:rPr>
          <w:spacing w:val="-4"/>
          <w:sz w:val="22"/>
          <w:szCs w:val="22"/>
        </w:rPr>
      </w:pPr>
      <w:r w:rsidRPr="00C338A7">
        <w:rPr>
          <w:spacing w:val="-4"/>
          <w:sz w:val="22"/>
          <w:szCs w:val="22"/>
        </w:rPr>
        <w:t xml:space="preserve">—— 2020d, </w:t>
      </w:r>
      <w:r w:rsidRPr="00C338A7">
        <w:rPr>
          <w:i/>
          <w:iCs/>
          <w:spacing w:val="-4"/>
          <w:sz w:val="22"/>
          <w:szCs w:val="22"/>
        </w:rPr>
        <w:t>The JobKeeper Payment: Three-month review</w:t>
      </w:r>
      <w:r w:rsidRPr="00C338A7">
        <w:rPr>
          <w:spacing w:val="-4"/>
          <w:sz w:val="22"/>
          <w:szCs w:val="22"/>
        </w:rPr>
        <w:t>, Canberra.</w:t>
      </w:r>
    </w:p>
    <w:sectPr w:rsidR="00A77AA7" w:rsidRPr="00C338A7" w:rsidSect="00ED5D82">
      <w:type w:val="oddPage"/>
      <w:pgSz w:w="11906" w:h="16838"/>
      <w:pgMar w:top="1984" w:right="1304" w:bottom="1247" w:left="1814" w:header="1701"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A9909" w14:textId="77777777" w:rsidR="007D24C8" w:rsidRDefault="007D24C8" w:rsidP="00534098">
      <w:r>
        <w:separator/>
      </w:r>
    </w:p>
  </w:endnote>
  <w:endnote w:type="continuationSeparator" w:id="0">
    <w:p w14:paraId="5501A6C8" w14:textId="77777777" w:rsidR="007D24C8" w:rsidRDefault="007D24C8" w:rsidP="00534098">
      <w:r>
        <w:continuationSeparator/>
      </w:r>
    </w:p>
  </w:endnote>
  <w:endnote w:type="continuationNotice" w:id="1">
    <w:p w14:paraId="284B506D" w14:textId="77777777" w:rsidR="007D24C8" w:rsidRDefault="007D2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61E30" w14:paraId="3F6A01AD" w14:textId="77777777" w:rsidTr="00761E30">
      <w:trPr>
        <w:trHeight w:hRule="exact" w:val="567"/>
      </w:trPr>
      <w:tc>
        <w:tcPr>
          <w:tcW w:w="510" w:type="dxa"/>
        </w:tcPr>
        <w:p w14:paraId="53B47C66" w14:textId="77777777" w:rsidR="00761E30" w:rsidRPr="00A24443" w:rsidRDefault="00761E30" w:rsidP="00761E3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A5242">
            <w:rPr>
              <w:rStyle w:val="PageNumber"/>
              <w:caps w:val="0"/>
              <w:noProof/>
            </w:rPr>
            <w:t>56</w:t>
          </w:r>
          <w:r w:rsidRPr="00A24443">
            <w:rPr>
              <w:rStyle w:val="PageNumber"/>
              <w:caps w:val="0"/>
            </w:rPr>
            <w:fldChar w:fldCharType="end"/>
          </w:r>
        </w:p>
      </w:tc>
      <w:tc>
        <w:tcPr>
          <w:tcW w:w="7767" w:type="dxa"/>
        </w:tcPr>
        <w:p w14:paraId="4E1538A3" w14:textId="22640A65" w:rsidR="00761E30" w:rsidRPr="0013739A" w:rsidRDefault="00761E30" w:rsidP="00761E30">
          <w:pPr>
            <w:pStyle w:val="Footer"/>
            <w:rPr>
              <w:rFonts w:cs="Arial"/>
            </w:rPr>
          </w:pPr>
          <w:r>
            <w:rPr>
              <w:rFonts w:cs="Arial"/>
            </w:rPr>
            <w:t>PC Productivity insights</w:t>
          </w:r>
          <w:r w:rsidRPr="00BA5B14">
            <w:rPr>
              <w:rFonts w:cs="Arial"/>
            </w:rPr>
            <w:t xml:space="preserve"> </w:t>
          </w:r>
          <w:r w:rsidR="00BC17EE">
            <w:rPr>
              <w:rFonts w:cs="Arial"/>
            </w:rPr>
            <w:t>2021</w:t>
          </w:r>
          <w:r w:rsidRPr="00BA5B14">
            <w:rPr>
              <w:rFonts w:cs="Arial"/>
            </w:rPr>
            <w:fldChar w:fldCharType="begin"/>
          </w:r>
          <w:r w:rsidRPr="00BA5B14">
            <w:rPr>
              <w:rFonts w:cs="Arial"/>
            </w:rPr>
            <w:instrText xml:space="preserve"> SUBJECT  \* MERGEFORMAT </w:instrText>
          </w:r>
          <w:r w:rsidRPr="00BA5B14">
            <w:rPr>
              <w:rFonts w:cs="Arial"/>
            </w:rPr>
            <w:fldChar w:fldCharType="end"/>
          </w:r>
          <w:bookmarkStart w:id="9" w:name="DraftReportEven"/>
          <w:bookmarkEnd w:id="9"/>
        </w:p>
      </w:tc>
      <w:tc>
        <w:tcPr>
          <w:tcW w:w="510" w:type="dxa"/>
        </w:tcPr>
        <w:p w14:paraId="1F2A9384" w14:textId="77777777" w:rsidR="00761E30" w:rsidRDefault="00761E30" w:rsidP="00761E30">
          <w:pPr>
            <w:pStyle w:val="Footer"/>
          </w:pPr>
        </w:p>
      </w:tc>
    </w:tr>
  </w:tbl>
  <w:p w14:paraId="60CF11B4" w14:textId="77777777" w:rsidR="00761E30" w:rsidRDefault="00761E30" w:rsidP="00761E30">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61E30" w14:paraId="308BDD91" w14:textId="77777777" w:rsidTr="00761E30">
      <w:trPr>
        <w:trHeight w:hRule="exact" w:val="567"/>
      </w:trPr>
      <w:tc>
        <w:tcPr>
          <w:tcW w:w="510" w:type="dxa"/>
        </w:tcPr>
        <w:p w14:paraId="741D3C4D" w14:textId="77777777" w:rsidR="00761E30" w:rsidRDefault="00761E30">
          <w:pPr>
            <w:pStyle w:val="Footer"/>
            <w:ind w:right="360" w:firstLine="360"/>
          </w:pPr>
        </w:p>
      </w:tc>
      <w:tc>
        <w:tcPr>
          <w:tcW w:w="7767" w:type="dxa"/>
        </w:tcPr>
        <w:p w14:paraId="209F3D61" w14:textId="2B68DF63" w:rsidR="00761E30" w:rsidRPr="00BA5B14" w:rsidRDefault="00B0660B" w:rsidP="00761E30">
          <w:pPr>
            <w:pStyle w:val="Footer"/>
            <w:jc w:val="right"/>
            <w:rPr>
              <w:rFonts w:cs="Arial"/>
            </w:rPr>
          </w:pPr>
          <w:r>
            <w:rPr>
              <w:rFonts w:cs="Arial"/>
            </w:rPr>
            <w:t>recent developments</w:t>
          </w:r>
        </w:p>
      </w:tc>
      <w:tc>
        <w:tcPr>
          <w:tcW w:w="510" w:type="dxa"/>
        </w:tcPr>
        <w:p w14:paraId="18026FE8" w14:textId="77777777" w:rsidR="00761E30" w:rsidRPr="00A24443" w:rsidRDefault="00761E3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A5242">
            <w:rPr>
              <w:rStyle w:val="PageNumber"/>
              <w:caps w:val="0"/>
              <w:noProof/>
            </w:rPr>
            <w:t>57</w:t>
          </w:r>
          <w:r w:rsidRPr="00A24443">
            <w:rPr>
              <w:rStyle w:val="PageNumber"/>
              <w:caps w:val="0"/>
            </w:rPr>
            <w:fldChar w:fldCharType="end"/>
          </w:r>
        </w:p>
      </w:tc>
    </w:tr>
  </w:tbl>
  <w:p w14:paraId="00BFC5B1" w14:textId="77777777" w:rsidR="00761E30" w:rsidRDefault="00761E30">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3F4A7" w14:textId="77777777" w:rsidR="007D24C8" w:rsidRDefault="007D24C8" w:rsidP="00534098">
      <w:r>
        <w:separator/>
      </w:r>
    </w:p>
  </w:footnote>
  <w:footnote w:type="continuationSeparator" w:id="0">
    <w:p w14:paraId="10007E0E" w14:textId="77777777" w:rsidR="007D24C8" w:rsidRDefault="007D24C8" w:rsidP="00534098">
      <w:r>
        <w:continuationSeparator/>
      </w:r>
    </w:p>
  </w:footnote>
  <w:footnote w:type="continuationNotice" w:id="1">
    <w:p w14:paraId="14CB469A" w14:textId="77777777" w:rsidR="007D24C8" w:rsidRDefault="007D24C8"/>
  </w:footnote>
  <w:footnote w:id="2">
    <w:p w14:paraId="4C90C77C" w14:textId="77777777" w:rsidR="00761E30" w:rsidRPr="00733510" w:rsidRDefault="00761E30" w:rsidP="00534098">
      <w:pPr>
        <w:pStyle w:val="FootnoteText"/>
        <w:rPr>
          <w:spacing w:val="-4"/>
        </w:rPr>
      </w:pPr>
      <w:r w:rsidRPr="00703C4D">
        <w:rPr>
          <w:rStyle w:val="FootnoteReference"/>
        </w:rPr>
        <w:footnoteRef/>
      </w:r>
      <w:r>
        <w:rPr>
          <w:rFonts w:ascii="Arial" w:hAnsi="Arial" w:cs="Arial"/>
          <w:color w:val="333333"/>
          <w:shd w:val="clear" w:color="auto" w:fill="FFFFFF"/>
        </w:rPr>
        <w:tab/>
      </w:r>
      <w:r w:rsidRPr="00733510">
        <w:rPr>
          <w:spacing w:val="-4"/>
        </w:rPr>
        <w:t>Capital services reflect the amount of 'service' each asset provides during a period. For each asset, the services provided in a period are directly proportional to the asset's productive capital value in the period. As an asset ages and its efficiency declines so does the productive capital value and the services the asset provides.</w:t>
      </w:r>
    </w:p>
  </w:footnote>
  <w:footnote w:id="3">
    <w:p w14:paraId="71293D31" w14:textId="264AC67A" w:rsidR="00761E30" w:rsidRDefault="00761E30">
      <w:pPr>
        <w:pStyle w:val="FootnoteText"/>
      </w:pPr>
      <w:r>
        <w:rPr>
          <w:rStyle w:val="FootnoteReference"/>
        </w:rPr>
        <w:footnoteRef/>
      </w:r>
      <w:r>
        <w:t xml:space="preserve"> </w:t>
      </w:r>
      <w:r>
        <w:tab/>
        <w:t xml:space="preserve">New Zealand only has quarterly data on employment (more frequent figures are available on jobs), if monthly data were available it may have shown a larger decrease during the worst months of COVID-19. </w:t>
      </w:r>
    </w:p>
  </w:footnote>
  <w:footnote w:id="4">
    <w:p w14:paraId="6941C1C0" w14:textId="775A276B" w:rsidR="00761E30" w:rsidRDefault="00761E30" w:rsidP="00534098">
      <w:pPr>
        <w:pStyle w:val="FootnoteText"/>
      </w:pPr>
      <w:r>
        <w:rPr>
          <w:rStyle w:val="FootnoteReference"/>
        </w:rPr>
        <w:footnoteRef/>
      </w:r>
      <w:r>
        <w:tab/>
      </w:r>
      <w:r w:rsidRPr="00F73134">
        <w:t>As discussed in section 2, this capital deepening is likely overestimated when the fall in capital utilisation is accounted for.</w:t>
      </w:r>
      <w:r>
        <w:t xml:space="preserve"> </w:t>
      </w:r>
    </w:p>
  </w:footnote>
  <w:footnote w:id="5">
    <w:p w14:paraId="1AB2DD8F" w14:textId="44DAE1DE" w:rsidR="00761E30" w:rsidRDefault="00761E30" w:rsidP="00873004">
      <w:pPr>
        <w:pStyle w:val="FootnoteText"/>
        <w:spacing w:before="0"/>
      </w:pPr>
      <w:r>
        <w:rPr>
          <w:rStyle w:val="FootnoteReference"/>
        </w:rPr>
        <w:footnoteRef/>
      </w:r>
      <w:r>
        <w:tab/>
      </w:r>
      <w:r w:rsidRPr="00E50F29">
        <w:t>The Oxford COVID-19 Government Response Tracker</w:t>
      </w:r>
      <w:r>
        <w:t xml:space="preserve"> collates </w:t>
      </w:r>
      <w:r w:rsidRPr="005D7B61">
        <w:t>publicly available information on 20</w:t>
      </w:r>
      <w:r>
        <w:t> </w:t>
      </w:r>
      <w:r w:rsidRPr="007B6883">
        <w:t xml:space="preserve">indicators of government responses. The stringency index </w:t>
      </w:r>
      <w:r>
        <w:t>contains</w:t>
      </w:r>
      <w:r w:rsidRPr="007B6883">
        <w:t xml:space="preserve"> information on the strictness of ‘lockdown style’ policies that primarily restrict people’s behaviour (Hale et al. 2021)</w:t>
      </w:r>
      <w:r>
        <w:t>.</w:t>
      </w:r>
    </w:p>
  </w:footnote>
  <w:footnote w:id="6">
    <w:p w14:paraId="5AEA859F" w14:textId="77777777" w:rsidR="00761E30" w:rsidRPr="00335080" w:rsidRDefault="00761E30" w:rsidP="00534098">
      <w:pPr>
        <w:pStyle w:val="FootnoteText"/>
        <w:rPr>
          <w:spacing w:val="-6"/>
        </w:rPr>
      </w:pPr>
      <w:r>
        <w:rPr>
          <w:rStyle w:val="FootnoteReference"/>
        </w:rPr>
        <w:footnoteRef/>
      </w:r>
      <w:r>
        <w:t xml:space="preserve"> </w:t>
      </w:r>
      <w:r>
        <w:tab/>
      </w:r>
      <w:r w:rsidRPr="00335080">
        <w:rPr>
          <w:spacing w:val="-6"/>
        </w:rPr>
        <w:t>Almost 300 000 firms exited the market in 2019-20 and only 7362 firms filed for insolvency over the same period.</w:t>
      </w:r>
    </w:p>
  </w:footnote>
  <w:footnote w:id="7">
    <w:p w14:paraId="72151A52" w14:textId="77777777" w:rsidR="00761E30" w:rsidRDefault="00761E30" w:rsidP="00534098">
      <w:pPr>
        <w:pStyle w:val="FootnoteText"/>
      </w:pPr>
      <w:r>
        <w:rPr>
          <w:rStyle w:val="FootnoteReference"/>
        </w:rPr>
        <w:footnoteRef/>
      </w:r>
      <w:r>
        <w:tab/>
        <w:t xml:space="preserve">Some assistance may be justified for industries that are still affected by border closures such as airlines, tourism operators or possibly higher educational institutions. </w:t>
      </w:r>
    </w:p>
  </w:footnote>
  <w:footnote w:id="8">
    <w:p w14:paraId="2E9FBBC5" w14:textId="77777777" w:rsidR="00761E30" w:rsidRDefault="00761E30" w:rsidP="00534098">
      <w:pPr>
        <w:pStyle w:val="FootnoteText"/>
      </w:pPr>
      <w:r>
        <w:rPr>
          <w:rStyle w:val="FootnoteReference"/>
        </w:rPr>
        <w:footnoteRef/>
      </w:r>
      <w:r>
        <w:tab/>
        <w:t xml:space="preserve">One could, for example, plot the level of assistance (perhaps as proportional to total factor income) by industry against the fall in employment, revenues (excluding subsidies) or output but this would fail to account for the effect that  assistance likely also affected the size of the falls in these variables as well. </w:t>
      </w:r>
    </w:p>
  </w:footnote>
  <w:footnote w:id="9">
    <w:p w14:paraId="40F33155" w14:textId="77777777" w:rsidR="00761E30" w:rsidRDefault="00761E30" w:rsidP="00534098">
      <w:pPr>
        <w:pStyle w:val="FootnoteText"/>
      </w:pPr>
      <w:r>
        <w:rPr>
          <w:rStyle w:val="FootnoteReference"/>
        </w:rPr>
        <w:footnoteRef/>
      </w:r>
      <w:r>
        <w:tab/>
        <w:t xml:space="preserve">Falls in investment can also be partially offset by the build of inventories that tends to occur in the early stages of a recession. </w:t>
      </w:r>
    </w:p>
  </w:footnote>
  <w:footnote w:id="10">
    <w:p w14:paraId="4CB86FA2" w14:textId="24773BAF" w:rsidR="00761E30" w:rsidRPr="00733510" w:rsidRDefault="00761E30" w:rsidP="00534098">
      <w:pPr>
        <w:pStyle w:val="FootnoteText"/>
        <w:rPr>
          <w:spacing w:val="-4"/>
        </w:rPr>
      </w:pPr>
      <w:r>
        <w:rPr>
          <w:rStyle w:val="FootnoteReference"/>
        </w:rPr>
        <w:footnoteRef/>
      </w:r>
      <w:r>
        <w:tab/>
      </w:r>
      <w:r w:rsidRPr="00733510">
        <w:rPr>
          <w:spacing w:val="-4"/>
        </w:rPr>
        <w:t xml:space="preserve">Utilisation of capital is assumed to be constant over time. To avoid the issues of utilisation fluctuating across the business cycle from affecting productivity statistics, the ABS </w:t>
      </w:r>
      <w:r w:rsidRPr="00733510">
        <w:rPr>
          <w:spacing w:val="-4"/>
          <w:szCs w:val="24"/>
        </w:rPr>
        <w:t>(2015, pp. 427, 431, 444)</w:t>
      </w:r>
      <w:r w:rsidRPr="00733510">
        <w:rPr>
          <w:spacing w:val="-4"/>
        </w:rPr>
        <w:t xml:space="preserve"> prefers to compare average productivity growth across ‘productivity cycles’ (essentially between peak to peak deviations from long-term MFP growth). The ABS (2020h) has also produced experimental estimates of modelling utilisation of capital and show this does not appear to alter estimates of multifactor productivity by very much. </w:t>
      </w:r>
    </w:p>
  </w:footnote>
  <w:footnote w:id="11">
    <w:p w14:paraId="5A9F66F4" w14:textId="77777777" w:rsidR="00761E30" w:rsidRDefault="00761E30" w:rsidP="00534098">
      <w:pPr>
        <w:pStyle w:val="FootnoteText"/>
      </w:pPr>
      <w:r>
        <w:rPr>
          <w:rStyle w:val="FootnoteReference"/>
        </w:rPr>
        <w:footnoteRef/>
      </w:r>
      <w:r>
        <w:tab/>
        <w:t xml:space="preserve">The ABS’s </w:t>
      </w:r>
      <w:r w:rsidRPr="00F039FA">
        <w:rPr>
          <w:i/>
          <w:iCs/>
        </w:rPr>
        <w:t>Labour Force Survey</w:t>
      </w:r>
      <w:r>
        <w:t xml:space="preserve"> does have hours worked at the subdivision level but as this is a household dataset it sometimes conflicts with the national accounts (which balance the results of business and household surveys via the </w:t>
      </w:r>
      <w:r w:rsidRPr="00041550">
        <w:rPr>
          <w:i/>
          <w:iCs/>
        </w:rPr>
        <w:t>Labour Account</w:t>
      </w:r>
      <w:r>
        <w:t xml:space="preserve">). </w:t>
      </w:r>
    </w:p>
  </w:footnote>
  <w:footnote w:id="12">
    <w:p w14:paraId="303D74F6" w14:textId="2AE01B86" w:rsidR="00761E30" w:rsidRDefault="00761E30" w:rsidP="00534098">
      <w:pPr>
        <w:pStyle w:val="FootnoteText"/>
      </w:pPr>
      <w:r>
        <w:rPr>
          <w:rStyle w:val="FootnoteReference"/>
        </w:rPr>
        <w:footnoteRef/>
      </w:r>
      <w:r>
        <w:tab/>
        <w:t xml:space="preserve">The median wage was estimated to be $36 in August 2020 </w:t>
      </w:r>
      <w:r w:rsidRPr="00E72382">
        <w:rPr>
          <w:szCs w:val="24"/>
        </w:rPr>
        <w:t>(ABS 2020d)</w:t>
      </w:r>
      <w:r>
        <w:t xml:space="preserve">. </w:t>
      </w:r>
    </w:p>
  </w:footnote>
  <w:footnote w:id="13">
    <w:p w14:paraId="40BCBE6F" w14:textId="0AF2112C" w:rsidR="00761E30" w:rsidRDefault="00761E30" w:rsidP="00534098">
      <w:pPr>
        <w:pStyle w:val="FootnoteText"/>
      </w:pPr>
      <w:r>
        <w:rPr>
          <w:rStyle w:val="FootnoteReference"/>
        </w:rPr>
        <w:footnoteRef/>
      </w:r>
      <w:r>
        <w:tab/>
        <w:t>If one both excludes 2019</w:t>
      </w:r>
      <w:r>
        <w:noBreakHyphen/>
        <w:t xml:space="preserve">20 </w:t>
      </w:r>
      <w:r w:rsidRPr="00A053A9">
        <w:rPr>
          <w:i/>
          <w:iCs/>
        </w:rPr>
        <w:t>and</w:t>
      </w:r>
      <w:r>
        <w:t xml:space="preserve"> looks at gross national income per capita rather than gross domestic product per capita, then the period 2010 to 2019 had slightly faster growth (1.27 per cent) than the 1970s mainly because of a slightly smaller outflow of foreign income (</w:t>
      </w:r>
      <w:r w:rsidRPr="005B51F7">
        <w:t>figure 2</w:t>
      </w:r>
      <w:r w:rsidR="005B51F7" w:rsidRPr="005B51F7">
        <w:t>6</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61E30" w14:paraId="57BB0E17" w14:textId="77777777">
      <w:tc>
        <w:tcPr>
          <w:tcW w:w="2155" w:type="dxa"/>
          <w:tcBorders>
            <w:top w:val="single" w:sz="24" w:space="0" w:color="auto"/>
          </w:tcBorders>
        </w:tcPr>
        <w:p w14:paraId="592752A9" w14:textId="77777777" w:rsidR="00761E30" w:rsidRDefault="00761E30" w:rsidP="00761E30">
          <w:pPr>
            <w:pStyle w:val="HeaderEven"/>
          </w:pPr>
        </w:p>
      </w:tc>
      <w:tc>
        <w:tcPr>
          <w:tcW w:w="6634" w:type="dxa"/>
          <w:tcBorders>
            <w:top w:val="single" w:sz="6" w:space="0" w:color="auto"/>
          </w:tcBorders>
        </w:tcPr>
        <w:p w14:paraId="549AF522" w14:textId="77777777" w:rsidR="00761E30" w:rsidRDefault="00761E30" w:rsidP="00761E30">
          <w:pPr>
            <w:pStyle w:val="HeaderEven"/>
          </w:pPr>
        </w:p>
      </w:tc>
    </w:tr>
  </w:tbl>
  <w:p w14:paraId="3E18620C" w14:textId="77777777" w:rsidR="00761E30" w:rsidRDefault="00761E30" w:rsidP="00761E30">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61E30" w14:paraId="31561C7C" w14:textId="77777777">
      <w:tc>
        <w:tcPr>
          <w:tcW w:w="6634" w:type="dxa"/>
          <w:tcBorders>
            <w:top w:val="single" w:sz="6" w:space="0" w:color="auto"/>
          </w:tcBorders>
        </w:tcPr>
        <w:p w14:paraId="01962E2A" w14:textId="77777777" w:rsidR="00761E30" w:rsidRDefault="00761E30" w:rsidP="00761E30">
          <w:pPr>
            <w:pStyle w:val="HeaderOdd"/>
          </w:pPr>
        </w:p>
      </w:tc>
      <w:tc>
        <w:tcPr>
          <w:tcW w:w="2155" w:type="dxa"/>
          <w:tcBorders>
            <w:top w:val="single" w:sz="24" w:space="0" w:color="auto"/>
          </w:tcBorders>
        </w:tcPr>
        <w:p w14:paraId="7975A55F" w14:textId="77777777" w:rsidR="00761E30" w:rsidRDefault="00761E30" w:rsidP="00761E30">
          <w:pPr>
            <w:pStyle w:val="HeaderOdd"/>
          </w:pPr>
        </w:p>
      </w:tc>
    </w:tr>
  </w:tbl>
  <w:p w14:paraId="4F8F8083" w14:textId="77777777" w:rsidR="00761E30" w:rsidRDefault="00761E30" w:rsidP="00761E30">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4173B57"/>
    <w:multiLevelType w:val="hybridMultilevel"/>
    <w:tmpl w:val="8910C50A"/>
    <w:lvl w:ilvl="0" w:tplc="30A6DAD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0C2E64"/>
    <w:multiLevelType w:val="hybridMultilevel"/>
    <w:tmpl w:val="51E2C4B4"/>
    <w:lvl w:ilvl="0" w:tplc="25CC765E">
      <w:start w:val="9"/>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D339B6"/>
    <w:multiLevelType w:val="hybridMultilevel"/>
    <w:tmpl w:val="8A3CB010"/>
    <w:lvl w:ilvl="0" w:tplc="FD0409CE">
      <w:start w:val="9"/>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DE90CAC"/>
    <w:multiLevelType w:val="hybridMultilevel"/>
    <w:tmpl w:val="F3549F22"/>
    <w:lvl w:ilvl="0" w:tplc="9EFE236A">
      <w:start w:val="1"/>
      <w:numFmt w:val="decimal"/>
      <w:lvlText w:val="%1"/>
      <w:lvlJc w:val="left"/>
      <w:pPr>
        <w:ind w:left="1272" w:hanging="91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2"/>
  </w:num>
  <w:num w:numId="3">
    <w:abstractNumId w:val="16"/>
  </w:num>
  <w:num w:numId="4">
    <w:abstractNumId w:val="3"/>
  </w:num>
  <w:num w:numId="5">
    <w:abstractNumId w:val="22"/>
  </w:num>
  <w:num w:numId="6">
    <w:abstractNumId w:val="18"/>
  </w:num>
  <w:num w:numId="7">
    <w:abstractNumId w:val="7"/>
  </w:num>
  <w:num w:numId="8">
    <w:abstractNumId w:val="17"/>
  </w:num>
  <w:num w:numId="9">
    <w:abstractNumId w:val="6"/>
  </w:num>
  <w:num w:numId="10">
    <w:abstractNumId w:val="5"/>
  </w:num>
  <w:num w:numId="11">
    <w:abstractNumId w:val="9"/>
  </w:num>
  <w:num w:numId="12">
    <w:abstractNumId w:val="13"/>
  </w:num>
  <w:num w:numId="13">
    <w:abstractNumId w:val="4"/>
  </w:num>
  <w:num w:numId="14">
    <w:abstractNumId w:val="19"/>
  </w:num>
  <w:num w:numId="15">
    <w:abstractNumId w:val="23"/>
  </w:num>
  <w:num w:numId="16">
    <w:abstractNumId w:val="15"/>
  </w:num>
  <w:num w:numId="17">
    <w:abstractNumId w:val="24"/>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1"/>
  </w:num>
  <w:num w:numId="21">
    <w:abstractNumId w:val="8"/>
  </w:num>
  <w:num w:numId="22">
    <w:abstractNumId w:val="10"/>
  </w:num>
  <w:num w:numId="23">
    <w:abstractNumId w:val="20"/>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linkStyle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98"/>
    <w:rsid w:val="00003DB9"/>
    <w:rsid w:val="00004114"/>
    <w:rsid w:val="0000781C"/>
    <w:rsid w:val="000147FE"/>
    <w:rsid w:val="000151F2"/>
    <w:rsid w:val="000154F2"/>
    <w:rsid w:val="00031938"/>
    <w:rsid w:val="00032460"/>
    <w:rsid w:val="0005409A"/>
    <w:rsid w:val="00082BFB"/>
    <w:rsid w:val="000A4693"/>
    <w:rsid w:val="000B2B63"/>
    <w:rsid w:val="000B4145"/>
    <w:rsid w:val="000B5881"/>
    <w:rsid w:val="000B5CA0"/>
    <w:rsid w:val="000B74D6"/>
    <w:rsid w:val="000D17B6"/>
    <w:rsid w:val="000D2009"/>
    <w:rsid w:val="000D47DB"/>
    <w:rsid w:val="000E06B8"/>
    <w:rsid w:val="000E2FEF"/>
    <w:rsid w:val="000E7F9E"/>
    <w:rsid w:val="000F3799"/>
    <w:rsid w:val="000F5CDA"/>
    <w:rsid w:val="00100DD3"/>
    <w:rsid w:val="00105BDC"/>
    <w:rsid w:val="0011157E"/>
    <w:rsid w:val="00114D48"/>
    <w:rsid w:val="00122460"/>
    <w:rsid w:val="00123CD5"/>
    <w:rsid w:val="00125772"/>
    <w:rsid w:val="00137100"/>
    <w:rsid w:val="00137E79"/>
    <w:rsid w:val="00142392"/>
    <w:rsid w:val="00144131"/>
    <w:rsid w:val="00144A9D"/>
    <w:rsid w:val="00146E64"/>
    <w:rsid w:val="00150EF9"/>
    <w:rsid w:val="0015674B"/>
    <w:rsid w:val="00157207"/>
    <w:rsid w:val="00173FF8"/>
    <w:rsid w:val="00180BAB"/>
    <w:rsid w:val="0018572C"/>
    <w:rsid w:val="00186021"/>
    <w:rsid w:val="001938A1"/>
    <w:rsid w:val="00193E2B"/>
    <w:rsid w:val="00194309"/>
    <w:rsid w:val="00194662"/>
    <w:rsid w:val="001966E2"/>
    <w:rsid w:val="00197BFF"/>
    <w:rsid w:val="001A21FD"/>
    <w:rsid w:val="001A6CC0"/>
    <w:rsid w:val="001A7194"/>
    <w:rsid w:val="001B6EA2"/>
    <w:rsid w:val="001C2463"/>
    <w:rsid w:val="001C4EDF"/>
    <w:rsid w:val="001C67B1"/>
    <w:rsid w:val="001D10FB"/>
    <w:rsid w:val="001E0379"/>
    <w:rsid w:val="001E1B3E"/>
    <w:rsid w:val="001E3A3B"/>
    <w:rsid w:val="00221A37"/>
    <w:rsid w:val="00231B80"/>
    <w:rsid w:val="00240287"/>
    <w:rsid w:val="002418BD"/>
    <w:rsid w:val="002561C5"/>
    <w:rsid w:val="0026488C"/>
    <w:rsid w:val="00264C0E"/>
    <w:rsid w:val="0026507C"/>
    <w:rsid w:val="00274D41"/>
    <w:rsid w:val="00276069"/>
    <w:rsid w:val="00280885"/>
    <w:rsid w:val="00282121"/>
    <w:rsid w:val="0028598B"/>
    <w:rsid w:val="002917D4"/>
    <w:rsid w:val="0029598C"/>
    <w:rsid w:val="002A005D"/>
    <w:rsid w:val="002A486C"/>
    <w:rsid w:val="002A5579"/>
    <w:rsid w:val="002A6B42"/>
    <w:rsid w:val="002A757E"/>
    <w:rsid w:val="002B4268"/>
    <w:rsid w:val="002B44A5"/>
    <w:rsid w:val="002B5E8F"/>
    <w:rsid w:val="002C09FD"/>
    <w:rsid w:val="002C4DF6"/>
    <w:rsid w:val="002C5144"/>
    <w:rsid w:val="002D0554"/>
    <w:rsid w:val="002D2DE4"/>
    <w:rsid w:val="002D4993"/>
    <w:rsid w:val="002D6B36"/>
    <w:rsid w:val="002E1C22"/>
    <w:rsid w:val="002E1F79"/>
    <w:rsid w:val="002E3B2E"/>
    <w:rsid w:val="002E440F"/>
    <w:rsid w:val="002F1C56"/>
    <w:rsid w:val="002F2CF6"/>
    <w:rsid w:val="002F45A4"/>
    <w:rsid w:val="002F4E7A"/>
    <w:rsid w:val="002F4F24"/>
    <w:rsid w:val="00303AB3"/>
    <w:rsid w:val="003069B6"/>
    <w:rsid w:val="003127C4"/>
    <w:rsid w:val="00314A96"/>
    <w:rsid w:val="00321C5C"/>
    <w:rsid w:val="003243F0"/>
    <w:rsid w:val="00331B59"/>
    <w:rsid w:val="00335080"/>
    <w:rsid w:val="00343561"/>
    <w:rsid w:val="00343EA9"/>
    <w:rsid w:val="003451D5"/>
    <w:rsid w:val="00345D3A"/>
    <w:rsid w:val="00362280"/>
    <w:rsid w:val="0037012C"/>
    <w:rsid w:val="00370990"/>
    <w:rsid w:val="00374C76"/>
    <w:rsid w:val="003831A4"/>
    <w:rsid w:val="00386BB4"/>
    <w:rsid w:val="003943D8"/>
    <w:rsid w:val="003A300B"/>
    <w:rsid w:val="003A70A3"/>
    <w:rsid w:val="003B4FDE"/>
    <w:rsid w:val="003B75ED"/>
    <w:rsid w:val="003C0B0F"/>
    <w:rsid w:val="003C3AA2"/>
    <w:rsid w:val="003E2E75"/>
    <w:rsid w:val="003F2F76"/>
    <w:rsid w:val="003F4EA3"/>
    <w:rsid w:val="00412D19"/>
    <w:rsid w:val="00414871"/>
    <w:rsid w:val="004217AA"/>
    <w:rsid w:val="00424E17"/>
    <w:rsid w:val="004266EF"/>
    <w:rsid w:val="00437193"/>
    <w:rsid w:val="0044174E"/>
    <w:rsid w:val="00445398"/>
    <w:rsid w:val="00450070"/>
    <w:rsid w:val="004579ED"/>
    <w:rsid w:val="004712D7"/>
    <w:rsid w:val="00483921"/>
    <w:rsid w:val="00486CE7"/>
    <w:rsid w:val="004939B5"/>
    <w:rsid w:val="00494862"/>
    <w:rsid w:val="00497CB8"/>
    <w:rsid w:val="004A6F00"/>
    <w:rsid w:val="004B19B6"/>
    <w:rsid w:val="004B31F5"/>
    <w:rsid w:val="004B7DE1"/>
    <w:rsid w:val="004C1418"/>
    <w:rsid w:val="004C249A"/>
    <w:rsid w:val="004D15EF"/>
    <w:rsid w:val="004D7235"/>
    <w:rsid w:val="004E13A5"/>
    <w:rsid w:val="004E2B47"/>
    <w:rsid w:val="004E3B8F"/>
    <w:rsid w:val="004F1536"/>
    <w:rsid w:val="00507686"/>
    <w:rsid w:val="005079F3"/>
    <w:rsid w:val="00516296"/>
    <w:rsid w:val="00520DB2"/>
    <w:rsid w:val="00522940"/>
    <w:rsid w:val="00522F55"/>
    <w:rsid w:val="0052478A"/>
    <w:rsid w:val="00531E7B"/>
    <w:rsid w:val="00534098"/>
    <w:rsid w:val="00535080"/>
    <w:rsid w:val="0053659F"/>
    <w:rsid w:val="00536C0D"/>
    <w:rsid w:val="00551BA5"/>
    <w:rsid w:val="0055473C"/>
    <w:rsid w:val="0056163C"/>
    <w:rsid w:val="00561E0F"/>
    <w:rsid w:val="00566BDF"/>
    <w:rsid w:val="005736D5"/>
    <w:rsid w:val="00573864"/>
    <w:rsid w:val="005739F0"/>
    <w:rsid w:val="005742A9"/>
    <w:rsid w:val="00581ABC"/>
    <w:rsid w:val="0058610D"/>
    <w:rsid w:val="0059002D"/>
    <w:rsid w:val="00592A61"/>
    <w:rsid w:val="005A31EB"/>
    <w:rsid w:val="005A4107"/>
    <w:rsid w:val="005A7BE4"/>
    <w:rsid w:val="005A7EE3"/>
    <w:rsid w:val="005B253C"/>
    <w:rsid w:val="005B4840"/>
    <w:rsid w:val="005B51F7"/>
    <w:rsid w:val="005C1363"/>
    <w:rsid w:val="005C2B96"/>
    <w:rsid w:val="005C694D"/>
    <w:rsid w:val="005C7F5E"/>
    <w:rsid w:val="005D11E9"/>
    <w:rsid w:val="005F359A"/>
    <w:rsid w:val="005F71A6"/>
    <w:rsid w:val="00601825"/>
    <w:rsid w:val="006126D3"/>
    <w:rsid w:val="00614794"/>
    <w:rsid w:val="006307B1"/>
    <w:rsid w:val="00630C31"/>
    <w:rsid w:val="006322FC"/>
    <w:rsid w:val="00640146"/>
    <w:rsid w:val="00647B75"/>
    <w:rsid w:val="006550A8"/>
    <w:rsid w:val="006562F6"/>
    <w:rsid w:val="00662B4B"/>
    <w:rsid w:val="00662EA5"/>
    <w:rsid w:val="00663429"/>
    <w:rsid w:val="0066476E"/>
    <w:rsid w:val="00670A0C"/>
    <w:rsid w:val="00672B8D"/>
    <w:rsid w:val="006957EB"/>
    <w:rsid w:val="00695CC8"/>
    <w:rsid w:val="00695CD0"/>
    <w:rsid w:val="006A033C"/>
    <w:rsid w:val="006A5242"/>
    <w:rsid w:val="006B13F6"/>
    <w:rsid w:val="006D248A"/>
    <w:rsid w:val="006E3237"/>
    <w:rsid w:val="006F103E"/>
    <w:rsid w:val="006F4ACF"/>
    <w:rsid w:val="00704686"/>
    <w:rsid w:val="00710BE1"/>
    <w:rsid w:val="00715EB6"/>
    <w:rsid w:val="007227D6"/>
    <w:rsid w:val="0072573D"/>
    <w:rsid w:val="00725A32"/>
    <w:rsid w:val="00726F93"/>
    <w:rsid w:val="00733510"/>
    <w:rsid w:val="00733F2A"/>
    <w:rsid w:val="00734E86"/>
    <w:rsid w:val="00735430"/>
    <w:rsid w:val="0074103B"/>
    <w:rsid w:val="0074192E"/>
    <w:rsid w:val="00746B0A"/>
    <w:rsid w:val="0076155F"/>
    <w:rsid w:val="00761E30"/>
    <w:rsid w:val="00764FDF"/>
    <w:rsid w:val="00770C60"/>
    <w:rsid w:val="00772E8C"/>
    <w:rsid w:val="00773A6A"/>
    <w:rsid w:val="0077558D"/>
    <w:rsid w:val="00777AE4"/>
    <w:rsid w:val="007847A2"/>
    <w:rsid w:val="00787458"/>
    <w:rsid w:val="00794AF9"/>
    <w:rsid w:val="007A13CA"/>
    <w:rsid w:val="007A39EB"/>
    <w:rsid w:val="007C3760"/>
    <w:rsid w:val="007C4B62"/>
    <w:rsid w:val="007C7405"/>
    <w:rsid w:val="007D24C8"/>
    <w:rsid w:val="007D6DF2"/>
    <w:rsid w:val="007F3BED"/>
    <w:rsid w:val="00804799"/>
    <w:rsid w:val="008061E6"/>
    <w:rsid w:val="008144B0"/>
    <w:rsid w:val="00816B85"/>
    <w:rsid w:val="00816F09"/>
    <w:rsid w:val="00821945"/>
    <w:rsid w:val="008278E9"/>
    <w:rsid w:val="00836590"/>
    <w:rsid w:val="00854FEC"/>
    <w:rsid w:val="00873004"/>
    <w:rsid w:val="00873FD6"/>
    <w:rsid w:val="00874547"/>
    <w:rsid w:val="00883AF4"/>
    <w:rsid w:val="00892D52"/>
    <w:rsid w:val="00895F70"/>
    <w:rsid w:val="00897A6E"/>
    <w:rsid w:val="008A0CCC"/>
    <w:rsid w:val="008A2A95"/>
    <w:rsid w:val="008A42C3"/>
    <w:rsid w:val="008B342F"/>
    <w:rsid w:val="008B6109"/>
    <w:rsid w:val="008B68AA"/>
    <w:rsid w:val="008C5D6F"/>
    <w:rsid w:val="008E032A"/>
    <w:rsid w:val="008E1F02"/>
    <w:rsid w:val="008E3804"/>
    <w:rsid w:val="008E6BA0"/>
    <w:rsid w:val="008F57BA"/>
    <w:rsid w:val="00900171"/>
    <w:rsid w:val="00904B83"/>
    <w:rsid w:val="0090634B"/>
    <w:rsid w:val="00907318"/>
    <w:rsid w:val="00914366"/>
    <w:rsid w:val="00914E29"/>
    <w:rsid w:val="00915503"/>
    <w:rsid w:val="00920591"/>
    <w:rsid w:val="009254D1"/>
    <w:rsid w:val="00946E9C"/>
    <w:rsid w:val="00947514"/>
    <w:rsid w:val="00947C92"/>
    <w:rsid w:val="00967007"/>
    <w:rsid w:val="00983039"/>
    <w:rsid w:val="00996E73"/>
    <w:rsid w:val="009B09CC"/>
    <w:rsid w:val="009B5DFA"/>
    <w:rsid w:val="009B601F"/>
    <w:rsid w:val="009D05B8"/>
    <w:rsid w:val="009D29B2"/>
    <w:rsid w:val="009E304C"/>
    <w:rsid w:val="009F3F45"/>
    <w:rsid w:val="009F3FB7"/>
    <w:rsid w:val="00A06FC5"/>
    <w:rsid w:val="00A17789"/>
    <w:rsid w:val="00A22F38"/>
    <w:rsid w:val="00A23967"/>
    <w:rsid w:val="00A24520"/>
    <w:rsid w:val="00A25FFA"/>
    <w:rsid w:val="00A3195D"/>
    <w:rsid w:val="00A35EBC"/>
    <w:rsid w:val="00A368B3"/>
    <w:rsid w:val="00A520FB"/>
    <w:rsid w:val="00A702C0"/>
    <w:rsid w:val="00A77AA7"/>
    <w:rsid w:val="00A844A7"/>
    <w:rsid w:val="00A91AF9"/>
    <w:rsid w:val="00A93706"/>
    <w:rsid w:val="00A94769"/>
    <w:rsid w:val="00AA1CC8"/>
    <w:rsid w:val="00AB59E1"/>
    <w:rsid w:val="00AC0120"/>
    <w:rsid w:val="00AC369F"/>
    <w:rsid w:val="00AD0093"/>
    <w:rsid w:val="00AD1194"/>
    <w:rsid w:val="00AD768B"/>
    <w:rsid w:val="00AE30F7"/>
    <w:rsid w:val="00AE7010"/>
    <w:rsid w:val="00AF3652"/>
    <w:rsid w:val="00AF3E2B"/>
    <w:rsid w:val="00AF6DE9"/>
    <w:rsid w:val="00B01736"/>
    <w:rsid w:val="00B03DCC"/>
    <w:rsid w:val="00B0660B"/>
    <w:rsid w:val="00B069AB"/>
    <w:rsid w:val="00B12EBD"/>
    <w:rsid w:val="00B13187"/>
    <w:rsid w:val="00B156E2"/>
    <w:rsid w:val="00B21F4B"/>
    <w:rsid w:val="00B22A86"/>
    <w:rsid w:val="00B26887"/>
    <w:rsid w:val="00B27C68"/>
    <w:rsid w:val="00B329D6"/>
    <w:rsid w:val="00B34397"/>
    <w:rsid w:val="00B34EB8"/>
    <w:rsid w:val="00B35E15"/>
    <w:rsid w:val="00B363E6"/>
    <w:rsid w:val="00B4632E"/>
    <w:rsid w:val="00B46514"/>
    <w:rsid w:val="00B5050C"/>
    <w:rsid w:val="00B523CD"/>
    <w:rsid w:val="00B535ED"/>
    <w:rsid w:val="00B57FAB"/>
    <w:rsid w:val="00B60E85"/>
    <w:rsid w:val="00B64400"/>
    <w:rsid w:val="00B713EE"/>
    <w:rsid w:val="00B75678"/>
    <w:rsid w:val="00B83861"/>
    <w:rsid w:val="00B85FC1"/>
    <w:rsid w:val="00B96419"/>
    <w:rsid w:val="00BA44F9"/>
    <w:rsid w:val="00BB0217"/>
    <w:rsid w:val="00BB5150"/>
    <w:rsid w:val="00BB71DE"/>
    <w:rsid w:val="00BB7B7F"/>
    <w:rsid w:val="00BC17EE"/>
    <w:rsid w:val="00BC570E"/>
    <w:rsid w:val="00BD4D68"/>
    <w:rsid w:val="00BD6D25"/>
    <w:rsid w:val="00BE5403"/>
    <w:rsid w:val="00BE5BCC"/>
    <w:rsid w:val="00BE7036"/>
    <w:rsid w:val="00C02E8A"/>
    <w:rsid w:val="00C10ABA"/>
    <w:rsid w:val="00C15385"/>
    <w:rsid w:val="00C25536"/>
    <w:rsid w:val="00C32663"/>
    <w:rsid w:val="00C338A7"/>
    <w:rsid w:val="00C33F2F"/>
    <w:rsid w:val="00C36290"/>
    <w:rsid w:val="00C41D61"/>
    <w:rsid w:val="00C560D9"/>
    <w:rsid w:val="00C7198C"/>
    <w:rsid w:val="00C96676"/>
    <w:rsid w:val="00CA7690"/>
    <w:rsid w:val="00CA7AEA"/>
    <w:rsid w:val="00CB6A22"/>
    <w:rsid w:val="00CC33ED"/>
    <w:rsid w:val="00CC40BF"/>
    <w:rsid w:val="00CD6F12"/>
    <w:rsid w:val="00CE3976"/>
    <w:rsid w:val="00CF0C99"/>
    <w:rsid w:val="00CF6ED5"/>
    <w:rsid w:val="00D048C1"/>
    <w:rsid w:val="00D11DFA"/>
    <w:rsid w:val="00D11EC2"/>
    <w:rsid w:val="00D159F9"/>
    <w:rsid w:val="00D20FBB"/>
    <w:rsid w:val="00D23619"/>
    <w:rsid w:val="00D23D15"/>
    <w:rsid w:val="00D265AE"/>
    <w:rsid w:val="00D2665C"/>
    <w:rsid w:val="00D269CF"/>
    <w:rsid w:val="00D44306"/>
    <w:rsid w:val="00D50434"/>
    <w:rsid w:val="00D506D4"/>
    <w:rsid w:val="00D5218F"/>
    <w:rsid w:val="00D52DC2"/>
    <w:rsid w:val="00D540D9"/>
    <w:rsid w:val="00D561DC"/>
    <w:rsid w:val="00D63F8D"/>
    <w:rsid w:val="00D71386"/>
    <w:rsid w:val="00D762DF"/>
    <w:rsid w:val="00D819A1"/>
    <w:rsid w:val="00D95E6F"/>
    <w:rsid w:val="00DA33A3"/>
    <w:rsid w:val="00DA3D60"/>
    <w:rsid w:val="00DA7689"/>
    <w:rsid w:val="00DC23EC"/>
    <w:rsid w:val="00DC521D"/>
    <w:rsid w:val="00DE1B34"/>
    <w:rsid w:val="00E133CA"/>
    <w:rsid w:val="00E13BDB"/>
    <w:rsid w:val="00E16E5A"/>
    <w:rsid w:val="00E17D11"/>
    <w:rsid w:val="00E23D89"/>
    <w:rsid w:val="00E30786"/>
    <w:rsid w:val="00E3195C"/>
    <w:rsid w:val="00E33E5F"/>
    <w:rsid w:val="00E41CDE"/>
    <w:rsid w:val="00E427A0"/>
    <w:rsid w:val="00E50EF0"/>
    <w:rsid w:val="00E53D79"/>
    <w:rsid w:val="00E55B3D"/>
    <w:rsid w:val="00E5628E"/>
    <w:rsid w:val="00E6375D"/>
    <w:rsid w:val="00E679BB"/>
    <w:rsid w:val="00E8510B"/>
    <w:rsid w:val="00E86886"/>
    <w:rsid w:val="00E96970"/>
    <w:rsid w:val="00EB013B"/>
    <w:rsid w:val="00EB381D"/>
    <w:rsid w:val="00EB75D4"/>
    <w:rsid w:val="00EC2344"/>
    <w:rsid w:val="00EC2C19"/>
    <w:rsid w:val="00EC3AF1"/>
    <w:rsid w:val="00ED5D82"/>
    <w:rsid w:val="00EE4794"/>
    <w:rsid w:val="00EF3E03"/>
    <w:rsid w:val="00F02A4A"/>
    <w:rsid w:val="00F1344D"/>
    <w:rsid w:val="00F16CC8"/>
    <w:rsid w:val="00F354AE"/>
    <w:rsid w:val="00F40D8B"/>
    <w:rsid w:val="00F4330A"/>
    <w:rsid w:val="00F44ED7"/>
    <w:rsid w:val="00F6476D"/>
    <w:rsid w:val="00F73134"/>
    <w:rsid w:val="00F74033"/>
    <w:rsid w:val="00F90327"/>
    <w:rsid w:val="00F903CD"/>
    <w:rsid w:val="00F934B3"/>
    <w:rsid w:val="00F94125"/>
    <w:rsid w:val="00FA08D3"/>
    <w:rsid w:val="00FB3C40"/>
    <w:rsid w:val="00FB787A"/>
    <w:rsid w:val="00FD0A69"/>
    <w:rsid w:val="00FD1DD1"/>
    <w:rsid w:val="00FE4180"/>
    <w:rsid w:val="00FE7592"/>
    <w:rsid w:val="00FF2E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ECF0B"/>
  <w15:chartTrackingRefBased/>
  <w15:docId w15:val="{F1E878A4-830F-4EE1-B06F-42EDA74D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7DB"/>
  </w:style>
  <w:style w:type="paragraph" w:styleId="Heading1">
    <w:name w:val="heading 1"/>
    <w:basedOn w:val="BodyText"/>
    <w:next w:val="BodyText"/>
    <w:link w:val="Heading1Char"/>
    <w:rsid w:val="00733510"/>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733510"/>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733510"/>
    <w:pPr>
      <w:spacing w:before="560" w:line="320" w:lineRule="exact"/>
      <w:ind w:left="0" w:firstLine="0"/>
      <w:outlineLvl w:val="2"/>
    </w:pPr>
    <w:rPr>
      <w:sz w:val="26"/>
    </w:rPr>
  </w:style>
  <w:style w:type="paragraph" w:styleId="Heading4">
    <w:name w:val="heading 4"/>
    <w:basedOn w:val="Heading3"/>
    <w:next w:val="BodyText"/>
    <w:link w:val="Heading4Char"/>
    <w:qFormat/>
    <w:rsid w:val="00733510"/>
    <w:pPr>
      <w:spacing w:before="480"/>
      <w:outlineLvl w:val="3"/>
    </w:pPr>
    <w:rPr>
      <w:b w:val="0"/>
      <w:sz w:val="24"/>
    </w:rPr>
  </w:style>
  <w:style w:type="paragraph" w:styleId="Heading5">
    <w:name w:val="heading 5"/>
    <w:basedOn w:val="Heading4"/>
    <w:next w:val="BodyText"/>
    <w:link w:val="Heading5Char"/>
    <w:qFormat/>
    <w:rsid w:val="00733510"/>
    <w:pPr>
      <w:outlineLvl w:val="4"/>
    </w:pPr>
    <w:rPr>
      <w:i/>
      <w:sz w:val="22"/>
    </w:rPr>
  </w:style>
  <w:style w:type="paragraph" w:styleId="Heading6">
    <w:name w:val="heading 6"/>
    <w:basedOn w:val="BodyText"/>
    <w:next w:val="BodyText"/>
    <w:link w:val="Heading6Char"/>
    <w:semiHidden/>
    <w:rsid w:val="00733510"/>
    <w:pPr>
      <w:spacing w:after="60"/>
      <w:jc w:val="left"/>
      <w:outlineLvl w:val="5"/>
    </w:pPr>
    <w:rPr>
      <w:i/>
      <w:sz w:val="22"/>
    </w:rPr>
  </w:style>
  <w:style w:type="paragraph" w:styleId="Heading7">
    <w:name w:val="heading 7"/>
    <w:basedOn w:val="BodyText"/>
    <w:next w:val="BodyText"/>
    <w:link w:val="Heading7Char"/>
    <w:semiHidden/>
    <w:rsid w:val="00733510"/>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733510"/>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733510"/>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0D47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D47DB"/>
  </w:style>
  <w:style w:type="paragraph" w:styleId="BalloonText">
    <w:name w:val="Balloon Text"/>
    <w:basedOn w:val="Normal"/>
    <w:link w:val="BalloonTextChar"/>
    <w:rsid w:val="00733510"/>
    <w:rPr>
      <w:rFonts w:ascii="Tahoma" w:hAnsi="Tahoma" w:cs="Tahoma"/>
      <w:sz w:val="16"/>
      <w:szCs w:val="16"/>
    </w:rPr>
  </w:style>
  <w:style w:type="character" w:customStyle="1" w:styleId="BalloonTextChar">
    <w:name w:val="Balloon Text Char"/>
    <w:basedOn w:val="DefaultParagraphFont"/>
    <w:link w:val="BalloonText"/>
    <w:rsid w:val="00733510"/>
    <w:rPr>
      <w:rFonts w:ascii="Tahoma" w:eastAsia="Times New Roman" w:hAnsi="Tahoma" w:cs="Tahoma"/>
      <w:sz w:val="16"/>
      <w:szCs w:val="16"/>
      <w:lang w:eastAsia="en-AU"/>
    </w:rPr>
  </w:style>
  <w:style w:type="character" w:customStyle="1" w:styleId="Heading1Char">
    <w:name w:val="Heading 1 Char"/>
    <w:basedOn w:val="DefaultParagraphFont"/>
    <w:link w:val="Heading1"/>
    <w:rsid w:val="00534098"/>
    <w:rPr>
      <w:rFonts w:ascii="Times New Roman" w:eastAsia="Times New Roman" w:hAnsi="Times New Roman" w:cs="Times New Roman"/>
      <w:sz w:val="52"/>
      <w:szCs w:val="20"/>
      <w:lang w:eastAsia="en-AU"/>
    </w:rPr>
  </w:style>
  <w:style w:type="character" w:customStyle="1" w:styleId="Heading2Char">
    <w:name w:val="Heading 2 Char"/>
    <w:basedOn w:val="DefaultParagraphFont"/>
    <w:link w:val="Heading2"/>
    <w:rsid w:val="00534098"/>
    <w:rPr>
      <w:rFonts w:ascii="Arial" w:eastAsia="Times New Roman" w:hAnsi="Arial" w:cs="Times New Roman"/>
      <w:b/>
      <w:sz w:val="32"/>
      <w:szCs w:val="20"/>
      <w:lang w:eastAsia="en-AU"/>
    </w:rPr>
  </w:style>
  <w:style w:type="character" w:customStyle="1" w:styleId="Heading3Char">
    <w:name w:val="Heading 3 Char"/>
    <w:basedOn w:val="DefaultParagraphFont"/>
    <w:link w:val="Heading3"/>
    <w:rsid w:val="00534098"/>
    <w:rPr>
      <w:rFonts w:ascii="Arial" w:eastAsia="Times New Roman" w:hAnsi="Arial" w:cs="Times New Roman"/>
      <w:b/>
      <w:sz w:val="26"/>
      <w:szCs w:val="20"/>
      <w:lang w:eastAsia="en-AU"/>
    </w:rPr>
  </w:style>
  <w:style w:type="character" w:customStyle="1" w:styleId="Heading4Char">
    <w:name w:val="Heading 4 Char"/>
    <w:basedOn w:val="DefaultParagraphFont"/>
    <w:link w:val="Heading4"/>
    <w:rsid w:val="00534098"/>
    <w:rPr>
      <w:rFonts w:ascii="Arial" w:eastAsia="Times New Roman" w:hAnsi="Arial" w:cs="Times New Roman"/>
      <w:sz w:val="24"/>
      <w:szCs w:val="20"/>
      <w:lang w:eastAsia="en-AU"/>
    </w:rPr>
  </w:style>
  <w:style w:type="character" w:customStyle="1" w:styleId="Heading5Char">
    <w:name w:val="Heading 5 Char"/>
    <w:basedOn w:val="DefaultParagraphFont"/>
    <w:link w:val="Heading5"/>
    <w:rsid w:val="00733510"/>
    <w:rPr>
      <w:rFonts w:ascii="Arial" w:eastAsia="Times New Roman" w:hAnsi="Arial" w:cs="Times New Roman"/>
      <w:i/>
      <w:szCs w:val="20"/>
      <w:lang w:eastAsia="en-AU"/>
    </w:rPr>
  </w:style>
  <w:style w:type="character" w:customStyle="1" w:styleId="Heading6Char">
    <w:name w:val="Heading 6 Char"/>
    <w:basedOn w:val="DefaultParagraphFont"/>
    <w:link w:val="Heading6"/>
    <w:semiHidden/>
    <w:rsid w:val="00534098"/>
    <w:rPr>
      <w:rFonts w:ascii="Times New Roman" w:eastAsia="Times New Roman" w:hAnsi="Times New Roman" w:cs="Times New Roman"/>
      <w:i/>
      <w:szCs w:val="20"/>
      <w:lang w:eastAsia="en-AU"/>
    </w:rPr>
  </w:style>
  <w:style w:type="character" w:customStyle="1" w:styleId="Heading7Char">
    <w:name w:val="Heading 7 Char"/>
    <w:basedOn w:val="DefaultParagraphFont"/>
    <w:link w:val="Heading7"/>
    <w:semiHidden/>
    <w:rsid w:val="00534098"/>
    <w:rPr>
      <w:rFonts w:ascii="Arial" w:eastAsia="Times New Roman" w:hAnsi="Arial" w:cs="Times New Roman"/>
      <w:sz w:val="20"/>
      <w:szCs w:val="20"/>
      <w:lang w:eastAsia="en-AU"/>
    </w:rPr>
  </w:style>
  <w:style w:type="character" w:customStyle="1" w:styleId="Heading8Char">
    <w:name w:val="Heading 8 Char"/>
    <w:basedOn w:val="DefaultParagraphFont"/>
    <w:link w:val="Heading8"/>
    <w:semiHidden/>
    <w:rsid w:val="00534098"/>
    <w:rPr>
      <w:rFonts w:ascii="Arial" w:eastAsia="Times New Roman" w:hAnsi="Arial" w:cs="Times New Roman"/>
      <w:i/>
      <w:sz w:val="20"/>
      <w:szCs w:val="20"/>
      <w:lang w:eastAsia="en-AU"/>
    </w:rPr>
  </w:style>
  <w:style w:type="character" w:customStyle="1" w:styleId="Heading9Char">
    <w:name w:val="Heading 9 Char"/>
    <w:basedOn w:val="DefaultParagraphFont"/>
    <w:link w:val="Heading9"/>
    <w:semiHidden/>
    <w:rsid w:val="00534098"/>
    <w:rPr>
      <w:rFonts w:ascii="Arial" w:eastAsia="Times New Roman" w:hAnsi="Arial" w:cs="Times New Roman"/>
      <w:b/>
      <w:i/>
      <w:sz w:val="18"/>
      <w:szCs w:val="20"/>
      <w:lang w:eastAsia="en-AU"/>
    </w:rPr>
  </w:style>
  <w:style w:type="paragraph" w:styleId="BodyText">
    <w:name w:val="Body Text"/>
    <w:link w:val="BodyTextChar"/>
    <w:qFormat/>
    <w:rsid w:val="00AC0120"/>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AC0120"/>
    <w:rPr>
      <w:rFonts w:ascii="Times New Roman" w:eastAsia="Times New Roman" w:hAnsi="Times New Roman" w:cs="Times New Roman"/>
      <w:sz w:val="24"/>
      <w:szCs w:val="20"/>
      <w:lang w:eastAsia="en-AU"/>
    </w:rPr>
  </w:style>
  <w:style w:type="paragraph" w:styleId="Footer">
    <w:name w:val="footer"/>
    <w:basedOn w:val="BodyText"/>
    <w:link w:val="FooterChar"/>
    <w:rsid w:val="00733510"/>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733510"/>
    <w:rPr>
      <w:rFonts w:ascii="Arial" w:eastAsia="Times New Roman" w:hAnsi="Arial" w:cs="Times New Roman"/>
      <w:caps/>
      <w:spacing w:val="-4"/>
      <w:sz w:val="16"/>
      <w:szCs w:val="20"/>
      <w:lang w:eastAsia="en-AU"/>
    </w:rPr>
  </w:style>
  <w:style w:type="paragraph" w:customStyle="1" w:styleId="FooterEnd">
    <w:name w:val="Footer End"/>
    <w:basedOn w:val="Footer"/>
    <w:rsid w:val="00733510"/>
    <w:pPr>
      <w:spacing w:before="0" w:line="20" w:lineRule="exact"/>
    </w:pPr>
  </w:style>
  <w:style w:type="paragraph" w:styleId="Header">
    <w:name w:val="header"/>
    <w:basedOn w:val="BodyText"/>
    <w:link w:val="HeaderChar"/>
    <w:rsid w:val="00733510"/>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534098"/>
    <w:rPr>
      <w:rFonts w:ascii="Arial" w:eastAsia="Times New Roman" w:hAnsi="Arial" w:cs="Times New Roman"/>
      <w:caps/>
      <w:sz w:val="24"/>
      <w:szCs w:val="20"/>
      <w:lang w:eastAsia="en-AU"/>
    </w:rPr>
  </w:style>
  <w:style w:type="paragraph" w:customStyle="1" w:styleId="HeaderEnd">
    <w:name w:val="Header End"/>
    <w:basedOn w:val="Header"/>
    <w:autoRedefine/>
    <w:rsid w:val="00733510"/>
    <w:pPr>
      <w:spacing w:line="20" w:lineRule="exact"/>
    </w:pPr>
    <w:rPr>
      <w:sz w:val="16"/>
    </w:rPr>
  </w:style>
  <w:style w:type="paragraph" w:customStyle="1" w:styleId="HeaderEven">
    <w:name w:val="Header Even"/>
    <w:basedOn w:val="Header"/>
    <w:rsid w:val="00733510"/>
  </w:style>
  <w:style w:type="paragraph" w:customStyle="1" w:styleId="HeaderOdd">
    <w:name w:val="Header Odd"/>
    <w:basedOn w:val="Header"/>
    <w:rsid w:val="00733510"/>
  </w:style>
  <w:style w:type="character" w:styleId="PageNumber">
    <w:name w:val="page number"/>
    <w:basedOn w:val="DefaultParagraphFont"/>
    <w:rsid w:val="00733510"/>
    <w:rPr>
      <w:rFonts w:ascii="Arial" w:hAnsi="Arial"/>
      <w:b/>
      <w:sz w:val="16"/>
    </w:rPr>
  </w:style>
  <w:style w:type="paragraph" w:customStyle="1" w:styleId="Abbreviation">
    <w:name w:val="Abbreviation"/>
    <w:basedOn w:val="BodyText"/>
    <w:rsid w:val="00733510"/>
    <w:pPr>
      <w:spacing w:before="120"/>
      <w:ind w:left="2381" w:hanging="2381"/>
      <w:jc w:val="left"/>
    </w:pPr>
  </w:style>
  <w:style w:type="paragraph" w:customStyle="1" w:styleId="Box">
    <w:name w:val="Box"/>
    <w:basedOn w:val="BodyText"/>
    <w:qFormat/>
    <w:rsid w:val="00733510"/>
    <w:pPr>
      <w:keepNext/>
      <w:spacing w:before="120" w:line="260" w:lineRule="atLeast"/>
    </w:pPr>
    <w:rPr>
      <w:rFonts w:ascii="Arial" w:hAnsi="Arial"/>
      <w:sz w:val="20"/>
    </w:rPr>
  </w:style>
  <w:style w:type="paragraph" w:customStyle="1" w:styleId="BoxContinued">
    <w:name w:val="Box Continued"/>
    <w:basedOn w:val="BodyText"/>
    <w:next w:val="BodyText"/>
    <w:semiHidden/>
    <w:rsid w:val="00733510"/>
    <w:pPr>
      <w:spacing w:before="180" w:line="220" w:lineRule="exact"/>
      <w:jc w:val="right"/>
    </w:pPr>
    <w:rPr>
      <w:rFonts w:ascii="Arial" w:hAnsi="Arial"/>
      <w:sz w:val="18"/>
    </w:rPr>
  </w:style>
  <w:style w:type="paragraph" w:customStyle="1" w:styleId="BoxHeading1">
    <w:name w:val="Box Heading 1"/>
    <w:basedOn w:val="BodyText"/>
    <w:next w:val="Box"/>
    <w:rsid w:val="00733510"/>
    <w:pPr>
      <w:keepNext/>
      <w:spacing w:before="200" w:line="280" w:lineRule="atLeast"/>
    </w:pPr>
    <w:rPr>
      <w:rFonts w:ascii="Arial" w:hAnsi="Arial"/>
      <w:b/>
      <w:sz w:val="22"/>
    </w:rPr>
  </w:style>
  <w:style w:type="paragraph" w:customStyle="1" w:styleId="BoxHeading2">
    <w:name w:val="Box Heading 2"/>
    <w:basedOn w:val="BoxHeading1"/>
    <w:next w:val="Box"/>
    <w:rsid w:val="00733510"/>
    <w:rPr>
      <w:b w:val="0"/>
      <w:i/>
    </w:rPr>
  </w:style>
  <w:style w:type="paragraph" w:customStyle="1" w:styleId="BoxListBullet">
    <w:name w:val="Box List Bullet"/>
    <w:basedOn w:val="BodyText"/>
    <w:rsid w:val="00733510"/>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733510"/>
    <w:pPr>
      <w:numPr>
        <w:numId w:val="13"/>
      </w:numPr>
      <w:ind w:left="568" w:hanging="284"/>
    </w:pPr>
  </w:style>
  <w:style w:type="paragraph" w:customStyle="1" w:styleId="BoxListNumber">
    <w:name w:val="Box List Number"/>
    <w:basedOn w:val="BodyText"/>
    <w:rsid w:val="00733510"/>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733510"/>
    <w:pPr>
      <w:numPr>
        <w:ilvl w:val="1"/>
      </w:numPr>
      <w:ind w:left="681" w:hanging="397"/>
    </w:pPr>
  </w:style>
  <w:style w:type="paragraph" w:customStyle="1" w:styleId="BoxQuote">
    <w:name w:val="Box Quote"/>
    <w:basedOn w:val="BodyText"/>
    <w:next w:val="Box"/>
    <w:qFormat/>
    <w:rsid w:val="00733510"/>
    <w:pPr>
      <w:keepNext/>
      <w:spacing w:before="60" w:line="240" w:lineRule="exact"/>
      <w:ind w:left="284"/>
    </w:pPr>
    <w:rPr>
      <w:rFonts w:ascii="Arial" w:hAnsi="Arial"/>
      <w:sz w:val="18"/>
    </w:rPr>
  </w:style>
  <w:style w:type="paragraph" w:customStyle="1" w:styleId="Note">
    <w:name w:val="Note"/>
    <w:basedOn w:val="BodyText"/>
    <w:next w:val="BodyText"/>
    <w:rsid w:val="00733510"/>
    <w:pPr>
      <w:keepLines/>
      <w:spacing w:before="80" w:line="220" w:lineRule="exact"/>
    </w:pPr>
    <w:rPr>
      <w:rFonts w:ascii="Arial" w:hAnsi="Arial"/>
      <w:sz w:val="18"/>
    </w:rPr>
  </w:style>
  <w:style w:type="paragraph" w:customStyle="1" w:styleId="Source">
    <w:name w:val="Source"/>
    <w:basedOn w:val="Normal"/>
    <w:next w:val="BodyText"/>
    <w:rsid w:val="00B01736"/>
    <w:pPr>
      <w:keepLines/>
      <w:spacing w:before="80" w:after="0" w:line="220" w:lineRule="exact"/>
      <w:jc w:val="both"/>
    </w:pPr>
    <w:rPr>
      <w:rFonts w:ascii="Arial" w:hAnsi="Arial"/>
      <w:sz w:val="18"/>
      <w:szCs w:val="20"/>
    </w:rPr>
  </w:style>
  <w:style w:type="paragraph" w:customStyle="1" w:styleId="BoxSource">
    <w:name w:val="Box Source"/>
    <w:basedOn w:val="Source"/>
    <w:next w:val="BodyText"/>
    <w:rsid w:val="00733510"/>
    <w:pPr>
      <w:spacing w:before="120"/>
    </w:pPr>
  </w:style>
  <w:style w:type="paragraph" w:customStyle="1" w:styleId="BoxSpaceAbove">
    <w:name w:val="Box Space Above"/>
    <w:basedOn w:val="BodyText"/>
    <w:rsid w:val="00733510"/>
    <w:pPr>
      <w:keepNext/>
      <w:spacing w:before="360" w:line="80" w:lineRule="exact"/>
      <w:jc w:val="left"/>
    </w:pPr>
  </w:style>
  <w:style w:type="paragraph" w:styleId="Caption">
    <w:name w:val="caption"/>
    <w:basedOn w:val="Normal"/>
    <w:next w:val="BodyText"/>
    <w:rsid w:val="00733510"/>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105BDC"/>
    <w:pPr>
      <w:spacing w:before="120" w:after="0"/>
    </w:pPr>
  </w:style>
  <w:style w:type="paragraph" w:customStyle="1" w:styleId="BoxSubtitle">
    <w:name w:val="Box Subtitle"/>
    <w:basedOn w:val="BoxTitle"/>
    <w:next w:val="Normal"/>
    <w:rsid w:val="00733510"/>
    <w:pPr>
      <w:spacing w:after="80" w:line="200" w:lineRule="exact"/>
      <w:ind w:firstLine="0"/>
    </w:pPr>
    <w:rPr>
      <w:b w:val="0"/>
      <w:sz w:val="20"/>
    </w:rPr>
  </w:style>
  <w:style w:type="paragraph" w:customStyle="1" w:styleId="Chapter">
    <w:name w:val="Chapter"/>
    <w:basedOn w:val="Heading1"/>
    <w:next w:val="BodyText"/>
    <w:rsid w:val="00733510"/>
    <w:pPr>
      <w:ind w:left="0" w:firstLine="0"/>
      <w:outlineLvl w:val="9"/>
    </w:pPr>
  </w:style>
  <w:style w:type="paragraph" w:customStyle="1" w:styleId="ChapterSummary">
    <w:name w:val="Chapter Summary"/>
    <w:basedOn w:val="BodyText"/>
    <w:rsid w:val="00733510"/>
    <w:pPr>
      <w:spacing w:line="280" w:lineRule="atLeast"/>
      <w:ind w:left="907"/>
    </w:pPr>
    <w:rPr>
      <w:rFonts w:ascii="Arial" w:hAnsi="Arial"/>
      <w:b/>
      <w:sz w:val="20"/>
    </w:rPr>
  </w:style>
  <w:style w:type="character" w:styleId="CommentReference">
    <w:name w:val="annotation reference"/>
    <w:basedOn w:val="DefaultParagraphFont"/>
    <w:semiHidden/>
    <w:rsid w:val="00733510"/>
    <w:rPr>
      <w:b/>
      <w:vanish/>
      <w:color w:val="FF00FF"/>
      <w:sz w:val="20"/>
    </w:rPr>
  </w:style>
  <w:style w:type="paragraph" w:styleId="CommentText">
    <w:name w:val="annotation text"/>
    <w:basedOn w:val="Normal"/>
    <w:link w:val="CommentTextChar"/>
    <w:rsid w:val="00733510"/>
    <w:pPr>
      <w:spacing w:before="120" w:line="240" w:lineRule="atLeast"/>
      <w:ind w:left="567" w:hanging="567"/>
    </w:pPr>
    <w:rPr>
      <w:sz w:val="20"/>
    </w:rPr>
  </w:style>
  <w:style w:type="character" w:customStyle="1" w:styleId="CommentTextChar">
    <w:name w:val="Comment Text Char"/>
    <w:basedOn w:val="DefaultParagraphFont"/>
    <w:link w:val="CommentText"/>
    <w:rsid w:val="00534098"/>
    <w:rPr>
      <w:rFonts w:ascii="Times New Roman" w:eastAsia="Times New Roman" w:hAnsi="Times New Roman" w:cs="Times New Roman"/>
      <w:sz w:val="20"/>
      <w:szCs w:val="24"/>
      <w:lang w:eastAsia="en-AU"/>
    </w:rPr>
  </w:style>
  <w:style w:type="paragraph" w:customStyle="1" w:styleId="Continued">
    <w:name w:val="Continued"/>
    <w:basedOn w:val="BoxContinued"/>
    <w:next w:val="BodyText"/>
    <w:rsid w:val="00733510"/>
  </w:style>
  <w:style w:type="character" w:customStyle="1" w:styleId="DocumentInfo">
    <w:name w:val="Document Info"/>
    <w:basedOn w:val="DefaultParagraphFont"/>
    <w:semiHidden/>
    <w:rsid w:val="00733510"/>
    <w:rPr>
      <w:rFonts w:ascii="Arial" w:hAnsi="Arial"/>
      <w:sz w:val="14"/>
    </w:rPr>
  </w:style>
  <w:style w:type="character" w:customStyle="1" w:styleId="DraftingNote">
    <w:name w:val="Drafting Note"/>
    <w:basedOn w:val="DefaultParagraphFont"/>
    <w:rsid w:val="00733510"/>
    <w:rPr>
      <w:b/>
      <w:color w:val="FF0000"/>
      <w:sz w:val="24"/>
      <w:u w:val="dotted"/>
    </w:rPr>
  </w:style>
  <w:style w:type="paragraph" w:customStyle="1" w:styleId="Figure">
    <w:name w:val="Figure"/>
    <w:basedOn w:val="BodyText"/>
    <w:rsid w:val="00733510"/>
    <w:pPr>
      <w:keepNext/>
      <w:spacing w:before="120" w:after="120" w:line="240" w:lineRule="atLeast"/>
      <w:jc w:val="center"/>
    </w:pPr>
  </w:style>
  <w:style w:type="paragraph" w:customStyle="1" w:styleId="FigureTitle">
    <w:name w:val="Figure Title"/>
    <w:basedOn w:val="Caption"/>
    <w:next w:val="Subtitle"/>
    <w:rsid w:val="00566BDF"/>
    <w:pPr>
      <w:spacing w:before="120"/>
    </w:pPr>
  </w:style>
  <w:style w:type="paragraph" w:styleId="Subtitle">
    <w:name w:val="Subtitle"/>
    <w:basedOn w:val="Caption"/>
    <w:link w:val="SubtitleChar"/>
    <w:qFormat/>
    <w:rsid w:val="00733510"/>
    <w:pPr>
      <w:spacing w:before="0" w:line="200" w:lineRule="exact"/>
      <w:ind w:firstLine="0"/>
    </w:pPr>
    <w:rPr>
      <w:b w:val="0"/>
      <w:sz w:val="20"/>
    </w:rPr>
  </w:style>
  <w:style w:type="character" w:customStyle="1" w:styleId="SubtitleChar">
    <w:name w:val="Subtitle Char"/>
    <w:basedOn w:val="DefaultParagraphFont"/>
    <w:link w:val="Subtitle"/>
    <w:rsid w:val="00733510"/>
    <w:rPr>
      <w:rFonts w:ascii="Arial" w:eastAsia="Times New Roman" w:hAnsi="Arial" w:cs="Times New Roman"/>
      <w:sz w:val="20"/>
      <w:szCs w:val="24"/>
      <w:lang w:eastAsia="en-AU"/>
    </w:rPr>
  </w:style>
  <w:style w:type="paragraph" w:customStyle="1" w:styleId="Finding">
    <w:name w:val="Finding"/>
    <w:basedOn w:val="BodyText"/>
    <w:rsid w:val="00733510"/>
    <w:pPr>
      <w:keepLines/>
      <w:spacing w:before="120" w:line="280" w:lineRule="atLeast"/>
    </w:pPr>
    <w:rPr>
      <w:rFonts w:ascii="Arial" w:hAnsi="Arial"/>
      <w:sz w:val="22"/>
    </w:rPr>
  </w:style>
  <w:style w:type="paragraph" w:customStyle="1" w:styleId="FindingBullet">
    <w:name w:val="Finding Bullet"/>
    <w:basedOn w:val="Finding"/>
    <w:rsid w:val="00733510"/>
    <w:pPr>
      <w:numPr>
        <w:numId w:val="15"/>
      </w:numPr>
      <w:spacing w:before="80"/>
    </w:pPr>
  </w:style>
  <w:style w:type="paragraph" w:customStyle="1" w:styleId="FindingNoTitle">
    <w:name w:val="Finding NoTitle"/>
    <w:basedOn w:val="Finding"/>
    <w:semiHidden/>
    <w:rsid w:val="00733510"/>
    <w:pPr>
      <w:spacing w:before="240"/>
    </w:pPr>
  </w:style>
  <w:style w:type="paragraph" w:customStyle="1" w:styleId="RecTitle">
    <w:name w:val="Rec Title"/>
    <w:basedOn w:val="BodyText"/>
    <w:next w:val="Rec"/>
    <w:qFormat/>
    <w:rsid w:val="00733510"/>
    <w:pPr>
      <w:keepNext/>
      <w:keepLines/>
      <w:spacing w:line="280" w:lineRule="atLeast"/>
    </w:pPr>
    <w:rPr>
      <w:rFonts w:ascii="Arial" w:hAnsi="Arial"/>
      <w:caps/>
      <w:sz w:val="18"/>
    </w:rPr>
  </w:style>
  <w:style w:type="paragraph" w:customStyle="1" w:styleId="FindingTitle">
    <w:name w:val="Finding Title"/>
    <w:basedOn w:val="RecTitle"/>
    <w:next w:val="Finding"/>
    <w:rsid w:val="00733510"/>
  </w:style>
  <w:style w:type="character" w:styleId="FootnoteReference">
    <w:name w:val="footnote reference"/>
    <w:basedOn w:val="DefaultParagraphFont"/>
    <w:semiHidden/>
    <w:rsid w:val="00733510"/>
    <w:rPr>
      <w:rFonts w:ascii="Times New Roman" w:hAnsi="Times New Roman"/>
      <w:position w:val="6"/>
      <w:sz w:val="20"/>
      <w:vertAlign w:val="baseline"/>
    </w:rPr>
  </w:style>
  <w:style w:type="paragraph" w:styleId="FootnoteText">
    <w:name w:val="footnote text"/>
    <w:basedOn w:val="BodyText"/>
    <w:link w:val="FootnoteTextChar"/>
    <w:rsid w:val="00733510"/>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534098"/>
    <w:rPr>
      <w:rFonts w:ascii="Times New Roman" w:eastAsia="Times New Roman" w:hAnsi="Times New Roman" w:cs="Times New Roman"/>
      <w:sz w:val="20"/>
      <w:szCs w:val="20"/>
      <w:lang w:eastAsia="en-AU"/>
    </w:rPr>
  </w:style>
  <w:style w:type="paragraph" w:customStyle="1" w:styleId="InformationRequest">
    <w:name w:val="Information Request"/>
    <w:basedOn w:val="Finding"/>
    <w:next w:val="BodyText"/>
    <w:rsid w:val="00733510"/>
    <w:rPr>
      <w:i/>
    </w:rPr>
  </w:style>
  <w:style w:type="paragraph" w:customStyle="1" w:styleId="Jurisdictioncommentsbodytext">
    <w:name w:val="Jurisdiction comments body text"/>
    <w:rsid w:val="00733510"/>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733510"/>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733510"/>
    <w:pPr>
      <w:numPr>
        <w:numId w:val="2"/>
      </w:numPr>
      <w:spacing w:after="140" w:line="240" w:lineRule="auto"/>
      <w:jc w:val="both"/>
    </w:pPr>
    <w:rPr>
      <w:rFonts w:ascii="Arial" w:eastAsia="Times New Roman" w:hAnsi="Arial" w:cs="Times New Roman"/>
      <w:sz w:val="24"/>
      <w:szCs w:val="20"/>
    </w:rPr>
  </w:style>
  <w:style w:type="paragraph" w:styleId="ListBullet">
    <w:name w:val="List Bullet"/>
    <w:basedOn w:val="BodyText"/>
    <w:rsid w:val="00733510"/>
    <w:pPr>
      <w:numPr>
        <w:numId w:val="3"/>
      </w:numPr>
      <w:spacing w:before="120"/>
    </w:pPr>
  </w:style>
  <w:style w:type="paragraph" w:styleId="ListBullet2">
    <w:name w:val="List Bullet 2"/>
    <w:basedOn w:val="BodyText"/>
    <w:rsid w:val="00733510"/>
    <w:pPr>
      <w:numPr>
        <w:numId w:val="4"/>
      </w:numPr>
      <w:spacing w:before="120"/>
    </w:pPr>
  </w:style>
  <w:style w:type="paragraph" w:styleId="ListBullet3">
    <w:name w:val="List Bullet 3"/>
    <w:basedOn w:val="BodyText"/>
    <w:rsid w:val="00733510"/>
    <w:pPr>
      <w:numPr>
        <w:numId w:val="5"/>
      </w:numPr>
      <w:spacing w:before="120"/>
      <w:ind w:left="1020" w:hanging="340"/>
    </w:pPr>
  </w:style>
  <w:style w:type="paragraph" w:styleId="ListNumber">
    <w:name w:val="List Number"/>
    <w:basedOn w:val="BodyText"/>
    <w:rsid w:val="00733510"/>
    <w:pPr>
      <w:numPr>
        <w:numId w:val="9"/>
      </w:numPr>
      <w:spacing w:before="120"/>
    </w:pPr>
  </w:style>
  <w:style w:type="paragraph" w:styleId="ListNumber2">
    <w:name w:val="List Number 2"/>
    <w:basedOn w:val="ListNumber"/>
    <w:rsid w:val="00733510"/>
    <w:pPr>
      <w:numPr>
        <w:ilvl w:val="1"/>
      </w:numPr>
    </w:pPr>
  </w:style>
  <w:style w:type="paragraph" w:styleId="ListNumber3">
    <w:name w:val="List Number 3"/>
    <w:basedOn w:val="ListNumber2"/>
    <w:rsid w:val="00733510"/>
    <w:pPr>
      <w:numPr>
        <w:ilvl w:val="2"/>
      </w:numPr>
    </w:pPr>
  </w:style>
  <w:style w:type="character" w:customStyle="1" w:styleId="NoteLabel">
    <w:name w:val="Note Label"/>
    <w:basedOn w:val="DefaultParagraphFont"/>
    <w:rsid w:val="00733510"/>
    <w:rPr>
      <w:rFonts w:ascii="Arial" w:hAnsi="Arial"/>
      <w:b/>
      <w:position w:val="6"/>
      <w:sz w:val="18"/>
    </w:rPr>
  </w:style>
  <w:style w:type="paragraph" w:customStyle="1" w:styleId="PartDivider">
    <w:name w:val="Part Divider"/>
    <w:basedOn w:val="BodyText"/>
    <w:next w:val="BodyText"/>
    <w:semiHidden/>
    <w:rsid w:val="00733510"/>
    <w:pPr>
      <w:spacing w:before="0" w:line="40" w:lineRule="exact"/>
      <w:jc w:val="right"/>
    </w:pPr>
    <w:rPr>
      <w:smallCaps/>
      <w:sz w:val="16"/>
    </w:rPr>
  </w:style>
  <w:style w:type="paragraph" w:customStyle="1" w:styleId="PartNumber">
    <w:name w:val="Part Number"/>
    <w:basedOn w:val="BodyText"/>
    <w:next w:val="BodyText"/>
    <w:semiHidden/>
    <w:rsid w:val="00733510"/>
    <w:pPr>
      <w:spacing w:before="4000" w:line="320" w:lineRule="exact"/>
      <w:ind w:left="6634"/>
      <w:jc w:val="right"/>
    </w:pPr>
    <w:rPr>
      <w:smallCaps/>
      <w:spacing w:val="60"/>
      <w:sz w:val="32"/>
    </w:rPr>
  </w:style>
  <w:style w:type="paragraph" w:customStyle="1" w:styleId="PartTitle">
    <w:name w:val="Part Title"/>
    <w:basedOn w:val="BodyText"/>
    <w:semiHidden/>
    <w:rsid w:val="00733510"/>
    <w:pPr>
      <w:spacing w:before="160" w:after="1360" w:line="520" w:lineRule="exact"/>
      <w:ind w:right="2381"/>
      <w:jc w:val="right"/>
    </w:pPr>
    <w:rPr>
      <w:smallCaps/>
      <w:sz w:val="52"/>
    </w:rPr>
  </w:style>
  <w:style w:type="paragraph" w:styleId="Quote">
    <w:name w:val="Quote"/>
    <w:basedOn w:val="BodyText"/>
    <w:next w:val="BodyText"/>
    <w:link w:val="QuoteChar"/>
    <w:qFormat/>
    <w:rsid w:val="00733510"/>
    <w:pPr>
      <w:spacing w:before="120" w:line="280" w:lineRule="exact"/>
      <w:ind w:left="340"/>
    </w:pPr>
    <w:rPr>
      <w:sz w:val="22"/>
    </w:rPr>
  </w:style>
  <w:style w:type="character" w:customStyle="1" w:styleId="QuoteChar">
    <w:name w:val="Quote Char"/>
    <w:basedOn w:val="DefaultParagraphFont"/>
    <w:link w:val="Quote"/>
    <w:rsid w:val="00534098"/>
    <w:rPr>
      <w:rFonts w:ascii="Times New Roman" w:eastAsia="Times New Roman" w:hAnsi="Times New Roman" w:cs="Times New Roman"/>
      <w:szCs w:val="20"/>
      <w:lang w:eastAsia="en-AU"/>
    </w:rPr>
  </w:style>
  <w:style w:type="paragraph" w:customStyle="1" w:styleId="QuoteBullet">
    <w:name w:val="Quote Bullet"/>
    <w:basedOn w:val="Quote"/>
    <w:rsid w:val="00733510"/>
    <w:pPr>
      <w:numPr>
        <w:numId w:val="6"/>
      </w:numPr>
    </w:pPr>
  </w:style>
  <w:style w:type="paragraph" w:customStyle="1" w:styleId="Rec">
    <w:name w:val="Rec"/>
    <w:basedOn w:val="BodyText"/>
    <w:qFormat/>
    <w:rsid w:val="00733510"/>
    <w:pPr>
      <w:keepLines/>
      <w:spacing w:before="120" w:line="280" w:lineRule="atLeast"/>
    </w:pPr>
    <w:rPr>
      <w:rFonts w:ascii="Arial" w:hAnsi="Arial"/>
      <w:sz w:val="22"/>
    </w:rPr>
  </w:style>
  <w:style w:type="paragraph" w:customStyle="1" w:styleId="RecBullet">
    <w:name w:val="Rec Bullet"/>
    <w:basedOn w:val="Rec"/>
    <w:rsid w:val="00733510"/>
    <w:pPr>
      <w:numPr>
        <w:numId w:val="17"/>
      </w:numPr>
      <w:spacing w:before="80"/>
    </w:pPr>
  </w:style>
  <w:style w:type="paragraph" w:customStyle="1" w:styleId="RecB">
    <w:name w:val="RecB"/>
    <w:basedOn w:val="Normal"/>
    <w:semiHidden/>
    <w:rsid w:val="00733510"/>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733510"/>
    <w:pPr>
      <w:numPr>
        <w:numId w:val="11"/>
      </w:numPr>
      <w:spacing w:before="80"/>
    </w:pPr>
  </w:style>
  <w:style w:type="paragraph" w:customStyle="1" w:styleId="RecBNoTitle">
    <w:name w:val="RecB NoTitle"/>
    <w:basedOn w:val="RecB"/>
    <w:semiHidden/>
    <w:rsid w:val="00733510"/>
    <w:pPr>
      <w:spacing w:before="240"/>
    </w:pPr>
  </w:style>
  <w:style w:type="paragraph" w:customStyle="1" w:styleId="Reference">
    <w:name w:val="Reference"/>
    <w:basedOn w:val="BodyText"/>
    <w:rsid w:val="00733510"/>
    <w:pPr>
      <w:spacing w:before="120"/>
      <w:ind w:left="340" w:hanging="340"/>
    </w:pPr>
  </w:style>
  <w:style w:type="paragraph" w:customStyle="1" w:styleId="SequenceInfo">
    <w:name w:val="Sequence Info"/>
    <w:basedOn w:val="BodyText"/>
    <w:semiHidden/>
    <w:rsid w:val="00733510"/>
    <w:rPr>
      <w:vanish/>
      <w:sz w:val="16"/>
    </w:rPr>
  </w:style>
  <w:style w:type="paragraph" w:customStyle="1" w:styleId="SideNote">
    <w:name w:val="Side Note"/>
    <w:basedOn w:val="BodyText"/>
    <w:next w:val="BodyText"/>
    <w:semiHidden/>
    <w:rsid w:val="00733510"/>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733510"/>
    <w:pPr>
      <w:framePr w:wrap="around"/>
      <w:numPr>
        <w:numId w:val="7"/>
      </w:numPr>
      <w:tabs>
        <w:tab w:val="left" w:pos="227"/>
      </w:tabs>
    </w:pPr>
  </w:style>
  <w:style w:type="paragraph" w:customStyle="1" w:styleId="SideNoteGraphic">
    <w:name w:val="Side Note Graphic"/>
    <w:basedOn w:val="SideNote"/>
    <w:next w:val="BodyText"/>
    <w:semiHidden/>
    <w:rsid w:val="00733510"/>
    <w:pPr>
      <w:framePr w:wrap="around"/>
    </w:pPr>
  </w:style>
  <w:style w:type="paragraph" w:customStyle="1" w:styleId="TableBodyText">
    <w:name w:val="Table Body Text"/>
    <w:basedOn w:val="BodyText"/>
    <w:rsid w:val="00733510"/>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733510"/>
    <w:pPr>
      <w:numPr>
        <w:numId w:val="8"/>
      </w:numPr>
      <w:jc w:val="left"/>
    </w:pPr>
  </w:style>
  <w:style w:type="paragraph" w:customStyle="1" w:styleId="TableColumnHeading">
    <w:name w:val="Table Column Heading"/>
    <w:basedOn w:val="TableBodyText"/>
    <w:rsid w:val="00733510"/>
    <w:pPr>
      <w:spacing w:before="80" w:after="80"/>
    </w:pPr>
    <w:rPr>
      <w:i/>
    </w:rPr>
  </w:style>
  <w:style w:type="paragraph" w:styleId="TOC2">
    <w:name w:val="toc 2"/>
    <w:basedOn w:val="TOC1"/>
    <w:uiPriority w:val="39"/>
    <w:rsid w:val="00733510"/>
    <w:pPr>
      <w:ind w:left="1134" w:hanging="624"/>
    </w:pPr>
    <w:rPr>
      <w:b w:val="0"/>
    </w:rPr>
  </w:style>
  <w:style w:type="paragraph" w:styleId="TOC3">
    <w:name w:val="toc 3"/>
    <w:basedOn w:val="TOC2"/>
    <w:rsid w:val="00733510"/>
    <w:pPr>
      <w:spacing w:before="60"/>
      <w:ind w:left="1190" w:hanging="680"/>
    </w:pPr>
  </w:style>
  <w:style w:type="paragraph" w:styleId="TableofFigures">
    <w:name w:val="table of figures"/>
    <w:basedOn w:val="TOC3"/>
    <w:next w:val="BodyText"/>
    <w:semiHidden/>
    <w:rsid w:val="00733510"/>
    <w:pPr>
      <w:ind w:left="737" w:hanging="737"/>
    </w:pPr>
  </w:style>
  <w:style w:type="paragraph" w:customStyle="1" w:styleId="TableTitle">
    <w:name w:val="Table Title"/>
    <w:basedOn w:val="Caption"/>
    <w:next w:val="Subtitle"/>
    <w:qFormat/>
    <w:rsid w:val="00566BDF"/>
    <w:pPr>
      <w:spacing w:before="120"/>
    </w:pPr>
  </w:style>
  <w:style w:type="paragraph" w:customStyle="1" w:styleId="TableUnitsRow">
    <w:name w:val="Table Units Row"/>
    <w:basedOn w:val="TableBodyText"/>
    <w:rsid w:val="00733510"/>
    <w:pPr>
      <w:spacing w:before="40"/>
    </w:pPr>
  </w:style>
  <w:style w:type="paragraph" w:styleId="TOC1">
    <w:name w:val="toc 1"/>
    <w:basedOn w:val="Normal"/>
    <w:next w:val="TOC2"/>
    <w:link w:val="TOC1Char"/>
    <w:uiPriority w:val="39"/>
    <w:rsid w:val="00733510"/>
    <w:pPr>
      <w:tabs>
        <w:tab w:val="right" w:pos="8789"/>
      </w:tabs>
      <w:spacing w:before="120" w:line="320" w:lineRule="exact"/>
      <w:ind w:left="510" w:right="851" w:hanging="510"/>
    </w:pPr>
    <w:rPr>
      <w:rFonts w:ascii="Arial" w:hAnsi="Arial"/>
      <w:b/>
      <w:sz w:val="26"/>
      <w:szCs w:val="26"/>
    </w:rPr>
  </w:style>
  <w:style w:type="paragraph" w:styleId="TOC4">
    <w:name w:val="toc 4"/>
    <w:basedOn w:val="TOC3"/>
    <w:semiHidden/>
    <w:rsid w:val="00733510"/>
    <w:pPr>
      <w:ind w:left="1191" w:firstLine="0"/>
    </w:pPr>
  </w:style>
  <w:style w:type="paragraph" w:customStyle="1" w:styleId="RecBBullet2">
    <w:name w:val="RecB Bullet 2"/>
    <w:basedOn w:val="ListBullet2"/>
    <w:semiHidden/>
    <w:rsid w:val="00733510"/>
    <w:pPr>
      <w:pBdr>
        <w:left w:val="single" w:sz="24" w:space="29" w:color="C0C0C0"/>
      </w:pBdr>
    </w:pPr>
    <w:rPr>
      <w:b/>
      <w:i/>
    </w:rPr>
  </w:style>
  <w:style w:type="paragraph" w:customStyle="1" w:styleId="BoxListBullet3">
    <w:name w:val="Box List Bullet 3"/>
    <w:basedOn w:val="ListBullet3"/>
    <w:rsid w:val="00733510"/>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733510"/>
    <w:rPr>
      <w:i/>
      <w:iCs/>
    </w:rPr>
  </w:style>
  <w:style w:type="paragraph" w:customStyle="1" w:styleId="BoxQuoteBullet">
    <w:name w:val="Box Quote Bullet"/>
    <w:basedOn w:val="BoxQuote"/>
    <w:next w:val="Box"/>
    <w:rsid w:val="00733510"/>
    <w:pPr>
      <w:numPr>
        <w:numId w:val="12"/>
      </w:numPr>
      <w:ind w:left="568" w:hanging="284"/>
    </w:pPr>
  </w:style>
  <w:style w:type="paragraph" w:customStyle="1" w:styleId="InformationRequestBullet">
    <w:name w:val="Information Request Bullet"/>
    <w:basedOn w:val="ListBullet"/>
    <w:next w:val="BodyText"/>
    <w:rsid w:val="00733510"/>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733510"/>
    <w:pPr>
      <w:keepNext w:val="0"/>
      <w:spacing w:before="60" w:after="60" w:line="80" w:lineRule="exact"/>
    </w:pPr>
    <w:rPr>
      <w:sz w:val="14"/>
    </w:rPr>
  </w:style>
  <w:style w:type="paragraph" w:customStyle="1" w:styleId="KeyPointsListBullet">
    <w:name w:val="Key Points List Bullet"/>
    <w:basedOn w:val="Normal"/>
    <w:qFormat/>
    <w:rsid w:val="005D11E9"/>
    <w:pPr>
      <w:keepNext/>
      <w:numPr>
        <w:numId w:val="20"/>
      </w:numPr>
      <w:spacing w:before="100" w:line="260" w:lineRule="atLeast"/>
      <w:ind w:left="340" w:hanging="340"/>
      <w:jc w:val="both"/>
    </w:pPr>
    <w:rPr>
      <w:rFonts w:ascii="Arial" w:hAnsi="Arial"/>
      <w:sz w:val="20"/>
      <w:szCs w:val="20"/>
    </w:rPr>
  </w:style>
  <w:style w:type="paragraph" w:customStyle="1" w:styleId="KeyPointsListBullet2">
    <w:name w:val="Key Points List Bullet 2"/>
    <w:basedOn w:val="BoxListBullet2"/>
    <w:rsid w:val="00733510"/>
    <w:pPr>
      <w:numPr>
        <w:numId w:val="21"/>
      </w:numPr>
      <w:ind w:left="568" w:hanging="284"/>
    </w:pPr>
  </w:style>
  <w:style w:type="paragraph" w:customStyle="1" w:styleId="InformationRequestTitle">
    <w:name w:val="Information Request Title"/>
    <w:basedOn w:val="FindingTitle"/>
    <w:next w:val="InformationRequest"/>
    <w:rsid w:val="00733510"/>
    <w:rPr>
      <w:i/>
    </w:rPr>
  </w:style>
  <w:style w:type="paragraph" w:customStyle="1" w:styleId="Space">
    <w:name w:val="Space"/>
    <w:basedOn w:val="Normal"/>
    <w:rsid w:val="00733510"/>
    <w:pPr>
      <w:keepNext/>
      <w:spacing w:line="120" w:lineRule="exact"/>
      <w:jc w:val="both"/>
    </w:pPr>
    <w:rPr>
      <w:rFonts w:ascii="Arial" w:hAnsi="Arial"/>
      <w:sz w:val="20"/>
      <w:szCs w:val="20"/>
    </w:rPr>
  </w:style>
  <w:style w:type="paragraph" w:customStyle="1" w:styleId="Heading1nochapterno">
    <w:name w:val="Heading 1 (no chapter no.)"/>
    <w:basedOn w:val="Heading1"/>
    <w:rsid w:val="00733510"/>
    <w:pPr>
      <w:spacing w:before="0"/>
      <w:ind w:left="0" w:firstLine="0"/>
    </w:pPr>
  </w:style>
  <w:style w:type="paragraph" w:customStyle="1" w:styleId="Heading2nosectionno">
    <w:name w:val="Heading 2 (no section no.)"/>
    <w:basedOn w:val="Heading2"/>
    <w:rsid w:val="00733510"/>
    <w:pPr>
      <w:ind w:left="0" w:firstLine="0"/>
    </w:pPr>
  </w:style>
  <w:style w:type="paragraph" w:customStyle="1" w:styleId="Figurespace">
    <w:name w:val="Figure space"/>
    <w:basedOn w:val="Box"/>
    <w:rsid w:val="00733510"/>
    <w:pPr>
      <w:spacing w:before="0" w:line="120" w:lineRule="exact"/>
    </w:pPr>
  </w:style>
  <w:style w:type="paragraph" w:customStyle="1" w:styleId="FooterDraftReport">
    <w:name w:val="FooterDraftReport"/>
    <w:basedOn w:val="Footer"/>
    <w:link w:val="FooterDraftReportChar"/>
    <w:rsid w:val="00733510"/>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733510"/>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73351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733510"/>
    <w:rPr>
      <w:rFonts w:ascii="Arial" w:eastAsia="Times New Roman" w:hAnsi="Arial" w:cs="Times New Roman"/>
      <w:b/>
      <w:sz w:val="26"/>
      <w:szCs w:val="26"/>
    </w:rPr>
  </w:style>
  <w:style w:type="character" w:customStyle="1" w:styleId="Continuedintitle">
    <w:name w:val="Continued (in title)"/>
    <w:basedOn w:val="DefaultParagraphFont"/>
    <w:rsid w:val="00733510"/>
    <w:rPr>
      <w:rFonts w:ascii="Arial" w:hAnsi="Arial"/>
      <w:b/>
      <w:sz w:val="18"/>
    </w:rPr>
  </w:style>
  <w:style w:type="paragraph" w:styleId="CommentSubject">
    <w:name w:val="annotation subject"/>
    <w:basedOn w:val="CommentText"/>
    <w:next w:val="CommentText"/>
    <w:link w:val="CommentSubjectChar"/>
    <w:uiPriority w:val="99"/>
    <w:semiHidden/>
    <w:unhideWhenUsed/>
    <w:rsid w:val="00534098"/>
    <w:pPr>
      <w:spacing w:before="0" w:line="240" w:lineRule="auto"/>
      <w:ind w:left="0" w:firstLine="0"/>
    </w:pPr>
    <w:rPr>
      <w:b/>
      <w:bCs/>
      <w:szCs w:val="20"/>
    </w:rPr>
  </w:style>
  <w:style w:type="character" w:customStyle="1" w:styleId="CommentSubjectChar">
    <w:name w:val="Comment Subject Char"/>
    <w:basedOn w:val="CommentTextChar"/>
    <w:link w:val="CommentSubject"/>
    <w:uiPriority w:val="99"/>
    <w:semiHidden/>
    <w:rsid w:val="00534098"/>
    <w:rPr>
      <w:rFonts w:ascii="Times New Roman" w:eastAsia="Times New Roman" w:hAnsi="Times New Roman" w:cs="Times New Roman"/>
      <w:b/>
      <w:bCs/>
      <w:sz w:val="20"/>
      <w:szCs w:val="20"/>
      <w:lang w:eastAsia="en-AU"/>
    </w:rPr>
  </w:style>
  <w:style w:type="paragraph" w:styleId="Revision">
    <w:name w:val="Revision"/>
    <w:hidden/>
    <w:uiPriority w:val="99"/>
    <w:semiHidden/>
    <w:rsid w:val="00534098"/>
    <w:pPr>
      <w:spacing w:after="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534098"/>
    <w:rPr>
      <w:color w:val="808080"/>
    </w:rPr>
  </w:style>
  <w:style w:type="character" w:styleId="Hyperlink">
    <w:name w:val="Hyperlink"/>
    <w:basedOn w:val="DefaultParagraphFont"/>
    <w:uiPriority w:val="99"/>
    <w:unhideWhenUsed/>
    <w:rsid w:val="00534098"/>
    <w:rPr>
      <w:color w:val="000000" w:themeColor="hyperlink"/>
      <w:u w:val="single"/>
    </w:rPr>
  </w:style>
  <w:style w:type="character" w:styleId="FollowedHyperlink">
    <w:name w:val="FollowedHyperlink"/>
    <w:basedOn w:val="DefaultParagraphFont"/>
    <w:uiPriority w:val="99"/>
    <w:semiHidden/>
    <w:unhideWhenUsed/>
    <w:rsid w:val="00534098"/>
    <w:rPr>
      <w:color w:val="BFBFBF" w:themeColor="followedHyperlink"/>
      <w:u w:val="single"/>
    </w:rPr>
  </w:style>
  <w:style w:type="character" w:customStyle="1" w:styleId="UnresolvedMention1">
    <w:name w:val="Unresolved Mention1"/>
    <w:basedOn w:val="DefaultParagraphFont"/>
    <w:uiPriority w:val="99"/>
    <w:semiHidden/>
    <w:unhideWhenUsed/>
    <w:rsid w:val="00534098"/>
    <w:rPr>
      <w:color w:val="605E5C"/>
      <w:shd w:val="clear" w:color="auto" w:fill="E1DFDD"/>
    </w:rPr>
  </w:style>
  <w:style w:type="character" w:customStyle="1" w:styleId="UnresolvedMention2">
    <w:name w:val="Unresolved Mention2"/>
    <w:basedOn w:val="DefaultParagraphFont"/>
    <w:uiPriority w:val="99"/>
    <w:unhideWhenUsed/>
    <w:rsid w:val="00534098"/>
    <w:rPr>
      <w:color w:val="605E5C"/>
      <w:shd w:val="clear" w:color="auto" w:fill="E1DFDD"/>
    </w:rPr>
  </w:style>
  <w:style w:type="character" w:customStyle="1" w:styleId="UnresolvedMention3">
    <w:name w:val="Unresolved Mention3"/>
    <w:basedOn w:val="DefaultParagraphFont"/>
    <w:uiPriority w:val="99"/>
    <w:unhideWhenUsed/>
    <w:rsid w:val="00534098"/>
    <w:rPr>
      <w:color w:val="605E5C"/>
      <w:shd w:val="clear" w:color="auto" w:fill="E1DFDD"/>
    </w:rPr>
  </w:style>
  <w:style w:type="character" w:customStyle="1" w:styleId="Mention1">
    <w:name w:val="Mention1"/>
    <w:basedOn w:val="DefaultParagraphFont"/>
    <w:uiPriority w:val="99"/>
    <w:unhideWhenUsed/>
    <w:rsid w:val="00534098"/>
    <w:rPr>
      <w:color w:val="2B579A"/>
      <w:shd w:val="clear" w:color="auto" w:fill="E1DFDD"/>
    </w:rPr>
  </w:style>
  <w:style w:type="paragraph" w:styleId="Bibliography">
    <w:name w:val="Bibliography"/>
    <w:basedOn w:val="Normal"/>
    <w:next w:val="Normal"/>
    <w:uiPriority w:val="37"/>
    <w:semiHidden/>
    <w:unhideWhenUsed/>
    <w:rsid w:val="00534098"/>
  </w:style>
  <w:style w:type="paragraph" w:customStyle="1" w:styleId="Copyrightheading">
    <w:name w:val="Copyright heading"/>
    <w:basedOn w:val="TOC1"/>
    <w:link w:val="CopyrightheadingChar"/>
    <w:qFormat/>
    <w:rsid w:val="0076155F"/>
    <w:pPr>
      <w:spacing w:line="300" w:lineRule="exact"/>
    </w:pPr>
  </w:style>
  <w:style w:type="character" w:customStyle="1" w:styleId="CopyrightheadingChar">
    <w:name w:val="Copyright heading Char"/>
    <w:basedOn w:val="TOC1Char"/>
    <w:link w:val="Copyrightheading"/>
    <w:rsid w:val="0076155F"/>
    <w:rPr>
      <w:rFonts w:ascii="Arial" w:eastAsia="Times New Roman" w:hAnsi="Arial" w:cs="Times New Roman"/>
      <w:b/>
      <w:sz w:val="26"/>
      <w:szCs w:val="26"/>
    </w:rPr>
  </w:style>
  <w:style w:type="paragraph" w:customStyle="1" w:styleId="Copyrightsubtitle">
    <w:name w:val="Copyright subtitle"/>
    <w:basedOn w:val="BodyText"/>
    <w:rsid w:val="0076155F"/>
    <w:rPr>
      <w:rFonts w:ascii="Arial" w:hAnsi="Arial"/>
      <w:b/>
      <w:sz w:val="22"/>
      <w:szCs w:val="25"/>
    </w:rPr>
  </w:style>
  <w:style w:type="paragraph" w:customStyle="1" w:styleId="Copyrightbodytext">
    <w:name w:val="Copyright bodytext"/>
    <w:basedOn w:val="BodyText"/>
    <w:link w:val="CopyrightbodytextChar"/>
    <w:qFormat/>
    <w:rsid w:val="0076155F"/>
    <w:pPr>
      <w:spacing w:before="60"/>
    </w:pPr>
  </w:style>
  <w:style w:type="character" w:customStyle="1" w:styleId="CopyrightbodytextChar">
    <w:name w:val="Copyright bodytext Char"/>
    <w:basedOn w:val="BodyTextChar"/>
    <w:link w:val="Copyrightbodytext"/>
    <w:rsid w:val="0076155F"/>
    <w:rPr>
      <w:rFonts w:ascii="Times New Roman" w:eastAsia="Times New Roman" w:hAnsi="Times New Roman" w:cs="Times New Roman"/>
      <w:sz w:val="24"/>
      <w:szCs w:val="20"/>
      <w:lang w:eastAsia="en-AU"/>
    </w:rPr>
  </w:style>
  <w:style w:type="paragraph" w:customStyle="1" w:styleId="Souce">
    <w:name w:val="Souce"/>
    <w:basedOn w:val="Source"/>
    <w:rsid w:val="005B253C"/>
  </w:style>
  <w:style w:type="paragraph" w:customStyle="1" w:styleId="Heading1NotTOC">
    <w:name w:val="Heading 1 Not TOC"/>
    <w:basedOn w:val="Heading1"/>
    <w:next w:val="BodyText"/>
    <w:rsid w:val="00873FD6"/>
    <w:rPr>
      <w:kern w:val="28"/>
      <w:szCs w:val="26"/>
      <w:lang w:eastAsia="en-US"/>
    </w:rPr>
  </w:style>
  <w:style w:type="character" w:customStyle="1" w:styleId="UnresolvedMention4">
    <w:name w:val="Unresolved Mention4"/>
    <w:basedOn w:val="DefaultParagraphFont"/>
    <w:uiPriority w:val="99"/>
    <w:semiHidden/>
    <w:unhideWhenUsed/>
    <w:rsid w:val="00904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sv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sv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sv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svg"/><Relationship Id="rId30" Type="http://schemas.openxmlformats.org/officeDocument/2006/relationships/image" Target="media/image19.emf"/><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svg"/><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20" Type="http://schemas.openxmlformats.org/officeDocument/2006/relationships/image" Target="media/image9.emf"/><Relationship Id="rId41" Type="http://schemas.openxmlformats.org/officeDocument/2006/relationships/image" Target="media/image30.sv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svg"/><Relationship Id="rId52" Type="http://schemas.openxmlformats.org/officeDocument/2006/relationships/image" Target="media/image4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F7DB-B78C-4871-829E-40DBA0B9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17540</Words>
  <Characters>99979</Characters>
  <Application>Microsoft Office Word</Application>
  <DocSecurity>4</DocSecurity>
  <Lines>833</Lines>
  <Paragraphs>234</Paragraphs>
  <ScaleCrop>false</ScaleCrop>
  <HeadingPairs>
    <vt:vector size="2" baseType="variant">
      <vt:variant>
        <vt:lpstr>Title</vt:lpstr>
      </vt:variant>
      <vt:variant>
        <vt:i4>1</vt:i4>
      </vt:variant>
    </vt:vector>
  </HeadingPairs>
  <TitlesOfParts>
    <vt:vector size="1" baseType="lpstr">
      <vt:lpstr>Recent developments - PC Productivity Insights 2021</vt:lpstr>
    </vt:vector>
  </TitlesOfParts>
  <Manager/>
  <Company>Productivity Commission</Company>
  <LinksUpToDate>false</LinksUpToDate>
  <CharactersWithSpaces>117285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Recent developments - PC Productivity Insights 2021</dc:title>
  <dc:subject/>
  <dc:creator>Productivity Commission</dc:creator>
  <cp:keywords/>
  <dc:description/>
  <cp:lastModifiedBy>Dobson, Bianca</cp:lastModifiedBy>
  <cp:revision>18</cp:revision>
  <dcterms:created xsi:type="dcterms:W3CDTF">2021-06-15T21:16:00Z</dcterms:created>
  <dcterms:modified xsi:type="dcterms:W3CDTF">2021-06-16T19:09:00Z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id="tzPH4yCJ"/&gt;&lt;style id="" hasBibliography="0" bibliographyStyleHasBeenSet="0"/&gt;&lt;prefs/&gt;&lt;/data&gt;</vt:lpwstr>
  </property>
</Properties>
</file>