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1B297" w14:textId="0805EDBA" w:rsidR="00C55DD8" w:rsidRPr="00F10D3C" w:rsidRDefault="008D396B" w:rsidP="00C55DD8">
      <w:pPr>
        <w:pStyle w:val="Heading1"/>
        <w:rPr>
          <w:b/>
          <w:sz w:val="16"/>
          <w:szCs w:val="16"/>
        </w:rPr>
      </w:pPr>
      <w:bookmarkStart w:id="0" w:name="_GoBack"/>
      <w:r w:rsidRPr="00F10D3C">
        <w:rPr>
          <w:noProof/>
          <w:sz w:val="16"/>
          <w:szCs w:val="16"/>
        </w:rPr>
        <w:drawing>
          <wp:anchor distT="0" distB="0" distL="114300" distR="114300" simplePos="0" relativeHeight="251659264" behindDoc="0" locked="0" layoutInCell="1" allowOverlap="1" wp14:anchorId="2B58525E" wp14:editId="66C74AFC">
            <wp:simplePos x="1151890" y="1899920"/>
            <wp:positionH relativeFrom="page">
              <wp:align>center</wp:align>
            </wp:positionH>
            <wp:positionV relativeFrom="page">
              <wp:align>center</wp:align>
            </wp:positionV>
            <wp:extent cx="7811999" cy="11050199"/>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C bulletin cover 2020.png"/>
                    <pic:cNvPicPr/>
                  </pic:nvPicPr>
                  <pic:blipFill>
                    <a:blip r:embed="rId8">
                      <a:extLst>
                        <a:ext uri="{28A0092B-C50C-407E-A947-70E740481C1C}">
                          <a14:useLocalDpi xmlns:a14="http://schemas.microsoft.com/office/drawing/2010/main" val="0"/>
                        </a:ext>
                      </a:extLst>
                    </a:blip>
                    <a:stretch>
                      <a:fillRect/>
                    </a:stretch>
                  </pic:blipFill>
                  <pic:spPr>
                    <a:xfrm>
                      <a:off x="0" y="0"/>
                      <a:ext cx="7811999" cy="11050199"/>
                    </a:xfrm>
                    <a:prstGeom prst="rect">
                      <a:avLst/>
                    </a:prstGeom>
                  </pic:spPr>
                </pic:pic>
              </a:graphicData>
            </a:graphic>
            <wp14:sizeRelH relativeFrom="margin">
              <wp14:pctWidth>0</wp14:pctWidth>
            </wp14:sizeRelH>
            <wp14:sizeRelV relativeFrom="margin">
              <wp14:pctHeight>0</wp14:pctHeight>
            </wp14:sizeRelV>
          </wp:anchor>
        </w:drawing>
      </w:r>
      <w:bookmarkEnd w:id="0"/>
      <w:r w:rsidR="00C55DD8" w:rsidRPr="00F10D3C">
        <w:rPr>
          <w:sz w:val="16"/>
          <w:szCs w:val="16"/>
        </w:rPr>
        <w:t xml:space="preserve">PC Productivity </w:t>
      </w:r>
      <w:r w:rsidR="0069486C" w:rsidRPr="00F10D3C">
        <w:rPr>
          <w:sz w:val="16"/>
          <w:szCs w:val="16"/>
        </w:rPr>
        <w:t>Insights</w:t>
      </w:r>
      <w:r w:rsidR="00522C31">
        <w:rPr>
          <w:sz w:val="16"/>
          <w:szCs w:val="16"/>
        </w:rPr>
        <w:t xml:space="preserve"> 2020</w:t>
      </w:r>
      <w:r w:rsidR="00516FB0">
        <w:rPr>
          <w:sz w:val="16"/>
          <w:szCs w:val="16"/>
        </w:rPr>
        <w:t>: Recent Productivity Trends</w:t>
      </w:r>
      <w:r w:rsidR="00C55DD8" w:rsidRPr="00F10D3C">
        <w:rPr>
          <w:sz w:val="16"/>
          <w:szCs w:val="16"/>
        </w:rPr>
        <w:br w:type="page"/>
      </w:r>
    </w:p>
    <w:p w14:paraId="6C3D0EF7" w14:textId="77777777" w:rsidR="00C55DD8" w:rsidRDefault="00C55DD8" w:rsidP="00C55DD8">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2020</w:t>
      </w:r>
    </w:p>
    <w:p w14:paraId="7D73F7D6" w14:textId="77777777" w:rsidR="00C55DD8" w:rsidRDefault="00C55DD8" w:rsidP="00C55DD8">
      <w:pPr>
        <w:pStyle w:val="BodyText"/>
        <w:spacing w:after="120"/>
      </w:pPr>
      <w:bookmarkStart w:id="1" w:name="ISSN"/>
      <w:bookmarkEnd w:id="1"/>
      <w:r w:rsidRPr="00862D8F">
        <w:rPr>
          <w:noProof/>
          <w:sz w:val="22"/>
          <w:szCs w:val="22"/>
        </w:rPr>
        <w:drawing>
          <wp:inline distT="0" distB="0" distL="0" distR="0" wp14:anchorId="0AAFB1A4" wp14:editId="113E9182">
            <wp:extent cx="843280" cy="295043"/>
            <wp:effectExtent l="0" t="0" r="0" b="0"/>
            <wp:docPr id="48" name="Picture 48"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64F7D256" w14:textId="585F9949" w:rsidR="00C55DD8" w:rsidRPr="00E2212E" w:rsidRDefault="00C55DD8" w:rsidP="00C55DD8">
      <w:pPr>
        <w:pStyle w:val="Copyrightbodytext"/>
        <w:rPr>
          <w:sz w:val="20"/>
        </w:rPr>
      </w:pPr>
      <w:r w:rsidRPr="00E2212E">
        <w:rPr>
          <w:sz w:val="20"/>
        </w:rPr>
        <w:t>Except for the Commonwealth Coat of Arms and content supplied by third parties, this copyright work is licensed under a Creative Commons Attribution 3.0 Australia licence. To view a copy of this licence, visit http://creativecommons.org/licenses/by/3.0/au. In essence, you are free to copy, communicate and adapt the work, as long as you attribute the work to the Productivity Commission (but not in any way that suggests the Commission endorses you or your use) and abide by the other licence terms.</w:t>
      </w:r>
    </w:p>
    <w:p w14:paraId="124D285A" w14:textId="77777777" w:rsidR="00C55DD8" w:rsidRPr="008A3857" w:rsidRDefault="00C55DD8" w:rsidP="00C55DD8">
      <w:pPr>
        <w:pStyle w:val="Copyrightsubtitle"/>
      </w:pPr>
      <w:r w:rsidRPr="008A3857">
        <w:t>Use of the Commonwealth Coat of Arms</w:t>
      </w:r>
    </w:p>
    <w:p w14:paraId="3511C8E2" w14:textId="2A12B0BC" w:rsidR="00C55DD8" w:rsidRPr="00E2212E" w:rsidRDefault="00C55DD8" w:rsidP="00C55DD8">
      <w:pPr>
        <w:pStyle w:val="Copyrightbodytext"/>
        <w:rPr>
          <w:sz w:val="20"/>
        </w:rPr>
      </w:pPr>
      <w:r w:rsidRPr="00E2212E">
        <w:rPr>
          <w:sz w:val="20"/>
        </w:rPr>
        <w:t>Terms of use for the Coat of Arms are available from the Department of the Prime Minister and Cabinet’s website:</w:t>
      </w:r>
      <w:r w:rsidRPr="00E2212E">
        <w:rPr>
          <w:spacing w:val="-6"/>
          <w:sz w:val="20"/>
        </w:rPr>
        <w:t xml:space="preserve"> </w:t>
      </w:r>
      <w:r w:rsidRPr="00D10DB2">
        <w:rPr>
          <w:rStyle w:val="Hyperlink"/>
          <w:sz w:val="20"/>
        </w:rPr>
        <w:t>https://www.pmc.gov.au/government/commonwealth-coat-arms</w:t>
      </w:r>
    </w:p>
    <w:p w14:paraId="065444D2" w14:textId="77777777" w:rsidR="00C55DD8" w:rsidRPr="008A3857" w:rsidRDefault="00C55DD8" w:rsidP="00C55DD8">
      <w:pPr>
        <w:pStyle w:val="Copyrightsubtitle"/>
      </w:pPr>
      <w:r w:rsidRPr="008A3857">
        <w:t>Third party copyright</w:t>
      </w:r>
    </w:p>
    <w:p w14:paraId="69E0E109" w14:textId="77777777" w:rsidR="00C55DD8" w:rsidRPr="00E2212E" w:rsidRDefault="00C55DD8" w:rsidP="00C55DD8">
      <w:pPr>
        <w:pStyle w:val="Copyrightbodytext"/>
        <w:rPr>
          <w:sz w:val="20"/>
        </w:rPr>
      </w:pPr>
      <w:r w:rsidRPr="00E2212E">
        <w:rPr>
          <w:sz w:val="20"/>
        </w:rPr>
        <w:t>Wherever a third party holds copyright in this material, the copyright remains with that party. Their permission may be required to use the material, please contact them directly.</w:t>
      </w:r>
    </w:p>
    <w:p w14:paraId="732611AC" w14:textId="77777777" w:rsidR="00C55DD8" w:rsidRPr="008A3857" w:rsidRDefault="00C55DD8" w:rsidP="00C55DD8">
      <w:pPr>
        <w:pStyle w:val="Copyrightsubtitle"/>
      </w:pPr>
      <w:r w:rsidRPr="008A3857">
        <w:t>Attribution</w:t>
      </w:r>
    </w:p>
    <w:p w14:paraId="1680F9E9" w14:textId="15EE1F95" w:rsidR="00C55DD8" w:rsidRPr="00E2212E" w:rsidRDefault="00C55DD8" w:rsidP="00C55DD8">
      <w:pPr>
        <w:pStyle w:val="Copyrightbodytext"/>
        <w:rPr>
          <w:sz w:val="20"/>
        </w:rPr>
      </w:pPr>
      <w:r w:rsidRPr="00E2212E">
        <w:rPr>
          <w:sz w:val="20"/>
        </w:rPr>
        <w:t xml:space="preserve">This work should be attributed as follows, </w:t>
      </w:r>
      <w:r w:rsidRPr="00E2212E">
        <w:rPr>
          <w:i/>
          <w:sz w:val="20"/>
        </w:rPr>
        <w:t xml:space="preserve">Source: Productivity Commission, PC Productivity </w:t>
      </w:r>
      <w:r w:rsidR="00FF186B">
        <w:rPr>
          <w:i/>
          <w:sz w:val="20"/>
        </w:rPr>
        <w:t>Insights</w:t>
      </w:r>
      <w:r w:rsidR="004305B5">
        <w:rPr>
          <w:i/>
          <w:sz w:val="20"/>
        </w:rPr>
        <w:t>: Recent Productivity Trends</w:t>
      </w:r>
      <w:r w:rsidRPr="00E2212E">
        <w:rPr>
          <w:sz w:val="20"/>
        </w:rPr>
        <w:t>.</w:t>
      </w:r>
    </w:p>
    <w:p w14:paraId="6D000E06" w14:textId="4EC27ACE" w:rsidR="00C55DD8" w:rsidRPr="00E2212E" w:rsidRDefault="00C55DD8" w:rsidP="00C55DD8">
      <w:pPr>
        <w:pStyle w:val="Copyrightbodytext"/>
        <w:spacing w:before="120"/>
        <w:rPr>
          <w:sz w:val="20"/>
        </w:rPr>
      </w:pPr>
      <w:r w:rsidRPr="00E2212E">
        <w:rPr>
          <w:sz w:val="20"/>
        </w:rPr>
        <w:t xml:space="preserve">If you have adapted, modified or transformed this work in anyway, please use the following, </w:t>
      </w:r>
      <w:r w:rsidRPr="00E2212E">
        <w:rPr>
          <w:i/>
          <w:sz w:val="20"/>
        </w:rPr>
        <w:t xml:space="preserve">Source: based on Productivity Commission data, PC Productivity </w:t>
      </w:r>
      <w:r w:rsidR="00866218">
        <w:rPr>
          <w:i/>
          <w:sz w:val="20"/>
        </w:rPr>
        <w:t>Insights</w:t>
      </w:r>
      <w:r w:rsidR="004305B5">
        <w:rPr>
          <w:i/>
          <w:sz w:val="20"/>
        </w:rPr>
        <w:t>: Recent Productivity Trends</w:t>
      </w:r>
      <w:r w:rsidRPr="00E2212E">
        <w:rPr>
          <w:sz w:val="20"/>
        </w:rPr>
        <w:t>.</w:t>
      </w:r>
    </w:p>
    <w:p w14:paraId="3626E6BB" w14:textId="77777777" w:rsidR="00C55DD8" w:rsidRPr="008A3857" w:rsidRDefault="00C55DD8" w:rsidP="00C55DD8">
      <w:pPr>
        <w:pStyle w:val="Copyrightsubtitle"/>
      </w:pPr>
      <w:r w:rsidRPr="008A3857">
        <w:t xml:space="preserve">An appropriate </w:t>
      </w:r>
      <w:r>
        <w:t>reference</w:t>
      </w:r>
      <w:r w:rsidRPr="008A3857">
        <w:t xml:space="preserve"> for this publication is:</w:t>
      </w:r>
    </w:p>
    <w:p w14:paraId="0D6E52CD" w14:textId="6B3E5C6F" w:rsidR="00C55DD8" w:rsidRPr="00E2212E" w:rsidRDefault="00C55DD8" w:rsidP="00C55DD8">
      <w:pPr>
        <w:pStyle w:val="Copyrightbodytext"/>
        <w:rPr>
          <w:sz w:val="20"/>
        </w:rPr>
      </w:pPr>
      <w:r w:rsidRPr="00E2212E">
        <w:rPr>
          <w:sz w:val="20"/>
        </w:rPr>
        <w:t xml:space="preserve">Productivity Commission 2020, </w:t>
      </w:r>
      <w:r w:rsidRPr="00E2212E">
        <w:rPr>
          <w:i/>
          <w:sz w:val="20"/>
        </w:rPr>
        <w:t xml:space="preserve">PC Productivity </w:t>
      </w:r>
      <w:r w:rsidR="00866218">
        <w:rPr>
          <w:i/>
          <w:sz w:val="20"/>
        </w:rPr>
        <w:t>Insights</w:t>
      </w:r>
      <w:r w:rsidR="004305B5">
        <w:rPr>
          <w:i/>
          <w:sz w:val="20"/>
        </w:rPr>
        <w:t>: Recent Productivity Trends</w:t>
      </w:r>
      <w:r w:rsidR="00554F33">
        <w:rPr>
          <w:sz w:val="20"/>
        </w:rPr>
        <w:t xml:space="preserve">, </w:t>
      </w:r>
      <w:r w:rsidRPr="00E2212E">
        <w:rPr>
          <w:sz w:val="20"/>
        </w:rPr>
        <w:t>Canberra, February.</w:t>
      </w:r>
    </w:p>
    <w:p w14:paraId="5C6B4528" w14:textId="77777777" w:rsidR="00C55DD8" w:rsidRPr="008A3857" w:rsidRDefault="00C55DD8" w:rsidP="00C55DD8">
      <w:pPr>
        <w:pStyle w:val="Copyrightsubtitle"/>
      </w:pPr>
      <w:bookmarkStart w:id="2" w:name="JEL"/>
      <w:bookmarkEnd w:id="2"/>
      <w:r w:rsidRPr="008A3857">
        <w:t>Publications enquiries</w:t>
      </w:r>
    </w:p>
    <w:p w14:paraId="1A4902B3" w14:textId="77777777" w:rsidR="00C55DD8" w:rsidRPr="00E2212E" w:rsidRDefault="00C55DD8" w:rsidP="00C55DD8">
      <w:pPr>
        <w:pStyle w:val="Copyrightbodytext"/>
        <w:rPr>
          <w:sz w:val="20"/>
        </w:rPr>
      </w:pPr>
      <w:r w:rsidRPr="00E2212E">
        <w:rPr>
          <w:sz w:val="20"/>
        </w:rPr>
        <w:t>Media, Publications and Web, phone: (03) 9653 2244 or email: mpw@pc.gov.au</w:t>
      </w:r>
    </w:p>
    <w:p w14:paraId="7DF94778" w14:textId="77777777" w:rsidR="00C55DD8" w:rsidRDefault="00C55DD8" w:rsidP="00C55DD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55DD8" w14:paraId="77FAE710" w14:textId="77777777" w:rsidTr="00D10DB2">
        <w:trPr>
          <w:tblHeader/>
        </w:trPr>
        <w:tc>
          <w:tcPr>
            <w:tcW w:w="5000" w:type="pct"/>
            <w:tcBorders>
              <w:top w:val="single" w:sz="6" w:space="0" w:color="78A22F"/>
              <w:left w:val="nil"/>
              <w:bottom w:val="nil"/>
              <w:right w:val="nil"/>
            </w:tcBorders>
            <w:shd w:val="clear" w:color="auto" w:fill="F2F2F2" w:themeFill="background1" w:themeFillShade="F2"/>
          </w:tcPr>
          <w:p w14:paraId="5F37BA82" w14:textId="77777777" w:rsidR="00C55DD8" w:rsidRPr="008A3857" w:rsidRDefault="00C55DD8" w:rsidP="00D10DB2">
            <w:pPr>
              <w:pStyle w:val="BoxTitle"/>
              <w:rPr>
                <w:sz w:val="22"/>
                <w:szCs w:val="22"/>
              </w:rPr>
            </w:pPr>
            <w:r w:rsidRPr="008A3857">
              <w:rPr>
                <w:sz w:val="22"/>
                <w:szCs w:val="22"/>
              </w:rPr>
              <w:t>The Productivity Commission</w:t>
            </w:r>
          </w:p>
        </w:tc>
      </w:tr>
      <w:tr w:rsidR="00C55DD8" w14:paraId="66527E3A" w14:textId="77777777" w:rsidTr="00D10DB2">
        <w:tc>
          <w:tcPr>
            <w:tcW w:w="5000" w:type="pct"/>
            <w:tcBorders>
              <w:top w:val="nil"/>
              <w:left w:val="nil"/>
              <w:bottom w:val="nil"/>
              <w:right w:val="nil"/>
            </w:tcBorders>
            <w:shd w:val="clear" w:color="auto" w:fill="F2F2F2" w:themeFill="background1" w:themeFillShade="F2"/>
          </w:tcPr>
          <w:p w14:paraId="6F7F48D8" w14:textId="77777777" w:rsidR="00C55DD8" w:rsidRDefault="00C55DD8" w:rsidP="00D10DB2">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011A8660" w14:textId="77777777" w:rsidR="00C55DD8" w:rsidRDefault="00C55DD8" w:rsidP="00D10DB2">
            <w:pPr>
              <w:pStyle w:val="Box"/>
            </w:pPr>
            <w:r w:rsidRPr="00BB5DCF">
              <w:t>The Commission’s independence is underpinned by an Act of Parliament. Its processes and outputs are open to public scrutiny and are driven by concern for the wellbeing of the community as a whole.</w:t>
            </w:r>
          </w:p>
          <w:p w14:paraId="71A1C6BF" w14:textId="7F7FFCE7" w:rsidR="00C55DD8" w:rsidRDefault="00C55DD8" w:rsidP="00D10DB2">
            <w:pPr>
              <w:pStyle w:val="Box"/>
            </w:pPr>
            <w:r w:rsidRPr="00BB5DCF">
              <w:rPr>
                <w:szCs w:val="24"/>
              </w:rPr>
              <w:t>Further information on the Productivity Commission can be obtained from the Commission’s website (</w:t>
            </w:r>
            <w:r w:rsidRPr="00805FD7">
              <w:t>www.pc.gov.au</w:t>
            </w:r>
            <w:r w:rsidRPr="00BB5DCF">
              <w:rPr>
                <w:szCs w:val="24"/>
              </w:rPr>
              <w:t>)</w:t>
            </w:r>
            <w:r>
              <w:rPr>
                <w:szCs w:val="24"/>
              </w:rPr>
              <w:t>.</w:t>
            </w:r>
          </w:p>
        </w:tc>
      </w:tr>
      <w:tr w:rsidR="00C55DD8" w14:paraId="692F13EE" w14:textId="77777777" w:rsidTr="00D10DB2">
        <w:tc>
          <w:tcPr>
            <w:tcW w:w="5000" w:type="pct"/>
            <w:tcBorders>
              <w:top w:val="nil"/>
              <w:left w:val="nil"/>
              <w:bottom w:val="single" w:sz="6" w:space="0" w:color="78A22F"/>
              <w:right w:val="nil"/>
            </w:tcBorders>
            <w:shd w:val="clear" w:color="auto" w:fill="F2F2F2" w:themeFill="background1" w:themeFillShade="F2"/>
          </w:tcPr>
          <w:p w14:paraId="05C17195" w14:textId="77777777" w:rsidR="00C55DD8" w:rsidRDefault="00C55DD8" w:rsidP="00D10DB2">
            <w:pPr>
              <w:pStyle w:val="Box"/>
              <w:spacing w:before="0" w:line="120" w:lineRule="exact"/>
            </w:pPr>
          </w:p>
        </w:tc>
      </w:tr>
    </w:tbl>
    <w:p w14:paraId="4E1C7125" w14:textId="77777777" w:rsidR="00C55DD8" w:rsidRDefault="00C55DD8" w:rsidP="00C55DD8">
      <w:pPr>
        <w:pStyle w:val="BodyText"/>
        <w:sectPr w:rsidR="00C55DD8" w:rsidSect="00C55DD8">
          <w:pgSz w:w="11907" w:h="16840" w:code="9"/>
          <w:pgMar w:top="1304" w:right="1304" w:bottom="567" w:left="1814" w:header="1701" w:footer="397" w:gutter="0"/>
          <w:pgNumType w:fmt="lowerRoman" w:start="1"/>
          <w:cols w:space="720"/>
          <w:titlePg/>
        </w:sectPr>
      </w:pPr>
      <w:bookmarkStart w:id="3" w:name="cov"/>
      <w:bookmarkEnd w:id="3"/>
    </w:p>
    <w:p w14:paraId="2120C78A" w14:textId="04BE8F65" w:rsidR="00111453" w:rsidRDefault="00111453" w:rsidP="00543F93">
      <w:pPr>
        <w:pStyle w:val="Heading1"/>
      </w:pPr>
      <w:bookmarkStart w:id="4" w:name="Contents"/>
      <w:bookmarkStart w:id="5" w:name="_Toc31978951"/>
      <w:bookmarkEnd w:id="4"/>
      <w:r>
        <w:lastRenderedPageBreak/>
        <w:t>Foreword</w:t>
      </w:r>
      <w:bookmarkEnd w:id="5"/>
    </w:p>
    <w:p w14:paraId="5A71B76C" w14:textId="38FB3F73" w:rsidR="008D5C6B" w:rsidRDefault="008D5C6B" w:rsidP="008D5C6B">
      <w:pPr>
        <w:pStyle w:val="BodyText"/>
      </w:pPr>
      <w:r>
        <w:t xml:space="preserve">Welcome to the first </w:t>
      </w:r>
      <w:r w:rsidRPr="00E14BFA">
        <w:rPr>
          <w:i/>
        </w:rPr>
        <w:t>PC Productivity Insights</w:t>
      </w:r>
      <w:r>
        <w:t xml:space="preserve"> of 2020.</w:t>
      </w:r>
    </w:p>
    <w:p w14:paraId="57969575" w14:textId="464A6840" w:rsidR="008D5C6B" w:rsidRDefault="008D5C6B" w:rsidP="008D5C6B">
      <w:pPr>
        <w:pStyle w:val="BodyText"/>
      </w:pPr>
      <w:r>
        <w:t>Each year, we provide an analysis of Australia’s recent productivity performance, recognising that it is a key determinant of our long-run prosperity. This year, rather than providing a single document, the Commission will be publishing a series of research papers on different aspects of Australia’s productivity performance. The first in the series focuses on Australia’s recent productivity trends.</w:t>
      </w:r>
    </w:p>
    <w:p w14:paraId="46F08092" w14:textId="0A524123" w:rsidR="008D5C6B" w:rsidRDefault="008D5C6B" w:rsidP="008D5C6B">
      <w:pPr>
        <w:pStyle w:val="BodyText"/>
      </w:pPr>
      <w:r>
        <w:t>Ongoing output growth has pushed Australia’s recession</w:t>
      </w:r>
      <w:r>
        <w:noBreakHyphen/>
        <w:t xml:space="preserve">free hot streak out to 28 consecutive years, a record that is the envy of policymakers </w:t>
      </w:r>
      <w:r w:rsidR="00EE3695">
        <w:t xml:space="preserve">the </w:t>
      </w:r>
      <w:r>
        <w:t xml:space="preserve">world over. That said, this year, Australia’s productivity has slid backwards for the first time since the mining boom. Output growth has been driven by strong growth in employment, rather than ‘doing things better’. The result is that the labour and multifactor productivity performance of the market sector, where measurement of performance is most accurate, has continued to deteriorate. Economy-wide generalisations do not capture the fact that some industries have experienced strong productivity growth — a story that we emphasise in this paper. </w:t>
      </w:r>
    </w:p>
    <w:p w14:paraId="13813D6E" w14:textId="71363884" w:rsidR="008D5C6B" w:rsidRDefault="008D5C6B" w:rsidP="008D5C6B">
      <w:pPr>
        <w:pStyle w:val="BodyText"/>
      </w:pPr>
      <w:r>
        <w:t xml:space="preserve">Subsequent papers in the </w:t>
      </w:r>
      <w:r>
        <w:rPr>
          <w:i/>
        </w:rPr>
        <w:t>PC Productivity Insights</w:t>
      </w:r>
      <w:r>
        <w:t xml:space="preserve"> series will explore in more detail some of the issues raised in this document, such as Australia’s performance in an international context and the</w:t>
      </w:r>
      <w:r w:rsidR="00EE3695">
        <w:t xml:space="preserve"> role of productivity as a long-</w:t>
      </w:r>
      <w:r>
        <w:t>run driver of growth in living standards. The aim of these papers is to make a contribution to public discussion and debate about productivity, which in turn can guide policy to lift Australia’s future productivity performance.</w:t>
      </w:r>
    </w:p>
    <w:p w14:paraId="1D8FD05D" w14:textId="4EEF1D78" w:rsidR="00111453" w:rsidRPr="00111453" w:rsidRDefault="008D5C6B" w:rsidP="008D5C6B">
      <w:pPr>
        <w:pStyle w:val="BodyText"/>
        <w:spacing w:before="600"/>
        <w:jc w:val="left"/>
        <w:rPr>
          <w:lang w:eastAsia="en-US"/>
        </w:rPr>
      </w:pPr>
      <w:r>
        <w:t xml:space="preserve">Michael Brennan </w:t>
      </w:r>
      <w:r>
        <w:br/>
        <w:t>Chair</w:t>
      </w:r>
    </w:p>
    <w:p w14:paraId="01506851" w14:textId="77777777" w:rsidR="00111453" w:rsidRPr="00111453" w:rsidRDefault="00111453" w:rsidP="00111453">
      <w:pPr>
        <w:pStyle w:val="BodyText"/>
        <w:rPr>
          <w:lang w:eastAsia="en-US"/>
        </w:rPr>
        <w:sectPr w:rsidR="00111453" w:rsidRPr="00111453" w:rsidSect="00D10DB2">
          <w:headerReference w:type="even" r:id="rId10"/>
          <w:headerReference w:type="default" r:id="rId11"/>
          <w:footerReference w:type="even" r:id="rId12"/>
          <w:footerReference w:type="default" r:id="rId13"/>
          <w:type w:val="oddPage"/>
          <w:pgSz w:w="11907" w:h="16840" w:code="9"/>
          <w:pgMar w:top="1985" w:right="1304" w:bottom="1247" w:left="1814" w:header="1701" w:footer="397" w:gutter="0"/>
          <w:pgNumType w:fmt="lowerRoman"/>
          <w:cols w:space="720"/>
        </w:sectPr>
      </w:pPr>
    </w:p>
    <w:p w14:paraId="4AD97463" w14:textId="3AB4F102" w:rsidR="00543F93" w:rsidRDefault="00C55DD8" w:rsidP="00C55DD8">
      <w:pPr>
        <w:pStyle w:val="Heading1NotTOC"/>
        <w:rPr>
          <w:noProof/>
        </w:rPr>
      </w:pPr>
      <w:r w:rsidRPr="00B153C3">
        <w:lastRenderedPageBreak/>
        <w:t>Contents</w:t>
      </w:r>
      <w:bookmarkStart w:id="6" w:name="InsertContents"/>
      <w:bookmarkEnd w:id="6"/>
    </w:p>
    <w:p w14:paraId="6AE7DF44" w14:textId="2FB14A7F" w:rsidR="00543F93" w:rsidRPr="00543F93" w:rsidRDefault="00543F93">
      <w:pPr>
        <w:pStyle w:val="TOC1"/>
        <w:rPr>
          <w:rFonts w:asciiTheme="minorHAnsi" w:eastAsiaTheme="minorEastAsia" w:hAnsiTheme="minorHAnsi" w:cstheme="minorBidi"/>
          <w:b w:val="0"/>
          <w:noProof/>
          <w:sz w:val="22"/>
          <w:szCs w:val="22"/>
          <w:lang w:eastAsia="en-AU"/>
        </w:rPr>
      </w:pPr>
      <w:r w:rsidRPr="00543F93">
        <w:rPr>
          <w:b w:val="0"/>
          <w:noProof/>
        </w:rPr>
        <w:t>Foreword</w:t>
      </w:r>
      <w:r w:rsidRPr="00543F93">
        <w:rPr>
          <w:b w:val="0"/>
          <w:noProof/>
        </w:rPr>
        <w:tab/>
      </w:r>
      <w:r w:rsidR="00A73986">
        <w:rPr>
          <w:b w:val="0"/>
          <w:noProof/>
        </w:rPr>
        <w:t>iii</w:t>
      </w:r>
    </w:p>
    <w:p w14:paraId="5C6D1E2D" w14:textId="6CAEA21F" w:rsidR="00543F93" w:rsidRPr="00543F93" w:rsidRDefault="00543F93">
      <w:pPr>
        <w:pStyle w:val="TOC1"/>
        <w:rPr>
          <w:rFonts w:asciiTheme="minorHAnsi" w:eastAsiaTheme="minorEastAsia" w:hAnsiTheme="minorHAnsi" w:cstheme="minorBidi"/>
          <w:b w:val="0"/>
          <w:noProof/>
          <w:sz w:val="22"/>
          <w:szCs w:val="22"/>
          <w:lang w:eastAsia="en-AU"/>
        </w:rPr>
      </w:pPr>
      <w:r w:rsidRPr="00543F93">
        <w:rPr>
          <w:b w:val="0"/>
          <w:noProof/>
        </w:rPr>
        <w:t>Abbreviations</w:t>
      </w:r>
      <w:r w:rsidRPr="00543F93">
        <w:rPr>
          <w:b w:val="0"/>
          <w:noProof/>
        </w:rPr>
        <w:tab/>
      </w:r>
      <w:r w:rsidR="00A73986">
        <w:rPr>
          <w:b w:val="0"/>
          <w:noProof/>
        </w:rPr>
        <w:t>vi</w:t>
      </w:r>
    </w:p>
    <w:p w14:paraId="612B8288" w14:textId="1954D9CD" w:rsidR="00543F93" w:rsidRDefault="00543F93" w:rsidP="00543F93">
      <w:pPr>
        <w:pStyle w:val="TOC1"/>
        <w:spacing w:before="360"/>
        <w:rPr>
          <w:rFonts w:asciiTheme="minorHAnsi" w:eastAsiaTheme="minorEastAsia" w:hAnsiTheme="minorHAnsi" w:cstheme="minorBidi"/>
          <w:b w:val="0"/>
          <w:noProof/>
          <w:sz w:val="22"/>
          <w:szCs w:val="22"/>
          <w:lang w:eastAsia="en-AU"/>
        </w:rPr>
      </w:pPr>
      <w:r>
        <w:rPr>
          <w:noProof/>
        </w:rPr>
        <w:t>Recent productivity trends</w:t>
      </w:r>
      <w:r>
        <w:rPr>
          <w:noProof/>
        </w:rPr>
        <w:tab/>
      </w:r>
      <w:r w:rsidR="00EE3695">
        <w:rPr>
          <w:noProof/>
        </w:rPr>
        <w:t>1</w:t>
      </w:r>
    </w:p>
    <w:p w14:paraId="5D3B819B" w14:textId="4FD22110" w:rsidR="00543F93" w:rsidRPr="00EE3695" w:rsidRDefault="00543F93" w:rsidP="00EE3695">
      <w:pPr>
        <w:pStyle w:val="TOC2"/>
        <w:tabs>
          <w:tab w:val="left" w:pos="1134"/>
        </w:tabs>
        <w:rPr>
          <w:noProof/>
        </w:rPr>
      </w:pPr>
      <w:r>
        <w:rPr>
          <w:noProof/>
        </w:rPr>
        <w:t>Productivity at a glance</w:t>
      </w:r>
      <w:r>
        <w:rPr>
          <w:noProof/>
        </w:rPr>
        <w:tab/>
      </w:r>
      <w:r w:rsidR="00A73986">
        <w:rPr>
          <w:noProof/>
        </w:rPr>
        <w:t>2</w:t>
      </w:r>
    </w:p>
    <w:p w14:paraId="4EE80E38" w14:textId="172B3E74" w:rsidR="00543F93" w:rsidRDefault="00543F93">
      <w:pPr>
        <w:pStyle w:val="TOC2"/>
        <w:tabs>
          <w:tab w:val="left" w:pos="1134"/>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A strong labour market has supported continued economic growth</w:t>
      </w:r>
      <w:r>
        <w:rPr>
          <w:noProof/>
        </w:rPr>
        <w:tab/>
      </w:r>
      <w:r w:rsidR="00A73986">
        <w:rPr>
          <w:noProof/>
        </w:rPr>
        <w:t>8</w:t>
      </w:r>
    </w:p>
    <w:p w14:paraId="37765E4D" w14:textId="073665CD" w:rsidR="00543F93" w:rsidRDefault="00543F93">
      <w:pPr>
        <w:pStyle w:val="TOC2"/>
        <w:tabs>
          <w:tab w:val="left" w:pos="1134"/>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The productivity slowdown</w:t>
      </w:r>
      <w:r>
        <w:rPr>
          <w:noProof/>
        </w:rPr>
        <w:tab/>
      </w:r>
      <w:r w:rsidR="00A73986">
        <w:rPr>
          <w:noProof/>
        </w:rPr>
        <w:t>15</w:t>
      </w:r>
    </w:p>
    <w:p w14:paraId="530C6F49" w14:textId="5D515BA4" w:rsidR="00543F93" w:rsidRDefault="00543F93">
      <w:pPr>
        <w:pStyle w:val="TOC2"/>
        <w:tabs>
          <w:tab w:val="left" w:pos="1134"/>
        </w:tabs>
        <w:rPr>
          <w:noProof/>
        </w:rPr>
      </w:pPr>
      <w:r>
        <w:rPr>
          <w:noProof/>
        </w:rPr>
        <w:t>3</w:t>
      </w:r>
      <w:r>
        <w:rPr>
          <w:rFonts w:asciiTheme="minorHAnsi" w:eastAsiaTheme="minorEastAsia" w:hAnsiTheme="minorHAnsi" w:cstheme="minorBidi"/>
          <w:noProof/>
          <w:sz w:val="22"/>
          <w:szCs w:val="22"/>
          <w:lang w:eastAsia="en-AU"/>
        </w:rPr>
        <w:tab/>
      </w:r>
      <w:r>
        <w:rPr>
          <w:noProof/>
        </w:rPr>
        <w:t>Strong terms of trade have allowed incomes to outgrow productivity over the past 20 years</w:t>
      </w:r>
      <w:r>
        <w:rPr>
          <w:noProof/>
        </w:rPr>
        <w:tab/>
      </w:r>
      <w:r w:rsidR="00A73986">
        <w:rPr>
          <w:noProof/>
        </w:rPr>
        <w:t>2</w:t>
      </w:r>
      <w:r w:rsidR="007720E8">
        <w:rPr>
          <w:noProof/>
        </w:rPr>
        <w:t>1</w:t>
      </w:r>
    </w:p>
    <w:p w14:paraId="15358F01" w14:textId="09F2C8D7" w:rsidR="007720E8" w:rsidRDefault="007720E8" w:rsidP="00D32867">
      <w:pPr>
        <w:pStyle w:val="TOC1"/>
        <w:spacing w:before="240"/>
        <w:rPr>
          <w:rFonts w:asciiTheme="minorHAnsi" w:eastAsiaTheme="minorEastAsia" w:hAnsiTheme="minorHAnsi" w:cstheme="minorBidi"/>
          <w:noProof/>
          <w:sz w:val="22"/>
          <w:szCs w:val="22"/>
          <w:lang w:eastAsia="en-AU"/>
        </w:rPr>
      </w:pPr>
      <w:r>
        <w:rPr>
          <w:noProof/>
        </w:rPr>
        <w:t>A</w:t>
      </w:r>
      <w:r>
        <w:rPr>
          <w:noProof/>
        </w:rPr>
        <w:tab/>
        <w:t>Technical appendix</w:t>
      </w:r>
      <w:r>
        <w:rPr>
          <w:noProof/>
        </w:rPr>
        <w:tab/>
      </w:r>
      <w:r w:rsidR="00D413C1">
        <w:rPr>
          <w:noProof/>
        </w:rPr>
        <w:t>29</w:t>
      </w:r>
    </w:p>
    <w:p w14:paraId="1F163005" w14:textId="11EB4640" w:rsidR="00543F93" w:rsidRDefault="00543F93" w:rsidP="00543F93">
      <w:pPr>
        <w:pStyle w:val="TOC1"/>
        <w:spacing w:before="240"/>
        <w:rPr>
          <w:rFonts w:asciiTheme="minorHAnsi" w:eastAsiaTheme="minorEastAsia" w:hAnsiTheme="minorHAnsi" w:cstheme="minorBidi"/>
          <w:b w:val="0"/>
          <w:noProof/>
          <w:sz w:val="22"/>
          <w:szCs w:val="22"/>
          <w:lang w:eastAsia="en-AU"/>
        </w:rPr>
      </w:pPr>
      <w:r>
        <w:rPr>
          <w:noProof/>
        </w:rPr>
        <w:t>References</w:t>
      </w:r>
      <w:r>
        <w:rPr>
          <w:noProof/>
        </w:rPr>
        <w:tab/>
      </w:r>
      <w:r w:rsidR="00D413C1">
        <w:rPr>
          <w:noProof/>
        </w:rPr>
        <w:t>35</w:t>
      </w:r>
    </w:p>
    <w:p w14:paraId="59C17E18" w14:textId="3F83B49E" w:rsidR="00C55DD8" w:rsidRDefault="00C55DD8" w:rsidP="00C55DD8">
      <w:pPr>
        <w:pStyle w:val="BodyText"/>
      </w:pPr>
    </w:p>
    <w:p w14:paraId="6F0F56AD" w14:textId="77777777" w:rsidR="00C55DD8" w:rsidRDefault="00C55DD8" w:rsidP="00C55DD8">
      <w:pPr>
        <w:pStyle w:val="BodyText"/>
        <w:sectPr w:rsidR="00C55DD8" w:rsidSect="00D10DB2">
          <w:type w:val="oddPage"/>
          <w:pgSz w:w="11907" w:h="16840" w:code="9"/>
          <w:pgMar w:top="1985" w:right="1304" w:bottom="1247" w:left="1814" w:header="1701" w:footer="397" w:gutter="0"/>
          <w:pgNumType w:fmt="lowerRoman"/>
          <w:cols w:space="720"/>
        </w:sectPr>
      </w:pPr>
    </w:p>
    <w:p w14:paraId="3A7D23A2" w14:textId="77777777" w:rsidR="00C55DD8" w:rsidRDefault="00C55DD8" w:rsidP="00C55DD8">
      <w:pPr>
        <w:pStyle w:val="Heading1"/>
      </w:pPr>
      <w:bookmarkStart w:id="7" w:name="Abbreviations"/>
      <w:bookmarkStart w:id="8" w:name="EndContents"/>
      <w:bookmarkStart w:id="9" w:name="RDnote"/>
      <w:bookmarkStart w:id="10" w:name="_Toc31978952"/>
      <w:bookmarkEnd w:id="7"/>
      <w:bookmarkEnd w:id="8"/>
      <w:bookmarkEnd w:id="9"/>
      <w:r>
        <w:lastRenderedPageBreak/>
        <w:t>Abbreviations</w:t>
      </w:r>
      <w:bookmarkEnd w:id="10"/>
    </w:p>
    <w:tbl>
      <w:tblPr>
        <w:tblW w:w="0" w:type="auto"/>
        <w:tblCellMar>
          <w:left w:w="0" w:type="dxa"/>
          <w:right w:w="0" w:type="dxa"/>
        </w:tblCellMar>
        <w:tblLook w:val="0000" w:firstRow="0" w:lastRow="0" w:firstColumn="0" w:lastColumn="0" w:noHBand="0" w:noVBand="0"/>
        <w:tblDescription w:val="Table used for design layout."/>
      </w:tblPr>
      <w:tblGrid>
        <w:gridCol w:w="2410"/>
        <w:gridCol w:w="6379"/>
      </w:tblGrid>
      <w:tr w:rsidR="00C55DD8" w14:paraId="4CC92585" w14:textId="77777777" w:rsidTr="00D10DB2">
        <w:tc>
          <w:tcPr>
            <w:tcW w:w="2410" w:type="dxa"/>
          </w:tcPr>
          <w:p w14:paraId="655BFFE7" w14:textId="77777777" w:rsidR="00C55DD8" w:rsidRDefault="00C55DD8" w:rsidP="00D10DB2">
            <w:pPr>
              <w:pStyle w:val="BodyText"/>
              <w:spacing w:before="120"/>
              <w:ind w:right="6"/>
            </w:pPr>
            <w:r>
              <w:t>ABS</w:t>
            </w:r>
          </w:p>
        </w:tc>
        <w:tc>
          <w:tcPr>
            <w:tcW w:w="6379" w:type="dxa"/>
          </w:tcPr>
          <w:p w14:paraId="157536EF" w14:textId="77777777" w:rsidR="00C55DD8" w:rsidRDefault="00C55DD8" w:rsidP="00D10DB2">
            <w:pPr>
              <w:pStyle w:val="BodyText"/>
              <w:spacing w:before="120"/>
              <w:ind w:left="227" w:right="6"/>
            </w:pPr>
            <w:r>
              <w:t>Australian Bureau of Statistics</w:t>
            </w:r>
          </w:p>
        </w:tc>
      </w:tr>
      <w:tr w:rsidR="00C55DD8" w14:paraId="682F87D2" w14:textId="77777777" w:rsidTr="00D10DB2">
        <w:tc>
          <w:tcPr>
            <w:tcW w:w="2410" w:type="dxa"/>
          </w:tcPr>
          <w:p w14:paraId="5BB15015" w14:textId="77777777" w:rsidR="00C55DD8" w:rsidRDefault="00C55DD8" w:rsidP="00D10DB2">
            <w:pPr>
              <w:pStyle w:val="BodyText"/>
              <w:spacing w:before="120"/>
              <w:ind w:right="6"/>
            </w:pPr>
            <w:r>
              <w:t>CPI</w:t>
            </w:r>
          </w:p>
        </w:tc>
        <w:tc>
          <w:tcPr>
            <w:tcW w:w="6379" w:type="dxa"/>
          </w:tcPr>
          <w:p w14:paraId="3C5A1DA1" w14:textId="77777777" w:rsidR="00C55DD8" w:rsidRDefault="00C55DD8" w:rsidP="00D10DB2">
            <w:pPr>
              <w:pStyle w:val="BodyText"/>
              <w:spacing w:before="120"/>
              <w:ind w:left="227" w:right="6"/>
            </w:pPr>
            <w:r>
              <w:t>Consumer Price Index</w:t>
            </w:r>
          </w:p>
        </w:tc>
      </w:tr>
      <w:tr w:rsidR="00C55DD8" w14:paraId="71D33868" w14:textId="77777777" w:rsidTr="00D10DB2">
        <w:tc>
          <w:tcPr>
            <w:tcW w:w="2410" w:type="dxa"/>
          </w:tcPr>
          <w:p w14:paraId="027A776F" w14:textId="77777777" w:rsidR="00C55DD8" w:rsidRDefault="00C55DD8" w:rsidP="00D10DB2">
            <w:pPr>
              <w:pStyle w:val="BodyText"/>
              <w:spacing w:before="120"/>
              <w:ind w:right="6"/>
            </w:pPr>
            <w:r>
              <w:t>GDP</w:t>
            </w:r>
          </w:p>
        </w:tc>
        <w:tc>
          <w:tcPr>
            <w:tcW w:w="6379" w:type="dxa"/>
          </w:tcPr>
          <w:p w14:paraId="2F447F45" w14:textId="77777777" w:rsidR="00C55DD8" w:rsidRDefault="00C55DD8" w:rsidP="00D10DB2">
            <w:pPr>
              <w:pStyle w:val="BodyText"/>
              <w:spacing w:before="120"/>
              <w:ind w:left="227" w:right="6"/>
            </w:pPr>
            <w:r>
              <w:t>Gross Domestic Product</w:t>
            </w:r>
          </w:p>
        </w:tc>
      </w:tr>
      <w:tr w:rsidR="00C55DD8" w14:paraId="3522E0E4" w14:textId="77777777" w:rsidTr="00D10DB2">
        <w:tc>
          <w:tcPr>
            <w:tcW w:w="2410" w:type="dxa"/>
          </w:tcPr>
          <w:p w14:paraId="4F27E36B" w14:textId="77777777" w:rsidR="00C55DD8" w:rsidRDefault="00C55DD8" w:rsidP="00D10DB2">
            <w:pPr>
              <w:pStyle w:val="BodyText"/>
              <w:spacing w:before="120"/>
              <w:ind w:right="6"/>
            </w:pPr>
            <w:r>
              <w:t>GFC</w:t>
            </w:r>
          </w:p>
        </w:tc>
        <w:tc>
          <w:tcPr>
            <w:tcW w:w="6379" w:type="dxa"/>
          </w:tcPr>
          <w:p w14:paraId="484C609A" w14:textId="77777777" w:rsidR="00C55DD8" w:rsidRDefault="00C55DD8" w:rsidP="00D10DB2">
            <w:pPr>
              <w:pStyle w:val="BodyText"/>
              <w:spacing w:before="120"/>
              <w:ind w:left="227" w:right="6"/>
            </w:pPr>
            <w:r>
              <w:t>Global Financial Crisis</w:t>
            </w:r>
          </w:p>
        </w:tc>
      </w:tr>
      <w:tr w:rsidR="00C55DD8" w14:paraId="624F2C3B" w14:textId="77777777" w:rsidTr="00D10DB2">
        <w:tc>
          <w:tcPr>
            <w:tcW w:w="2410" w:type="dxa"/>
          </w:tcPr>
          <w:p w14:paraId="161A68B7" w14:textId="77777777" w:rsidR="00C55DD8" w:rsidRDefault="00C55DD8" w:rsidP="00D10DB2">
            <w:pPr>
              <w:pStyle w:val="BodyText"/>
              <w:spacing w:before="120"/>
              <w:ind w:right="6"/>
            </w:pPr>
            <w:r>
              <w:t>GVA</w:t>
            </w:r>
          </w:p>
        </w:tc>
        <w:tc>
          <w:tcPr>
            <w:tcW w:w="6379" w:type="dxa"/>
          </w:tcPr>
          <w:p w14:paraId="0E2FFED0" w14:textId="77777777" w:rsidR="00C55DD8" w:rsidRDefault="00C55DD8" w:rsidP="00D10DB2">
            <w:pPr>
              <w:pStyle w:val="BodyText"/>
              <w:spacing w:before="120"/>
              <w:ind w:left="227" w:right="6"/>
            </w:pPr>
            <w:r>
              <w:t>Gross Value Added</w:t>
            </w:r>
          </w:p>
        </w:tc>
      </w:tr>
      <w:tr w:rsidR="00C55DD8" w14:paraId="5284D843" w14:textId="77777777" w:rsidTr="00D10DB2">
        <w:tc>
          <w:tcPr>
            <w:tcW w:w="2410" w:type="dxa"/>
          </w:tcPr>
          <w:p w14:paraId="1260B5E4" w14:textId="77777777" w:rsidR="00C55DD8" w:rsidRDefault="00C55DD8" w:rsidP="00D10DB2">
            <w:pPr>
              <w:pStyle w:val="BodyText"/>
              <w:spacing w:before="120"/>
              <w:ind w:right="6"/>
            </w:pPr>
            <w:r>
              <w:t>MFP</w:t>
            </w:r>
          </w:p>
        </w:tc>
        <w:tc>
          <w:tcPr>
            <w:tcW w:w="6379" w:type="dxa"/>
          </w:tcPr>
          <w:p w14:paraId="232EB93B" w14:textId="77777777" w:rsidR="00C55DD8" w:rsidRDefault="00C55DD8" w:rsidP="00D10DB2">
            <w:pPr>
              <w:pStyle w:val="BodyText"/>
              <w:spacing w:before="120"/>
              <w:ind w:left="227" w:right="6"/>
            </w:pPr>
            <w:r>
              <w:t>Multifactor Productivity</w:t>
            </w:r>
          </w:p>
        </w:tc>
      </w:tr>
      <w:tr w:rsidR="00C55DD8" w14:paraId="719FD50C" w14:textId="77777777" w:rsidTr="00D10DB2">
        <w:tc>
          <w:tcPr>
            <w:tcW w:w="2410" w:type="dxa"/>
          </w:tcPr>
          <w:p w14:paraId="4D695549" w14:textId="77777777" w:rsidR="00C55DD8" w:rsidRDefault="00C55DD8" w:rsidP="00D10DB2">
            <w:pPr>
              <w:pStyle w:val="BodyText"/>
              <w:spacing w:before="120"/>
              <w:ind w:right="6"/>
            </w:pPr>
            <w:r>
              <w:t>OECD</w:t>
            </w:r>
          </w:p>
        </w:tc>
        <w:tc>
          <w:tcPr>
            <w:tcW w:w="6379" w:type="dxa"/>
          </w:tcPr>
          <w:p w14:paraId="5CF9AE48" w14:textId="77777777" w:rsidR="00C55DD8" w:rsidRDefault="00C55DD8" w:rsidP="00D10DB2">
            <w:pPr>
              <w:pStyle w:val="BodyText"/>
              <w:spacing w:before="120"/>
              <w:ind w:left="227" w:right="6"/>
            </w:pPr>
            <w:r>
              <w:t>Organisation for Economic Co-operation and Development</w:t>
            </w:r>
          </w:p>
        </w:tc>
      </w:tr>
      <w:tr w:rsidR="00C55DD8" w14:paraId="381C0833" w14:textId="77777777" w:rsidTr="00D10DB2">
        <w:tc>
          <w:tcPr>
            <w:tcW w:w="2410" w:type="dxa"/>
          </w:tcPr>
          <w:p w14:paraId="1BBD25D9" w14:textId="77777777" w:rsidR="00C55DD8" w:rsidRDefault="00C55DD8" w:rsidP="00D10DB2">
            <w:pPr>
              <w:pStyle w:val="BodyText"/>
              <w:spacing w:before="120"/>
              <w:ind w:right="6"/>
            </w:pPr>
            <w:r>
              <w:t>PC</w:t>
            </w:r>
          </w:p>
        </w:tc>
        <w:tc>
          <w:tcPr>
            <w:tcW w:w="6379" w:type="dxa"/>
          </w:tcPr>
          <w:p w14:paraId="4261AC4E" w14:textId="77777777" w:rsidR="00C55DD8" w:rsidRDefault="00C55DD8" w:rsidP="00D10DB2">
            <w:pPr>
              <w:pStyle w:val="BodyText"/>
              <w:spacing w:before="120"/>
              <w:ind w:left="227" w:right="6"/>
            </w:pPr>
            <w:r>
              <w:t>Productivity Commission</w:t>
            </w:r>
          </w:p>
        </w:tc>
      </w:tr>
      <w:tr w:rsidR="00C55DD8" w14:paraId="5FAFF7F4" w14:textId="77777777" w:rsidTr="00D10DB2">
        <w:tc>
          <w:tcPr>
            <w:tcW w:w="2410" w:type="dxa"/>
          </w:tcPr>
          <w:p w14:paraId="26735A88" w14:textId="77777777" w:rsidR="00C55DD8" w:rsidRDefault="00C55DD8" w:rsidP="00D10DB2">
            <w:pPr>
              <w:pStyle w:val="BodyText"/>
              <w:spacing w:before="120"/>
              <w:ind w:right="6"/>
            </w:pPr>
            <w:r>
              <w:t>PPP</w:t>
            </w:r>
          </w:p>
        </w:tc>
        <w:tc>
          <w:tcPr>
            <w:tcW w:w="6379" w:type="dxa"/>
          </w:tcPr>
          <w:p w14:paraId="3264CA41" w14:textId="77777777" w:rsidR="00C55DD8" w:rsidRDefault="00C55DD8" w:rsidP="00D10DB2">
            <w:pPr>
              <w:pStyle w:val="BodyText"/>
              <w:spacing w:before="120"/>
              <w:ind w:left="227" w:right="6"/>
            </w:pPr>
            <w:r>
              <w:t>Purchasing power parity</w:t>
            </w:r>
          </w:p>
        </w:tc>
      </w:tr>
      <w:tr w:rsidR="00C55DD8" w14:paraId="782576E2" w14:textId="77777777" w:rsidTr="00D10DB2">
        <w:tc>
          <w:tcPr>
            <w:tcW w:w="2410" w:type="dxa"/>
          </w:tcPr>
          <w:p w14:paraId="7CC82B65" w14:textId="77777777" w:rsidR="00C55DD8" w:rsidRDefault="00C55DD8" w:rsidP="00D10DB2">
            <w:pPr>
              <w:pStyle w:val="BodyText"/>
              <w:spacing w:before="120"/>
              <w:ind w:right="6"/>
            </w:pPr>
            <w:r>
              <w:t>R&amp;D</w:t>
            </w:r>
          </w:p>
        </w:tc>
        <w:tc>
          <w:tcPr>
            <w:tcW w:w="6379" w:type="dxa"/>
          </w:tcPr>
          <w:p w14:paraId="2635C724" w14:textId="77777777" w:rsidR="00C55DD8" w:rsidRDefault="00C55DD8" w:rsidP="00D10DB2">
            <w:pPr>
              <w:pStyle w:val="BodyText"/>
              <w:spacing w:before="120"/>
              <w:ind w:left="227" w:right="6"/>
            </w:pPr>
            <w:r>
              <w:t>Research and Development</w:t>
            </w:r>
          </w:p>
        </w:tc>
      </w:tr>
      <w:tr w:rsidR="00C55DD8" w14:paraId="6DA1F1AF" w14:textId="77777777" w:rsidTr="00D10DB2">
        <w:tc>
          <w:tcPr>
            <w:tcW w:w="2410" w:type="dxa"/>
          </w:tcPr>
          <w:p w14:paraId="504EAEE4" w14:textId="77777777" w:rsidR="00C55DD8" w:rsidRDefault="00C55DD8" w:rsidP="00D10DB2">
            <w:pPr>
              <w:pStyle w:val="BodyText"/>
              <w:spacing w:before="120"/>
              <w:ind w:right="6"/>
            </w:pPr>
            <w:r>
              <w:t>TED</w:t>
            </w:r>
          </w:p>
        </w:tc>
        <w:tc>
          <w:tcPr>
            <w:tcW w:w="6379" w:type="dxa"/>
          </w:tcPr>
          <w:p w14:paraId="75984527" w14:textId="77777777" w:rsidR="00C55DD8" w:rsidRDefault="00C55DD8" w:rsidP="00D10DB2">
            <w:pPr>
              <w:pStyle w:val="BodyText"/>
              <w:spacing w:before="120"/>
              <w:ind w:left="227" w:right="6"/>
            </w:pPr>
            <w:r>
              <w:t>Total Economy Database</w:t>
            </w:r>
          </w:p>
        </w:tc>
      </w:tr>
      <w:tr w:rsidR="00C55DD8" w14:paraId="109C7CB1" w14:textId="77777777" w:rsidTr="00D10DB2">
        <w:tc>
          <w:tcPr>
            <w:tcW w:w="2410" w:type="dxa"/>
          </w:tcPr>
          <w:p w14:paraId="78C1C4FA" w14:textId="77777777" w:rsidR="00C55DD8" w:rsidRDefault="00C55DD8" w:rsidP="00D10DB2">
            <w:pPr>
              <w:pStyle w:val="BodyText"/>
              <w:spacing w:before="120"/>
              <w:ind w:right="6"/>
            </w:pPr>
            <w:r>
              <w:t>UK</w:t>
            </w:r>
          </w:p>
        </w:tc>
        <w:tc>
          <w:tcPr>
            <w:tcW w:w="6379" w:type="dxa"/>
          </w:tcPr>
          <w:p w14:paraId="3CAE9525" w14:textId="77777777" w:rsidR="00C55DD8" w:rsidRDefault="00C55DD8" w:rsidP="00D10DB2">
            <w:pPr>
              <w:pStyle w:val="BodyText"/>
              <w:spacing w:before="120"/>
              <w:ind w:left="227" w:right="6"/>
            </w:pPr>
            <w:r>
              <w:t>United Kingdom</w:t>
            </w:r>
          </w:p>
        </w:tc>
      </w:tr>
      <w:tr w:rsidR="00C55DD8" w14:paraId="5954010D" w14:textId="77777777" w:rsidTr="00D10DB2">
        <w:tc>
          <w:tcPr>
            <w:tcW w:w="2410" w:type="dxa"/>
          </w:tcPr>
          <w:p w14:paraId="5E685A61" w14:textId="77777777" w:rsidR="00C55DD8" w:rsidRDefault="00C55DD8" w:rsidP="00D10DB2">
            <w:pPr>
              <w:pStyle w:val="BodyText"/>
              <w:spacing w:before="120"/>
              <w:ind w:right="6"/>
            </w:pPr>
            <w:r>
              <w:t>US</w:t>
            </w:r>
          </w:p>
        </w:tc>
        <w:tc>
          <w:tcPr>
            <w:tcW w:w="6379" w:type="dxa"/>
          </w:tcPr>
          <w:p w14:paraId="64603166" w14:textId="77777777" w:rsidR="00C55DD8" w:rsidRDefault="00C55DD8" w:rsidP="00D10DB2">
            <w:pPr>
              <w:pStyle w:val="BodyText"/>
              <w:spacing w:before="120"/>
              <w:ind w:left="227" w:right="6"/>
            </w:pPr>
            <w:r>
              <w:t>United States of America</w:t>
            </w:r>
          </w:p>
        </w:tc>
      </w:tr>
    </w:tbl>
    <w:p w14:paraId="16954D71" w14:textId="77777777" w:rsidR="00C647D8" w:rsidRDefault="00C647D8" w:rsidP="00C647D8">
      <w:pPr>
        <w:pStyle w:val="BodyText"/>
      </w:pPr>
    </w:p>
    <w:p w14:paraId="6BA1838A" w14:textId="77777777" w:rsidR="00C647D8" w:rsidRPr="00C647D8" w:rsidRDefault="00C647D8" w:rsidP="00C647D8">
      <w:pPr>
        <w:pStyle w:val="BodyText"/>
        <w:sectPr w:rsidR="00C647D8" w:rsidRPr="00C647D8" w:rsidSect="00D10DB2">
          <w:headerReference w:type="even" r:id="rId14"/>
          <w:headerReference w:type="default" r:id="rId15"/>
          <w:footerReference w:type="even" r:id="rId16"/>
          <w:footerReference w:type="default" r:id="rId17"/>
          <w:pgSz w:w="11907" w:h="16840" w:code="9"/>
          <w:pgMar w:top="1332" w:right="1304" w:bottom="1247" w:left="1814" w:header="1701" w:footer="397" w:gutter="0"/>
          <w:pgNumType w:fmt="lowerRoman"/>
          <w:cols w:space="720"/>
        </w:sectPr>
      </w:pPr>
    </w:p>
    <w:p w14:paraId="05EFFB2E" w14:textId="1B65B54C" w:rsidR="00A33DFF" w:rsidRPr="00C647D8" w:rsidRDefault="006B0A4B" w:rsidP="00C647D8">
      <w:pPr>
        <w:pStyle w:val="Heading1"/>
      </w:pPr>
      <w:bookmarkStart w:id="11" w:name="_Toc31978953"/>
      <w:r w:rsidRPr="00C647D8">
        <w:lastRenderedPageBreak/>
        <w:t>Recent productivity trends</w:t>
      </w:r>
      <w:bookmarkEnd w:id="11"/>
    </w:p>
    <w:p w14:paraId="6283BCEB" w14:textId="77777777" w:rsidR="002B2A31" w:rsidRDefault="002B2A31" w:rsidP="002B2A31">
      <w:pPr>
        <w:pStyle w:val="BoxSpaceAbove"/>
      </w:pPr>
      <w:bookmarkStart w:id="12" w:name="begin"/>
      <w:bookmarkEnd w:id="12"/>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027BB68B" w14:textId="77777777" w:rsidTr="00CC0374">
        <w:trPr>
          <w:tblHeader/>
        </w:trPr>
        <w:tc>
          <w:tcPr>
            <w:tcW w:w="5000" w:type="pct"/>
            <w:tcBorders>
              <w:top w:val="single" w:sz="6" w:space="0" w:color="78A22F"/>
              <w:left w:val="nil"/>
              <w:bottom w:val="nil"/>
              <w:right w:val="nil"/>
            </w:tcBorders>
            <w:shd w:val="clear" w:color="auto" w:fill="F2F2F2"/>
          </w:tcPr>
          <w:p w14:paraId="72F37FD3" w14:textId="77777777" w:rsidR="002B2A31" w:rsidRPr="001B3608" w:rsidRDefault="002B2A31" w:rsidP="00CC0374">
            <w:pPr>
              <w:pStyle w:val="BoxTitle"/>
            </w:pPr>
            <w:r w:rsidRPr="009156EF">
              <w:t>Key points</w:t>
            </w:r>
          </w:p>
        </w:tc>
      </w:tr>
      <w:tr w:rsidR="002B2A31" w14:paraId="3CD24222" w14:textId="77777777" w:rsidTr="00CC0374">
        <w:tc>
          <w:tcPr>
            <w:tcW w:w="5000" w:type="pct"/>
            <w:tcBorders>
              <w:top w:val="nil"/>
              <w:left w:val="nil"/>
              <w:bottom w:val="nil"/>
              <w:right w:val="nil"/>
            </w:tcBorders>
            <w:shd w:val="clear" w:color="auto" w:fill="F2F2F2"/>
          </w:tcPr>
          <w:p w14:paraId="5F16B3C2" w14:textId="77777777" w:rsidR="002B2A31" w:rsidRDefault="002B2A31" w:rsidP="00CC0374">
            <w:pPr>
              <w:pStyle w:val="KeyPointsListBullet"/>
            </w:pPr>
            <w:r>
              <w:t>Labour productivity and multifactor productivity in the market sector both fell in 2018</w:t>
            </w:r>
            <w:r>
              <w:noBreakHyphen/>
              <w:t>19, the first fall since the peak of the mining boom, by 0.2 per cent and 0.4 per cent respectively.</w:t>
            </w:r>
          </w:p>
          <w:p w14:paraId="04FAFB57" w14:textId="77777777" w:rsidR="002B2A31" w:rsidRDefault="002B2A31" w:rsidP="0020653C">
            <w:pPr>
              <w:pStyle w:val="KeyPointsListBullet2"/>
              <w:ind w:left="641" w:hanging="284"/>
            </w:pPr>
            <w:r>
              <w:t>This continues a spell of weak productivity growth since the peak of the investment phase of the mining boom in 2012</w:t>
            </w:r>
            <w:r>
              <w:noBreakHyphen/>
              <w:t>13.</w:t>
            </w:r>
          </w:p>
          <w:p w14:paraId="2B88E544" w14:textId="77777777" w:rsidR="002B2A31" w:rsidRDefault="002B2A31" w:rsidP="00CC0374">
            <w:pPr>
              <w:pStyle w:val="KeyPointsListBullet"/>
            </w:pPr>
            <w:r>
              <w:t>Advanced economies the world over have experienced a productivity growth slowdown since about 2005. The Australian slowdown was somewhat smaller, partly because of the expansion of the mining sector during this period.</w:t>
            </w:r>
          </w:p>
          <w:p w14:paraId="3DD01F12" w14:textId="77777777" w:rsidR="00C60BBB" w:rsidRDefault="002B2A31" w:rsidP="00CC0374">
            <w:pPr>
              <w:pStyle w:val="KeyPointsListBullet"/>
            </w:pPr>
            <w:r>
              <w:t>Wages growth, measured against consumer prices, has been weak since about 2012</w:t>
            </w:r>
            <w:r>
              <w:noBreakHyphen/>
              <w:t xml:space="preserve">13 for three reasons: </w:t>
            </w:r>
          </w:p>
          <w:p w14:paraId="7444C64F" w14:textId="77777777" w:rsidR="00C60BBB" w:rsidRDefault="002B2A31" w:rsidP="0020653C">
            <w:pPr>
              <w:pStyle w:val="KeyPointsListBullet2"/>
              <w:ind w:left="641" w:hanging="284"/>
            </w:pPr>
            <w:r>
              <w:t>labour productivity growth has slowed (accounting for about</w:t>
            </w:r>
            <w:r w:rsidR="00C60BBB">
              <w:t xml:space="preserve"> half of the slowdown in wages)</w:t>
            </w:r>
          </w:p>
          <w:p w14:paraId="0D78BD90" w14:textId="77777777" w:rsidR="00C60BBB" w:rsidRDefault="002B2A31" w:rsidP="0020653C">
            <w:pPr>
              <w:pStyle w:val="KeyPointsListBullet2"/>
              <w:ind w:left="641" w:hanging="284"/>
            </w:pPr>
            <w:r>
              <w:t>consumer price inflation has outpaced producer price inflation due mainly to the shifting terms of trade (ab</w:t>
            </w:r>
            <w:r w:rsidR="00C60BBB">
              <w:t>out a quarter of the slowdown)</w:t>
            </w:r>
          </w:p>
          <w:p w14:paraId="6C0CF056" w14:textId="77777777" w:rsidR="002B2A31" w:rsidRDefault="002B2A31" w:rsidP="0020653C">
            <w:pPr>
              <w:pStyle w:val="KeyPointsListBullet2"/>
              <w:ind w:left="641" w:hanging="284"/>
            </w:pPr>
            <w:r>
              <w:t>the labour share of income has continued its pattern of decline since 2000 (accounting for about a fifth of the slowdown in wages).</w:t>
            </w:r>
          </w:p>
          <w:p w14:paraId="476D07D5" w14:textId="77777777" w:rsidR="002B2A31" w:rsidRDefault="002B2A31" w:rsidP="00CC0374">
            <w:pPr>
              <w:pStyle w:val="KeyPointsListBullet"/>
            </w:pPr>
            <w:r>
              <w:t>The fall in the labour share of income was due to labour reallocation towards the mining sector and increased profitability in the finance sector.</w:t>
            </w:r>
          </w:p>
        </w:tc>
      </w:tr>
      <w:tr w:rsidR="002B2A31" w14:paraId="52411D66" w14:textId="77777777" w:rsidTr="00CC0374">
        <w:tc>
          <w:tcPr>
            <w:tcW w:w="5000" w:type="pct"/>
            <w:tcBorders>
              <w:top w:val="nil"/>
              <w:left w:val="nil"/>
              <w:bottom w:val="single" w:sz="6" w:space="0" w:color="78A22F"/>
              <w:right w:val="nil"/>
            </w:tcBorders>
            <w:shd w:val="clear" w:color="auto" w:fill="F2F2F2"/>
          </w:tcPr>
          <w:p w14:paraId="693FDE54" w14:textId="77777777" w:rsidR="002B2A31" w:rsidRDefault="002B2A31" w:rsidP="00CC0374">
            <w:pPr>
              <w:pStyle w:val="Box"/>
              <w:spacing w:before="0" w:line="120" w:lineRule="exact"/>
            </w:pPr>
          </w:p>
        </w:tc>
      </w:tr>
      <w:tr w:rsidR="002B2A31" w:rsidRPr="000863A5" w14:paraId="6B302B0B" w14:textId="77777777" w:rsidTr="00CC0374">
        <w:tc>
          <w:tcPr>
            <w:tcW w:w="5000" w:type="pct"/>
            <w:tcBorders>
              <w:top w:val="single" w:sz="6" w:space="0" w:color="78A22F"/>
              <w:left w:val="nil"/>
              <w:bottom w:val="nil"/>
              <w:right w:val="nil"/>
            </w:tcBorders>
          </w:tcPr>
          <w:p w14:paraId="2711A693" w14:textId="77777777" w:rsidR="002B2A31" w:rsidRPr="00626D32" w:rsidRDefault="002B2A31" w:rsidP="00CC0374">
            <w:pPr>
              <w:pStyle w:val="BoxSpaceBelow"/>
            </w:pPr>
          </w:p>
        </w:tc>
      </w:tr>
    </w:tbl>
    <w:p w14:paraId="676540D3" w14:textId="7564CC5B" w:rsidR="002B2A31" w:rsidRDefault="002B2A31" w:rsidP="00EE3695">
      <w:pPr>
        <w:pStyle w:val="Heading2"/>
      </w:pPr>
      <w:bookmarkStart w:id="13" w:name="_Toc31978954"/>
      <w:r>
        <w:lastRenderedPageBreak/>
        <w:t>Productivity at a glance</w:t>
      </w:r>
      <w:bookmarkEnd w:id="13"/>
    </w:p>
    <w:p w14:paraId="7E349358" w14:textId="638A4145" w:rsidR="004C7825" w:rsidRDefault="0013764E" w:rsidP="002C3445">
      <w:pPr>
        <w:pStyle w:val="BodyText"/>
        <w:jc w:val="center"/>
      </w:pPr>
      <w:r w:rsidRPr="0013764E">
        <w:rPr>
          <w:noProof/>
        </w:rPr>
        <w:drawing>
          <wp:inline distT="0" distB="0" distL="0" distR="0" wp14:anchorId="49F6E26F" wp14:editId="1F59AB85">
            <wp:extent cx="5544000" cy="5859024"/>
            <wp:effectExtent l="0" t="0" r="0" b="8890"/>
            <wp:docPr id="4" name="Picture 4" descr="Figure - productivity at a glance: Here the growth of multifactor productivity and labour productivity are displayed. It can be seen that in 2018 19, multifactor productivity growth (-0.4%) was slightly below average, while, over average, over the past five years it has been about typical (0.6%). It can also be seen that labour productivity across the whole economy and the market sector (16 industry) has been the slowest for which there are official records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4000" cy="5859024"/>
                    </a:xfrm>
                    <a:prstGeom prst="rect">
                      <a:avLst/>
                    </a:prstGeom>
                    <a:noFill/>
                    <a:ln>
                      <a:noFill/>
                    </a:ln>
                  </pic:spPr>
                </pic:pic>
              </a:graphicData>
            </a:graphic>
          </wp:inline>
        </w:drawing>
      </w:r>
      <w:r w:rsidRPr="0013764E">
        <w:t xml:space="preserve"> </w:t>
      </w:r>
    </w:p>
    <w:p w14:paraId="3274CC33" w14:textId="77777777" w:rsidR="002B2A31" w:rsidRDefault="002B2A31" w:rsidP="002B2A3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B2A31" w14:paraId="5DD7AB63" w14:textId="77777777" w:rsidTr="00CC0374">
        <w:trPr>
          <w:tblHeader/>
        </w:trPr>
        <w:tc>
          <w:tcPr>
            <w:tcW w:w="5000" w:type="pct"/>
            <w:tcBorders>
              <w:top w:val="single" w:sz="6" w:space="0" w:color="78A22F"/>
              <w:left w:val="nil"/>
              <w:bottom w:val="nil"/>
              <w:right w:val="nil"/>
            </w:tcBorders>
            <w:shd w:val="clear" w:color="auto" w:fill="auto"/>
          </w:tcPr>
          <w:p w14:paraId="45CA896F" w14:textId="0852CFED" w:rsidR="002B2A31" w:rsidRDefault="002B2A31" w:rsidP="00CC0374">
            <w:pPr>
              <w:pStyle w:val="TableTitle"/>
            </w:pPr>
            <w:r>
              <w:rPr>
                <w:b w:val="0"/>
              </w:rPr>
              <w:t xml:space="preserve">Table </w:t>
            </w:r>
            <w:r w:rsidR="00A73986">
              <w:rPr>
                <w:b w:val="0"/>
                <w:noProof/>
              </w:rPr>
              <w:t>1</w:t>
            </w:r>
            <w:r>
              <w:tab/>
              <w:t>Aggregate productivity statistics</w:t>
            </w:r>
            <w:r w:rsidRPr="003A141B">
              <w:rPr>
                <w:rStyle w:val="NoteLabel"/>
                <w:b/>
                <w:position w:val="10"/>
              </w:rPr>
              <w:t>a</w:t>
            </w:r>
          </w:p>
          <w:p w14:paraId="0607370D" w14:textId="77777777" w:rsidR="002B2A31" w:rsidRPr="00784A05" w:rsidRDefault="002B2A31" w:rsidP="00CC0374">
            <w:pPr>
              <w:pStyle w:val="Subtitle"/>
            </w:pPr>
            <w:r>
              <w:t>Per cent</w:t>
            </w:r>
            <w:r w:rsidRPr="00EA024C">
              <w:rPr>
                <w:rStyle w:val="NoteLabel"/>
              </w:rPr>
              <w:t>b</w:t>
            </w:r>
            <w:r>
              <w:t xml:space="preserve"> </w:t>
            </w:r>
          </w:p>
        </w:tc>
      </w:tr>
      <w:tr w:rsidR="002B2A31" w14:paraId="3D2C67BD" w14:textId="77777777" w:rsidTr="00CC037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3"/>
              <w:gridCol w:w="1701"/>
              <w:gridCol w:w="1701"/>
              <w:gridCol w:w="1701"/>
              <w:gridCol w:w="1699"/>
            </w:tblGrid>
            <w:tr w:rsidR="002B2A31" w14:paraId="125B3080" w14:textId="77777777" w:rsidTr="00D0260E">
              <w:trPr>
                <w:tblHeader/>
              </w:trPr>
              <w:tc>
                <w:tcPr>
                  <w:tcW w:w="1001" w:type="pct"/>
                  <w:tcBorders>
                    <w:top w:val="single" w:sz="6" w:space="0" w:color="BFBFBF"/>
                  </w:tcBorders>
                  <w:shd w:val="clear" w:color="auto" w:fill="auto"/>
                  <w:tcMar>
                    <w:top w:w="28" w:type="dxa"/>
                  </w:tcMar>
                </w:tcPr>
                <w:p w14:paraId="35D6E19D" w14:textId="77777777" w:rsidR="002B2A31" w:rsidRDefault="002B2A31" w:rsidP="00CC0374">
                  <w:pPr>
                    <w:pStyle w:val="TableColumnHeading"/>
                    <w:jc w:val="left"/>
                  </w:pPr>
                </w:p>
              </w:tc>
              <w:tc>
                <w:tcPr>
                  <w:tcW w:w="1000" w:type="pct"/>
                  <w:tcBorders>
                    <w:top w:val="single" w:sz="6" w:space="0" w:color="BFBFBF"/>
                    <w:bottom w:val="single" w:sz="6" w:space="0" w:color="BFBFBF"/>
                  </w:tcBorders>
                </w:tcPr>
                <w:p w14:paraId="0F9A060D" w14:textId="0BBA6297" w:rsidR="002B2A31" w:rsidRPr="00B26A51" w:rsidRDefault="002B2A31" w:rsidP="00CC0374">
                  <w:pPr>
                    <w:pStyle w:val="TableColumnHeading"/>
                    <w:rPr>
                      <w:b/>
                      <w:i w:val="0"/>
                    </w:rPr>
                  </w:pPr>
                  <w:r w:rsidRPr="00B26A51">
                    <w:rPr>
                      <w:b/>
                      <w:i w:val="0"/>
                    </w:rPr>
                    <w:t>Long</w:t>
                  </w:r>
                  <w:r>
                    <w:rPr>
                      <w:b/>
                      <w:i w:val="0"/>
                    </w:rPr>
                    <w:noBreakHyphen/>
                  </w:r>
                  <w:r w:rsidRPr="00B26A51">
                    <w:rPr>
                      <w:b/>
                      <w:i w:val="0"/>
                    </w:rPr>
                    <w:t xml:space="preserve">term </w:t>
                  </w:r>
                  <w:r w:rsidR="006A5FC4">
                    <w:rPr>
                      <w:b/>
                      <w:i w:val="0"/>
                    </w:rPr>
                    <w:br/>
                  </w:r>
                  <w:r w:rsidRPr="00B26A51">
                    <w:rPr>
                      <w:b/>
                      <w:i w:val="0"/>
                    </w:rPr>
                    <w:t>growth rate</w:t>
                  </w:r>
                </w:p>
              </w:tc>
              <w:tc>
                <w:tcPr>
                  <w:tcW w:w="1000" w:type="pct"/>
                  <w:tcBorders>
                    <w:top w:val="single" w:sz="6" w:space="0" w:color="BFBFBF"/>
                    <w:bottom w:val="single" w:sz="6" w:space="0" w:color="BFBFBF"/>
                  </w:tcBorders>
                </w:tcPr>
                <w:p w14:paraId="22E6D52D" w14:textId="1544DB2C" w:rsidR="002B2A31" w:rsidRPr="00B26A51" w:rsidRDefault="002B2A31" w:rsidP="00CC0374">
                  <w:pPr>
                    <w:pStyle w:val="TableColumnHeading"/>
                    <w:rPr>
                      <w:b/>
                      <w:i w:val="0"/>
                    </w:rPr>
                  </w:pPr>
                  <w:r w:rsidRPr="00B26A51">
                    <w:rPr>
                      <w:b/>
                      <w:i w:val="0"/>
                    </w:rPr>
                    <w:t xml:space="preserve">Most recent </w:t>
                  </w:r>
                  <w:r w:rsidR="006A5FC4">
                    <w:rPr>
                      <w:b/>
                      <w:i w:val="0"/>
                    </w:rPr>
                    <w:br/>
                  </w:r>
                  <w:r w:rsidRPr="00B26A51">
                    <w:rPr>
                      <w:b/>
                      <w:i w:val="0"/>
                    </w:rPr>
                    <w:t>five years</w:t>
                  </w:r>
                </w:p>
              </w:tc>
              <w:tc>
                <w:tcPr>
                  <w:tcW w:w="1999" w:type="pct"/>
                  <w:gridSpan w:val="2"/>
                  <w:tcBorders>
                    <w:top w:val="single" w:sz="6" w:space="0" w:color="BFBFBF"/>
                    <w:bottom w:val="single" w:sz="6" w:space="0" w:color="BFBFBF"/>
                  </w:tcBorders>
                  <w:shd w:val="clear" w:color="auto" w:fill="auto"/>
                  <w:tcMar>
                    <w:top w:w="28" w:type="dxa"/>
                  </w:tcMar>
                </w:tcPr>
                <w:p w14:paraId="0C8CD885" w14:textId="77777777" w:rsidR="002B2A31" w:rsidRPr="00B258B3" w:rsidRDefault="002B2A31" w:rsidP="00CC0374">
                  <w:pPr>
                    <w:pStyle w:val="TableColumnHeading"/>
                    <w:ind w:right="28"/>
                    <w:jc w:val="center"/>
                    <w:rPr>
                      <w:b/>
                      <w:i w:val="0"/>
                    </w:rPr>
                  </w:pPr>
                  <w:r w:rsidRPr="00B258B3">
                    <w:rPr>
                      <w:b/>
                      <w:i w:val="0"/>
                    </w:rPr>
                    <w:t>Latest years</w:t>
                  </w:r>
                </w:p>
              </w:tc>
            </w:tr>
            <w:tr w:rsidR="002B2A31" w14:paraId="386C9BC2" w14:textId="77777777" w:rsidTr="00D0260E">
              <w:trPr>
                <w:tblHeader/>
              </w:trPr>
              <w:tc>
                <w:tcPr>
                  <w:tcW w:w="1001" w:type="pct"/>
                  <w:tcBorders>
                    <w:bottom w:val="single" w:sz="6" w:space="0" w:color="BFBFBF"/>
                  </w:tcBorders>
                  <w:shd w:val="clear" w:color="auto" w:fill="auto"/>
                  <w:tcMar>
                    <w:top w:w="28" w:type="dxa"/>
                  </w:tcMar>
                </w:tcPr>
                <w:p w14:paraId="4F604B3B" w14:textId="77777777" w:rsidR="002B2A31" w:rsidRDefault="002B2A31" w:rsidP="00CC0374">
                  <w:pPr>
                    <w:pStyle w:val="TableColumnHeading"/>
                    <w:jc w:val="left"/>
                  </w:pPr>
                </w:p>
              </w:tc>
              <w:tc>
                <w:tcPr>
                  <w:tcW w:w="1000" w:type="pct"/>
                  <w:tcBorders>
                    <w:top w:val="single" w:sz="6" w:space="0" w:color="BFBFBF"/>
                    <w:bottom w:val="single" w:sz="6" w:space="0" w:color="BFBFBF"/>
                  </w:tcBorders>
                </w:tcPr>
                <w:p w14:paraId="3C330122" w14:textId="77777777" w:rsidR="002B2A31" w:rsidRPr="00B26A51" w:rsidRDefault="002B2A31" w:rsidP="00CC0374">
                  <w:pPr>
                    <w:jc w:val="right"/>
                    <w:rPr>
                      <w:rFonts w:ascii="Arial" w:hAnsi="Arial" w:cs="Arial"/>
                      <w:b/>
                      <w:bCs/>
                      <w:sz w:val="18"/>
                      <w:szCs w:val="18"/>
                    </w:rPr>
                  </w:pPr>
                  <w:r w:rsidRPr="00B26A51">
                    <w:rPr>
                      <w:rFonts w:ascii="Arial" w:hAnsi="Arial" w:cs="Arial"/>
                      <w:b/>
                      <w:bCs/>
                      <w:sz w:val="18"/>
                      <w:szCs w:val="18"/>
                    </w:rPr>
                    <w:t>1974</w:t>
                  </w:r>
                  <w:r w:rsidRPr="00B26A51">
                    <w:rPr>
                      <w:rFonts w:ascii="Arial" w:hAnsi="Arial" w:cs="Arial"/>
                      <w:b/>
                      <w:bCs/>
                      <w:sz w:val="18"/>
                      <w:szCs w:val="18"/>
                    </w:rPr>
                    <w:noBreakHyphen/>
                    <w:t>75 to</w:t>
                  </w:r>
                </w:p>
                <w:p w14:paraId="0BBF4202" w14:textId="77777777" w:rsidR="002B2A31" w:rsidRDefault="002B2A31" w:rsidP="00CC0374">
                  <w:pPr>
                    <w:pStyle w:val="TableColumnHeading"/>
                  </w:pPr>
                  <w:r w:rsidRPr="00B26A51">
                    <w:rPr>
                      <w:rFonts w:cs="Arial"/>
                      <w:b/>
                      <w:bCs/>
                      <w:i w:val="0"/>
                      <w:szCs w:val="18"/>
                    </w:rPr>
                    <w:t>2018</w:t>
                  </w:r>
                  <w:r w:rsidRPr="00B26A51">
                    <w:rPr>
                      <w:rFonts w:cs="Arial"/>
                      <w:b/>
                      <w:bCs/>
                      <w:i w:val="0"/>
                      <w:szCs w:val="18"/>
                    </w:rPr>
                    <w:noBreakHyphen/>
                    <w:t>19</w:t>
                  </w:r>
                </w:p>
              </w:tc>
              <w:tc>
                <w:tcPr>
                  <w:tcW w:w="1000" w:type="pct"/>
                  <w:tcBorders>
                    <w:top w:val="single" w:sz="6" w:space="0" w:color="BFBFBF"/>
                    <w:bottom w:val="single" w:sz="6" w:space="0" w:color="BFBFBF"/>
                  </w:tcBorders>
                </w:tcPr>
                <w:p w14:paraId="4353F33C" w14:textId="77777777" w:rsidR="002B2A31" w:rsidRPr="00B258B3" w:rsidRDefault="002B2A31" w:rsidP="00CC0374">
                  <w:pPr>
                    <w:pStyle w:val="TableColumnHeading"/>
                    <w:rPr>
                      <w:b/>
                      <w:i w:val="0"/>
                    </w:rPr>
                  </w:pPr>
                  <w:r w:rsidRPr="00B258B3">
                    <w:rPr>
                      <w:b/>
                      <w:i w:val="0"/>
                    </w:rPr>
                    <w:t>2013</w:t>
                  </w:r>
                  <w:r w:rsidRPr="00B258B3">
                    <w:rPr>
                      <w:b/>
                      <w:i w:val="0"/>
                    </w:rPr>
                    <w:noBreakHyphen/>
                    <w:t>14 to 2018</w:t>
                  </w:r>
                  <w:r w:rsidRPr="00B258B3">
                    <w:rPr>
                      <w:b/>
                      <w:i w:val="0"/>
                    </w:rPr>
                    <w:noBreakHyphen/>
                    <w:t>19</w:t>
                  </w:r>
                </w:p>
              </w:tc>
              <w:tc>
                <w:tcPr>
                  <w:tcW w:w="1000" w:type="pct"/>
                  <w:tcBorders>
                    <w:top w:val="single" w:sz="6" w:space="0" w:color="BFBFBF"/>
                    <w:bottom w:val="single" w:sz="6" w:space="0" w:color="BFBFBF"/>
                  </w:tcBorders>
                  <w:shd w:val="clear" w:color="auto" w:fill="auto"/>
                  <w:tcMar>
                    <w:top w:w="28" w:type="dxa"/>
                  </w:tcMar>
                </w:tcPr>
                <w:p w14:paraId="06A71A98" w14:textId="77777777" w:rsidR="002B2A31" w:rsidRPr="00B258B3" w:rsidRDefault="002B2A31" w:rsidP="00CC0374">
                  <w:pPr>
                    <w:pStyle w:val="TableColumnHeading"/>
                    <w:rPr>
                      <w:b/>
                      <w:i w:val="0"/>
                    </w:rPr>
                  </w:pPr>
                  <w:r w:rsidRPr="00B258B3">
                    <w:rPr>
                      <w:b/>
                      <w:i w:val="0"/>
                    </w:rPr>
                    <w:t>2017</w:t>
                  </w:r>
                  <w:r w:rsidRPr="00B258B3">
                    <w:rPr>
                      <w:b/>
                      <w:i w:val="0"/>
                    </w:rPr>
                    <w:noBreakHyphen/>
                    <w:t>18</w:t>
                  </w:r>
                </w:p>
              </w:tc>
              <w:tc>
                <w:tcPr>
                  <w:tcW w:w="999" w:type="pct"/>
                  <w:tcBorders>
                    <w:top w:val="single" w:sz="6" w:space="0" w:color="BFBFBF"/>
                    <w:bottom w:val="single" w:sz="6" w:space="0" w:color="BFBFBF"/>
                  </w:tcBorders>
                  <w:shd w:val="clear" w:color="auto" w:fill="auto"/>
                  <w:tcMar>
                    <w:top w:w="28" w:type="dxa"/>
                  </w:tcMar>
                </w:tcPr>
                <w:p w14:paraId="53B3EBDF" w14:textId="77777777" w:rsidR="002B2A31" w:rsidRPr="00B258B3" w:rsidRDefault="002B2A31" w:rsidP="00CC0374">
                  <w:pPr>
                    <w:pStyle w:val="TableColumnHeading"/>
                    <w:ind w:right="28"/>
                    <w:rPr>
                      <w:b/>
                      <w:i w:val="0"/>
                    </w:rPr>
                  </w:pPr>
                  <w:r w:rsidRPr="00B258B3">
                    <w:rPr>
                      <w:b/>
                      <w:i w:val="0"/>
                    </w:rPr>
                    <w:t>2018</w:t>
                  </w:r>
                  <w:r w:rsidRPr="00B258B3">
                    <w:rPr>
                      <w:b/>
                      <w:i w:val="0"/>
                    </w:rPr>
                    <w:noBreakHyphen/>
                    <w:t>19</w:t>
                  </w:r>
                </w:p>
              </w:tc>
            </w:tr>
            <w:tr w:rsidR="002B2A31" w14:paraId="5F111800" w14:textId="77777777" w:rsidTr="00CC0374">
              <w:trPr>
                <w:tblHeader/>
              </w:trPr>
              <w:tc>
                <w:tcPr>
                  <w:tcW w:w="1001" w:type="pct"/>
                  <w:tcBorders>
                    <w:top w:val="single" w:sz="6" w:space="0" w:color="BFBFBF"/>
                    <w:bottom w:val="single" w:sz="6" w:space="0" w:color="BFBFBF"/>
                  </w:tcBorders>
                  <w:shd w:val="clear" w:color="auto" w:fill="auto"/>
                  <w:tcMar>
                    <w:top w:w="28" w:type="dxa"/>
                  </w:tcMar>
                </w:tcPr>
                <w:p w14:paraId="39A041D6" w14:textId="77777777" w:rsidR="002B2A31" w:rsidRPr="00B26A51" w:rsidRDefault="002B2A31" w:rsidP="00CC0374">
                  <w:pPr>
                    <w:pStyle w:val="TableColumnHeading"/>
                    <w:jc w:val="left"/>
                    <w:rPr>
                      <w:b/>
                      <w:i w:val="0"/>
                    </w:rPr>
                  </w:pPr>
                  <w:r w:rsidRPr="00B26A51">
                    <w:rPr>
                      <w:b/>
                      <w:i w:val="0"/>
                    </w:rPr>
                    <w:t>Whole Economy</w:t>
                  </w:r>
                </w:p>
              </w:tc>
              <w:tc>
                <w:tcPr>
                  <w:tcW w:w="1000" w:type="pct"/>
                  <w:tcBorders>
                    <w:top w:val="single" w:sz="6" w:space="0" w:color="BFBFBF"/>
                    <w:bottom w:val="single" w:sz="6" w:space="0" w:color="BFBFBF"/>
                  </w:tcBorders>
                </w:tcPr>
                <w:p w14:paraId="540A78D8" w14:textId="77777777" w:rsidR="002B2A31" w:rsidRPr="00EA024C" w:rsidRDefault="002B2A31" w:rsidP="00CC0374">
                  <w:pPr>
                    <w:pStyle w:val="TableBodyText"/>
                  </w:pPr>
                </w:p>
              </w:tc>
              <w:tc>
                <w:tcPr>
                  <w:tcW w:w="1000" w:type="pct"/>
                  <w:tcBorders>
                    <w:top w:val="single" w:sz="6" w:space="0" w:color="BFBFBF"/>
                    <w:bottom w:val="single" w:sz="6" w:space="0" w:color="BFBFBF"/>
                  </w:tcBorders>
                </w:tcPr>
                <w:p w14:paraId="30CAE8F6" w14:textId="77777777" w:rsidR="002B2A31" w:rsidRPr="00EA024C" w:rsidRDefault="002B2A31" w:rsidP="00CC0374">
                  <w:pPr>
                    <w:pStyle w:val="TableBodyText"/>
                    <w:rPr>
                      <w:i/>
                    </w:rPr>
                  </w:pPr>
                </w:p>
              </w:tc>
              <w:tc>
                <w:tcPr>
                  <w:tcW w:w="1000" w:type="pct"/>
                  <w:tcBorders>
                    <w:top w:val="single" w:sz="6" w:space="0" w:color="BFBFBF"/>
                    <w:bottom w:val="single" w:sz="6" w:space="0" w:color="BFBFBF"/>
                  </w:tcBorders>
                  <w:shd w:val="clear" w:color="auto" w:fill="auto"/>
                  <w:tcMar>
                    <w:top w:w="28" w:type="dxa"/>
                  </w:tcMar>
                </w:tcPr>
                <w:p w14:paraId="7357EDD2" w14:textId="77777777" w:rsidR="002B2A31" w:rsidRPr="00EA024C" w:rsidRDefault="002B2A31" w:rsidP="00CC0374">
                  <w:pPr>
                    <w:pStyle w:val="TableBodyText"/>
                    <w:rPr>
                      <w:i/>
                    </w:rPr>
                  </w:pPr>
                </w:p>
              </w:tc>
              <w:tc>
                <w:tcPr>
                  <w:tcW w:w="999" w:type="pct"/>
                  <w:tcBorders>
                    <w:top w:val="single" w:sz="6" w:space="0" w:color="BFBFBF"/>
                    <w:bottom w:val="single" w:sz="6" w:space="0" w:color="BFBFBF"/>
                  </w:tcBorders>
                  <w:shd w:val="clear" w:color="auto" w:fill="auto"/>
                  <w:tcMar>
                    <w:top w:w="28" w:type="dxa"/>
                  </w:tcMar>
                </w:tcPr>
                <w:p w14:paraId="0F4B83EF" w14:textId="77777777" w:rsidR="002B2A31" w:rsidRPr="00EA024C" w:rsidRDefault="002B2A31" w:rsidP="00CC0374">
                  <w:pPr>
                    <w:pStyle w:val="TableBodyText"/>
                    <w:ind w:right="28"/>
                    <w:rPr>
                      <w:i/>
                    </w:rPr>
                  </w:pPr>
                </w:p>
              </w:tc>
            </w:tr>
            <w:tr w:rsidR="002B2A31" w14:paraId="3E1D3BF8" w14:textId="77777777" w:rsidTr="00CC0374">
              <w:tc>
                <w:tcPr>
                  <w:tcW w:w="1001" w:type="pct"/>
                </w:tcPr>
                <w:p w14:paraId="2DD2B056" w14:textId="4270FE61" w:rsidR="002B2A31" w:rsidRDefault="002B2A31" w:rsidP="00D0260E">
                  <w:pPr>
                    <w:pStyle w:val="TableBodyText"/>
                    <w:spacing w:before="80"/>
                    <w:jc w:val="left"/>
                  </w:pPr>
                  <w:r>
                    <w:t>Output (</w:t>
                  </w:r>
                  <w:r w:rsidR="00B82758">
                    <w:t xml:space="preserve">real </w:t>
                  </w:r>
                  <w:r>
                    <w:t>GDP)</w:t>
                  </w:r>
                </w:p>
              </w:tc>
              <w:tc>
                <w:tcPr>
                  <w:tcW w:w="1000" w:type="pct"/>
                </w:tcPr>
                <w:p w14:paraId="06C3A225" w14:textId="77777777" w:rsidR="002B2A31" w:rsidRDefault="002B2A31" w:rsidP="00D0260E">
                  <w:pPr>
                    <w:pStyle w:val="TableBodyText"/>
                    <w:spacing w:before="80"/>
                  </w:pPr>
                  <w:r w:rsidRPr="009679B9">
                    <w:t>3.1</w:t>
                  </w:r>
                </w:p>
              </w:tc>
              <w:tc>
                <w:tcPr>
                  <w:tcW w:w="1000" w:type="pct"/>
                </w:tcPr>
                <w:p w14:paraId="1A30232F" w14:textId="77777777" w:rsidR="002B2A31" w:rsidRDefault="002B2A31" w:rsidP="00D0260E">
                  <w:pPr>
                    <w:pStyle w:val="TableBodyText"/>
                    <w:spacing w:before="80"/>
                  </w:pPr>
                  <w:r w:rsidRPr="009679B9">
                    <w:t>2.5</w:t>
                  </w:r>
                </w:p>
              </w:tc>
              <w:tc>
                <w:tcPr>
                  <w:tcW w:w="1000" w:type="pct"/>
                </w:tcPr>
                <w:p w14:paraId="43C28F53" w14:textId="77777777" w:rsidR="002B2A31" w:rsidRDefault="002B2A31" w:rsidP="00D0260E">
                  <w:pPr>
                    <w:pStyle w:val="TableBodyText"/>
                    <w:spacing w:before="80"/>
                  </w:pPr>
                  <w:r w:rsidRPr="009679B9">
                    <w:t>2.9</w:t>
                  </w:r>
                </w:p>
              </w:tc>
              <w:tc>
                <w:tcPr>
                  <w:tcW w:w="999" w:type="pct"/>
                </w:tcPr>
                <w:p w14:paraId="1A014769" w14:textId="77777777" w:rsidR="002B2A31" w:rsidRDefault="002B2A31" w:rsidP="00D0260E">
                  <w:pPr>
                    <w:pStyle w:val="TableBodyText"/>
                    <w:spacing w:before="80"/>
                    <w:ind w:right="28"/>
                  </w:pPr>
                  <w:r w:rsidRPr="009679B9">
                    <w:t>1.9</w:t>
                  </w:r>
                </w:p>
              </w:tc>
            </w:tr>
            <w:tr w:rsidR="002B2A31" w14:paraId="0AD070FE" w14:textId="77777777" w:rsidTr="00CC0374">
              <w:tc>
                <w:tcPr>
                  <w:tcW w:w="1001" w:type="pct"/>
                </w:tcPr>
                <w:p w14:paraId="0292751C" w14:textId="77777777" w:rsidR="002B2A31" w:rsidRDefault="002B2A31" w:rsidP="00CC0374">
                  <w:pPr>
                    <w:pStyle w:val="TableBodyText"/>
                    <w:jc w:val="left"/>
                  </w:pPr>
                  <w:r>
                    <w:t>GDP per capita</w:t>
                  </w:r>
                </w:p>
              </w:tc>
              <w:tc>
                <w:tcPr>
                  <w:tcW w:w="1000" w:type="pct"/>
                </w:tcPr>
                <w:p w14:paraId="47A368BF" w14:textId="77777777" w:rsidR="002B2A31" w:rsidRDefault="002B2A31" w:rsidP="00CC0374">
                  <w:pPr>
                    <w:pStyle w:val="TableBodyText"/>
                  </w:pPr>
                  <w:r w:rsidRPr="009679B9">
                    <w:t>1.7</w:t>
                  </w:r>
                </w:p>
              </w:tc>
              <w:tc>
                <w:tcPr>
                  <w:tcW w:w="1000" w:type="pct"/>
                </w:tcPr>
                <w:p w14:paraId="62F63C5B" w14:textId="77777777" w:rsidR="002B2A31" w:rsidRDefault="002B2A31" w:rsidP="00CC0374">
                  <w:pPr>
                    <w:pStyle w:val="TableBodyText"/>
                  </w:pPr>
                  <w:r w:rsidRPr="009679B9">
                    <w:t>0.9</w:t>
                  </w:r>
                </w:p>
              </w:tc>
              <w:tc>
                <w:tcPr>
                  <w:tcW w:w="1000" w:type="pct"/>
                </w:tcPr>
                <w:p w14:paraId="1B765F27" w14:textId="77777777" w:rsidR="002B2A31" w:rsidRDefault="002B2A31" w:rsidP="00CC0374">
                  <w:pPr>
                    <w:pStyle w:val="TableBodyText"/>
                  </w:pPr>
                  <w:r w:rsidRPr="009679B9">
                    <w:t>1.3</w:t>
                  </w:r>
                </w:p>
              </w:tc>
              <w:tc>
                <w:tcPr>
                  <w:tcW w:w="999" w:type="pct"/>
                </w:tcPr>
                <w:p w14:paraId="272D2AD2" w14:textId="77777777" w:rsidR="002B2A31" w:rsidRDefault="002B2A31" w:rsidP="00CC0374">
                  <w:pPr>
                    <w:pStyle w:val="TableBodyText"/>
                    <w:ind w:right="28"/>
                  </w:pPr>
                  <w:r w:rsidRPr="009679B9">
                    <w:t>0.3</w:t>
                  </w:r>
                </w:p>
              </w:tc>
            </w:tr>
            <w:tr w:rsidR="002B2A31" w14:paraId="64F3B0EB" w14:textId="77777777" w:rsidTr="00CC0374">
              <w:tc>
                <w:tcPr>
                  <w:tcW w:w="1001" w:type="pct"/>
                </w:tcPr>
                <w:p w14:paraId="798B6450" w14:textId="01243102" w:rsidR="002B2A31" w:rsidRDefault="002B2A31" w:rsidP="00621513">
                  <w:pPr>
                    <w:pStyle w:val="TableBodyText"/>
                    <w:ind w:left="170"/>
                    <w:jc w:val="left"/>
                  </w:pPr>
                  <w:r>
                    <w:t>Hours worked</w:t>
                  </w:r>
                  <w:r w:rsidRPr="0075417F">
                    <w:rPr>
                      <w:rStyle w:val="NoteLabel"/>
                    </w:rPr>
                    <w:t>c</w:t>
                  </w:r>
                </w:p>
              </w:tc>
              <w:tc>
                <w:tcPr>
                  <w:tcW w:w="1000" w:type="pct"/>
                </w:tcPr>
                <w:p w14:paraId="7394390F" w14:textId="77777777" w:rsidR="002B2A31" w:rsidRDefault="002B2A31" w:rsidP="00CC0374">
                  <w:pPr>
                    <w:pStyle w:val="TableBodyText"/>
                  </w:pPr>
                  <w:r w:rsidRPr="009679B9">
                    <w:t>1.6</w:t>
                  </w:r>
                </w:p>
              </w:tc>
              <w:tc>
                <w:tcPr>
                  <w:tcW w:w="1000" w:type="pct"/>
                </w:tcPr>
                <w:p w14:paraId="185DF926" w14:textId="77777777" w:rsidR="002B2A31" w:rsidRDefault="002B2A31" w:rsidP="00CC0374">
                  <w:pPr>
                    <w:pStyle w:val="TableBodyText"/>
                  </w:pPr>
                  <w:r w:rsidRPr="009679B9">
                    <w:t>1.8</w:t>
                  </w:r>
                </w:p>
              </w:tc>
              <w:tc>
                <w:tcPr>
                  <w:tcW w:w="1000" w:type="pct"/>
                </w:tcPr>
                <w:p w14:paraId="682BF4A7" w14:textId="77777777" w:rsidR="002B2A31" w:rsidRDefault="002B2A31" w:rsidP="00CC0374">
                  <w:pPr>
                    <w:pStyle w:val="TableBodyText"/>
                  </w:pPr>
                  <w:r w:rsidRPr="009679B9">
                    <w:t>2.7</w:t>
                  </w:r>
                </w:p>
              </w:tc>
              <w:tc>
                <w:tcPr>
                  <w:tcW w:w="999" w:type="pct"/>
                </w:tcPr>
                <w:p w14:paraId="7955A04D" w14:textId="77777777" w:rsidR="002B2A31" w:rsidRDefault="002B2A31" w:rsidP="00CC0374">
                  <w:pPr>
                    <w:pStyle w:val="TableBodyText"/>
                    <w:ind w:right="28"/>
                  </w:pPr>
                  <w:r w:rsidRPr="009679B9">
                    <w:t>2.0</w:t>
                  </w:r>
                </w:p>
              </w:tc>
            </w:tr>
            <w:tr w:rsidR="002B2A31" w14:paraId="54F60773" w14:textId="77777777" w:rsidTr="00CC0374">
              <w:tc>
                <w:tcPr>
                  <w:tcW w:w="1001" w:type="pct"/>
                </w:tcPr>
                <w:p w14:paraId="73D70674" w14:textId="77777777" w:rsidR="002B2A31" w:rsidRPr="00B26A51" w:rsidRDefault="002B2A31" w:rsidP="00CC0374">
                  <w:pPr>
                    <w:pStyle w:val="TableBodyText"/>
                    <w:jc w:val="left"/>
                    <w:rPr>
                      <w:b/>
                    </w:rPr>
                  </w:pPr>
                  <w:r w:rsidRPr="00B26A51">
                    <w:rPr>
                      <w:b/>
                    </w:rPr>
                    <w:t>Labour productivity</w:t>
                  </w:r>
                </w:p>
              </w:tc>
              <w:tc>
                <w:tcPr>
                  <w:tcW w:w="1000" w:type="pct"/>
                </w:tcPr>
                <w:p w14:paraId="1B1F7D3D" w14:textId="77777777" w:rsidR="002B2A31" w:rsidRDefault="002B2A31" w:rsidP="00CC0374">
                  <w:pPr>
                    <w:pStyle w:val="TableBodyText"/>
                  </w:pPr>
                  <w:r w:rsidRPr="009679B9">
                    <w:t>1.5</w:t>
                  </w:r>
                </w:p>
              </w:tc>
              <w:tc>
                <w:tcPr>
                  <w:tcW w:w="1000" w:type="pct"/>
                </w:tcPr>
                <w:p w14:paraId="2214529F" w14:textId="406291A9" w:rsidR="002B2A31" w:rsidRDefault="002B2A31" w:rsidP="00131164">
                  <w:pPr>
                    <w:pStyle w:val="TableBodyText"/>
                  </w:pPr>
                  <w:r w:rsidRPr="009679B9">
                    <w:t>0.</w:t>
                  </w:r>
                  <w:r w:rsidR="00131164">
                    <w:t>7</w:t>
                  </w:r>
                </w:p>
              </w:tc>
              <w:tc>
                <w:tcPr>
                  <w:tcW w:w="1000" w:type="pct"/>
                </w:tcPr>
                <w:p w14:paraId="00B25FDA" w14:textId="77777777" w:rsidR="002B2A31" w:rsidRDefault="002B2A31" w:rsidP="00CC0374">
                  <w:pPr>
                    <w:pStyle w:val="TableBodyText"/>
                  </w:pPr>
                  <w:r w:rsidRPr="009679B9">
                    <w:t>0.3</w:t>
                  </w:r>
                </w:p>
              </w:tc>
              <w:tc>
                <w:tcPr>
                  <w:tcW w:w="999" w:type="pct"/>
                </w:tcPr>
                <w:p w14:paraId="5613E99D" w14:textId="5A24CB4F" w:rsidR="002B2A31" w:rsidRDefault="00F30F3B" w:rsidP="00CC0374">
                  <w:pPr>
                    <w:pStyle w:val="TableBodyText"/>
                    <w:ind w:right="28"/>
                  </w:pPr>
                  <w:r>
                    <w:t>-</w:t>
                  </w:r>
                  <w:r w:rsidR="002B2A31" w:rsidRPr="009679B9">
                    <w:t>0.2</w:t>
                  </w:r>
                </w:p>
              </w:tc>
            </w:tr>
            <w:tr w:rsidR="002B2A31" w14:paraId="39641525" w14:textId="77777777" w:rsidTr="00CC0374">
              <w:tc>
                <w:tcPr>
                  <w:tcW w:w="1001" w:type="pct"/>
                </w:tcPr>
                <w:p w14:paraId="7D889CCB" w14:textId="77777777" w:rsidR="002B2A31" w:rsidRDefault="002B2A31" w:rsidP="00CC0374">
                  <w:pPr>
                    <w:pStyle w:val="TableBodyText"/>
                    <w:jc w:val="left"/>
                  </w:pPr>
                  <w:r>
                    <w:t>Terms of trade</w:t>
                  </w:r>
                </w:p>
              </w:tc>
              <w:tc>
                <w:tcPr>
                  <w:tcW w:w="1000" w:type="pct"/>
                </w:tcPr>
                <w:p w14:paraId="7CF405AA" w14:textId="073F0160" w:rsidR="002B2A31" w:rsidRDefault="002B2A31" w:rsidP="00B82758">
                  <w:pPr>
                    <w:pStyle w:val="TableBodyText"/>
                  </w:pPr>
                  <w:r w:rsidRPr="009679B9">
                    <w:t>0.</w:t>
                  </w:r>
                  <w:r w:rsidR="00B82758">
                    <w:t>8</w:t>
                  </w:r>
                </w:p>
              </w:tc>
              <w:tc>
                <w:tcPr>
                  <w:tcW w:w="1000" w:type="pct"/>
                </w:tcPr>
                <w:p w14:paraId="388A3695" w14:textId="0FEAE509" w:rsidR="002B2A31" w:rsidRDefault="00131164" w:rsidP="00CC0374">
                  <w:pPr>
                    <w:pStyle w:val="TableBodyText"/>
                  </w:pPr>
                  <w:r>
                    <w:t>-</w:t>
                  </w:r>
                  <w:r w:rsidR="002B2A31" w:rsidRPr="009679B9">
                    <w:t>0</w:t>
                  </w:r>
                  <w:r>
                    <w:t>.1</w:t>
                  </w:r>
                </w:p>
              </w:tc>
              <w:tc>
                <w:tcPr>
                  <w:tcW w:w="1000" w:type="pct"/>
                </w:tcPr>
                <w:p w14:paraId="295CB44B" w14:textId="77777777" w:rsidR="002B2A31" w:rsidRDefault="002B2A31" w:rsidP="00CC0374">
                  <w:pPr>
                    <w:pStyle w:val="TableBodyText"/>
                  </w:pPr>
                  <w:r w:rsidRPr="009679B9">
                    <w:t>1.9</w:t>
                  </w:r>
                </w:p>
              </w:tc>
              <w:tc>
                <w:tcPr>
                  <w:tcW w:w="999" w:type="pct"/>
                </w:tcPr>
                <w:p w14:paraId="647D63A1" w14:textId="77777777" w:rsidR="002B2A31" w:rsidRDefault="002B2A31" w:rsidP="00CC0374">
                  <w:pPr>
                    <w:pStyle w:val="TableBodyText"/>
                    <w:ind w:right="28"/>
                  </w:pPr>
                  <w:r w:rsidRPr="009679B9">
                    <w:t>6.0</w:t>
                  </w:r>
                </w:p>
              </w:tc>
            </w:tr>
            <w:tr w:rsidR="002B2A31" w14:paraId="1C0CA348" w14:textId="77777777" w:rsidTr="00CC0374">
              <w:tc>
                <w:tcPr>
                  <w:tcW w:w="1001" w:type="pct"/>
                  <w:shd w:val="clear" w:color="auto" w:fill="auto"/>
                </w:tcPr>
                <w:p w14:paraId="4F8BF75E" w14:textId="680B09B6" w:rsidR="002B2A31" w:rsidRDefault="002B2A31" w:rsidP="00CC0374">
                  <w:pPr>
                    <w:pStyle w:val="TableBodyText"/>
                    <w:jc w:val="left"/>
                  </w:pPr>
                  <w:r>
                    <w:t>Gross national income</w:t>
                  </w:r>
                  <w:r w:rsidR="00B82758">
                    <w:t xml:space="preserve"> per capita</w:t>
                  </w:r>
                </w:p>
              </w:tc>
              <w:tc>
                <w:tcPr>
                  <w:tcW w:w="1000" w:type="pct"/>
                </w:tcPr>
                <w:p w14:paraId="479DC390" w14:textId="5CA700EF" w:rsidR="002B2A31" w:rsidRDefault="00B82758" w:rsidP="00CC0374">
                  <w:pPr>
                    <w:pStyle w:val="TableBodyText"/>
                  </w:pPr>
                  <w:r>
                    <w:t>1.8</w:t>
                  </w:r>
                </w:p>
              </w:tc>
              <w:tc>
                <w:tcPr>
                  <w:tcW w:w="1000" w:type="pct"/>
                </w:tcPr>
                <w:p w14:paraId="0A64532B" w14:textId="37B91E05" w:rsidR="002B2A31" w:rsidRDefault="002B2A31" w:rsidP="00131164">
                  <w:pPr>
                    <w:pStyle w:val="TableBodyText"/>
                  </w:pPr>
                  <w:r w:rsidRPr="009679B9">
                    <w:t>0.</w:t>
                  </w:r>
                  <w:r w:rsidR="00131164">
                    <w:t>8</w:t>
                  </w:r>
                </w:p>
              </w:tc>
              <w:tc>
                <w:tcPr>
                  <w:tcW w:w="1000" w:type="pct"/>
                  <w:shd w:val="clear" w:color="auto" w:fill="auto"/>
                </w:tcPr>
                <w:p w14:paraId="45D742A8" w14:textId="77777777" w:rsidR="002B2A31" w:rsidRDefault="002B2A31" w:rsidP="00CC0374">
                  <w:pPr>
                    <w:pStyle w:val="TableBodyText"/>
                  </w:pPr>
                  <w:r w:rsidRPr="009679B9">
                    <w:t>1.3</w:t>
                  </w:r>
                </w:p>
              </w:tc>
              <w:tc>
                <w:tcPr>
                  <w:tcW w:w="999" w:type="pct"/>
                  <w:shd w:val="clear" w:color="auto" w:fill="auto"/>
                </w:tcPr>
                <w:p w14:paraId="6E24FD0C" w14:textId="3327245F" w:rsidR="002B2A31" w:rsidRDefault="002B2A31" w:rsidP="00F30F3B">
                  <w:pPr>
                    <w:pStyle w:val="TableBodyText"/>
                    <w:ind w:right="28"/>
                  </w:pPr>
                  <w:r w:rsidRPr="009679B9">
                    <w:t>1.</w:t>
                  </w:r>
                  <w:r w:rsidR="00F30F3B">
                    <w:t>6</w:t>
                  </w:r>
                </w:p>
              </w:tc>
            </w:tr>
            <w:tr w:rsidR="002B2A31" w14:paraId="4904E087" w14:textId="77777777" w:rsidTr="00CC0374">
              <w:tc>
                <w:tcPr>
                  <w:tcW w:w="1001" w:type="pct"/>
                  <w:shd w:val="clear" w:color="auto" w:fill="auto"/>
                </w:tcPr>
                <w:p w14:paraId="2BE0C69E" w14:textId="77777777" w:rsidR="002B2A31" w:rsidRPr="00B26A51" w:rsidRDefault="002B2A31" w:rsidP="00CC0374">
                  <w:pPr>
                    <w:pStyle w:val="TableColumnHeading"/>
                    <w:jc w:val="left"/>
                    <w:rPr>
                      <w:b/>
                      <w:i w:val="0"/>
                    </w:rPr>
                  </w:pPr>
                  <w:r w:rsidRPr="00B26A51">
                    <w:rPr>
                      <w:b/>
                      <w:i w:val="0"/>
                    </w:rPr>
                    <w:t>Market sector</w:t>
                  </w:r>
                </w:p>
              </w:tc>
              <w:tc>
                <w:tcPr>
                  <w:tcW w:w="1000" w:type="pct"/>
                </w:tcPr>
                <w:p w14:paraId="69305D7C" w14:textId="77777777" w:rsidR="002B2A31" w:rsidRPr="00B26A51" w:rsidRDefault="002B2A31" w:rsidP="00CC0374">
                  <w:pPr>
                    <w:pStyle w:val="TableColumnHeading"/>
                    <w:jc w:val="left"/>
                    <w:rPr>
                      <w:b/>
                      <w:i w:val="0"/>
                    </w:rPr>
                  </w:pPr>
                </w:p>
              </w:tc>
              <w:tc>
                <w:tcPr>
                  <w:tcW w:w="1000" w:type="pct"/>
                </w:tcPr>
                <w:p w14:paraId="7F7F3FD3" w14:textId="77777777" w:rsidR="002B2A31" w:rsidRPr="00B26A51" w:rsidRDefault="002B2A31" w:rsidP="00CC0374">
                  <w:pPr>
                    <w:pStyle w:val="TableColumnHeading"/>
                    <w:jc w:val="left"/>
                    <w:rPr>
                      <w:b/>
                      <w:i w:val="0"/>
                    </w:rPr>
                  </w:pPr>
                </w:p>
              </w:tc>
              <w:tc>
                <w:tcPr>
                  <w:tcW w:w="1000" w:type="pct"/>
                  <w:shd w:val="clear" w:color="auto" w:fill="auto"/>
                </w:tcPr>
                <w:p w14:paraId="4FC0836D" w14:textId="77777777" w:rsidR="002B2A31" w:rsidRPr="00B26A51" w:rsidRDefault="002B2A31" w:rsidP="00CC0374">
                  <w:pPr>
                    <w:pStyle w:val="TableColumnHeading"/>
                    <w:jc w:val="left"/>
                    <w:rPr>
                      <w:b/>
                      <w:i w:val="0"/>
                    </w:rPr>
                  </w:pPr>
                </w:p>
              </w:tc>
              <w:tc>
                <w:tcPr>
                  <w:tcW w:w="999" w:type="pct"/>
                  <w:shd w:val="clear" w:color="auto" w:fill="auto"/>
                </w:tcPr>
                <w:p w14:paraId="277EDD84" w14:textId="77777777" w:rsidR="002B2A31" w:rsidRPr="00B26A51" w:rsidRDefault="002B2A31" w:rsidP="00CC0374">
                  <w:pPr>
                    <w:pStyle w:val="TableColumnHeading"/>
                    <w:jc w:val="left"/>
                    <w:rPr>
                      <w:b/>
                      <w:i w:val="0"/>
                    </w:rPr>
                  </w:pPr>
                </w:p>
              </w:tc>
            </w:tr>
            <w:tr w:rsidR="00BB7ED7" w14:paraId="1BB57AF4" w14:textId="77777777" w:rsidTr="00CC0374">
              <w:tc>
                <w:tcPr>
                  <w:tcW w:w="1001" w:type="pct"/>
                  <w:shd w:val="clear" w:color="auto" w:fill="auto"/>
                </w:tcPr>
                <w:p w14:paraId="5B267122" w14:textId="77777777" w:rsidR="00BB7ED7" w:rsidRDefault="00BB7ED7" w:rsidP="00BB7ED7">
                  <w:pPr>
                    <w:pStyle w:val="TableBodyText"/>
                    <w:jc w:val="left"/>
                  </w:pPr>
                  <w:r>
                    <w:t>Output (GVA)</w:t>
                  </w:r>
                </w:p>
              </w:tc>
              <w:tc>
                <w:tcPr>
                  <w:tcW w:w="1000" w:type="pct"/>
                </w:tcPr>
                <w:p w14:paraId="6CCF1A3D" w14:textId="4216810F" w:rsidR="00BB7ED7" w:rsidRDefault="00BB7ED7" w:rsidP="00BB7ED7">
                  <w:pPr>
                    <w:pStyle w:val="TableBodyText"/>
                  </w:pPr>
                  <w:r w:rsidRPr="006A14F8">
                    <w:t>3.2</w:t>
                  </w:r>
                </w:p>
              </w:tc>
              <w:tc>
                <w:tcPr>
                  <w:tcW w:w="1000" w:type="pct"/>
                </w:tcPr>
                <w:p w14:paraId="602E7DC9" w14:textId="7DDB2C32" w:rsidR="00BB7ED7" w:rsidRDefault="00BB7ED7" w:rsidP="00BB7ED7">
                  <w:pPr>
                    <w:pStyle w:val="TableBodyText"/>
                  </w:pPr>
                  <w:r w:rsidRPr="00CE15AD">
                    <w:t>2.3</w:t>
                  </w:r>
                </w:p>
              </w:tc>
              <w:tc>
                <w:tcPr>
                  <w:tcW w:w="1000" w:type="pct"/>
                  <w:shd w:val="clear" w:color="auto" w:fill="auto"/>
                </w:tcPr>
                <w:p w14:paraId="729C69F3" w14:textId="77777777" w:rsidR="00BB7ED7" w:rsidRDefault="00BB7ED7" w:rsidP="00BB7ED7">
                  <w:pPr>
                    <w:pStyle w:val="TableBodyText"/>
                  </w:pPr>
                  <w:r w:rsidRPr="00616516">
                    <w:t>3.1</w:t>
                  </w:r>
                </w:p>
              </w:tc>
              <w:tc>
                <w:tcPr>
                  <w:tcW w:w="999" w:type="pct"/>
                  <w:shd w:val="clear" w:color="auto" w:fill="auto"/>
                </w:tcPr>
                <w:p w14:paraId="759978A0" w14:textId="77777777" w:rsidR="00BB7ED7" w:rsidRDefault="00BB7ED7" w:rsidP="00BB7ED7">
                  <w:pPr>
                    <w:pStyle w:val="TableBodyText"/>
                    <w:ind w:right="28"/>
                  </w:pPr>
                  <w:r w:rsidRPr="00616516">
                    <w:t>1.3</w:t>
                  </w:r>
                </w:p>
              </w:tc>
            </w:tr>
            <w:tr w:rsidR="00BB7ED7" w14:paraId="2432A52B" w14:textId="77777777" w:rsidTr="00CC0374">
              <w:tc>
                <w:tcPr>
                  <w:tcW w:w="1001" w:type="pct"/>
                  <w:shd w:val="clear" w:color="auto" w:fill="auto"/>
                </w:tcPr>
                <w:p w14:paraId="1C3A9A9D" w14:textId="77777777" w:rsidR="00BB7ED7" w:rsidRDefault="00BB7ED7" w:rsidP="00BB7ED7">
                  <w:pPr>
                    <w:pStyle w:val="TableBodyText"/>
                    <w:jc w:val="left"/>
                  </w:pPr>
                  <w:r>
                    <w:t>Inputs</w:t>
                  </w:r>
                </w:p>
              </w:tc>
              <w:tc>
                <w:tcPr>
                  <w:tcW w:w="1000" w:type="pct"/>
                </w:tcPr>
                <w:p w14:paraId="0F4A46D0" w14:textId="2D62FE2F" w:rsidR="00BB7ED7" w:rsidRDefault="003B6D66" w:rsidP="00BB7ED7">
                  <w:pPr>
                    <w:pStyle w:val="TableBodyText"/>
                  </w:pPr>
                  <w:r>
                    <w:t>2.4</w:t>
                  </w:r>
                </w:p>
              </w:tc>
              <w:tc>
                <w:tcPr>
                  <w:tcW w:w="1000" w:type="pct"/>
                </w:tcPr>
                <w:p w14:paraId="2F8B61DF" w14:textId="6EF50F5C" w:rsidR="00BB7ED7" w:rsidRDefault="00BB7ED7" w:rsidP="00BB7ED7">
                  <w:pPr>
                    <w:pStyle w:val="TableBodyText"/>
                  </w:pPr>
                  <w:r w:rsidRPr="00CE15AD">
                    <w:t>1.7</w:t>
                  </w:r>
                </w:p>
              </w:tc>
              <w:tc>
                <w:tcPr>
                  <w:tcW w:w="1000" w:type="pct"/>
                  <w:shd w:val="clear" w:color="auto" w:fill="auto"/>
                </w:tcPr>
                <w:p w14:paraId="1136665B" w14:textId="1C956C8E" w:rsidR="00BB7ED7" w:rsidRDefault="00BB7ED7" w:rsidP="00BB7ED7">
                  <w:pPr>
                    <w:pStyle w:val="TableBodyText"/>
                  </w:pPr>
                  <w:r w:rsidRPr="004140AC">
                    <w:t>2.</w:t>
                  </w:r>
                  <w:r>
                    <w:t>2</w:t>
                  </w:r>
                </w:p>
              </w:tc>
              <w:tc>
                <w:tcPr>
                  <w:tcW w:w="999" w:type="pct"/>
                  <w:shd w:val="clear" w:color="auto" w:fill="auto"/>
                </w:tcPr>
                <w:p w14:paraId="6F016954" w14:textId="77777777" w:rsidR="00BB7ED7" w:rsidRDefault="00BB7ED7" w:rsidP="00BB7ED7">
                  <w:pPr>
                    <w:pStyle w:val="TableBodyText"/>
                    <w:ind w:right="28"/>
                  </w:pPr>
                  <w:r w:rsidRPr="004140AC">
                    <w:t>1.6</w:t>
                  </w:r>
                </w:p>
              </w:tc>
            </w:tr>
            <w:tr w:rsidR="00BB7ED7" w14:paraId="6D4B8B89" w14:textId="77777777" w:rsidTr="00CC0374">
              <w:tc>
                <w:tcPr>
                  <w:tcW w:w="1001" w:type="pct"/>
                  <w:shd w:val="clear" w:color="auto" w:fill="auto"/>
                </w:tcPr>
                <w:p w14:paraId="45F71A98" w14:textId="7D50D0C7" w:rsidR="00BB7ED7" w:rsidRDefault="00BB7ED7" w:rsidP="00BB7ED7">
                  <w:pPr>
                    <w:pStyle w:val="TableBodyText"/>
                    <w:ind w:left="170"/>
                    <w:jc w:val="left"/>
                  </w:pPr>
                  <w:r>
                    <w:t>Hours worked</w:t>
                  </w:r>
                </w:p>
              </w:tc>
              <w:tc>
                <w:tcPr>
                  <w:tcW w:w="1000" w:type="pct"/>
                </w:tcPr>
                <w:p w14:paraId="33C406FF" w14:textId="5A56E781" w:rsidR="00BB7ED7" w:rsidRDefault="00BB7ED7" w:rsidP="00BB7ED7">
                  <w:pPr>
                    <w:pStyle w:val="TableBodyText"/>
                  </w:pPr>
                  <w:r w:rsidRPr="006A14F8">
                    <w:t>1.2</w:t>
                  </w:r>
                </w:p>
              </w:tc>
              <w:tc>
                <w:tcPr>
                  <w:tcW w:w="1000" w:type="pct"/>
                </w:tcPr>
                <w:p w14:paraId="024D2CF2" w14:textId="293477AB" w:rsidR="00BB7ED7" w:rsidRDefault="00BB7ED7" w:rsidP="00BB7ED7">
                  <w:pPr>
                    <w:pStyle w:val="TableBodyText"/>
                  </w:pPr>
                  <w:r w:rsidRPr="00CE15AD">
                    <w:t>1.4</w:t>
                  </w:r>
                </w:p>
              </w:tc>
              <w:tc>
                <w:tcPr>
                  <w:tcW w:w="1000" w:type="pct"/>
                  <w:shd w:val="clear" w:color="auto" w:fill="auto"/>
                </w:tcPr>
                <w:p w14:paraId="65C1FE41" w14:textId="77777777" w:rsidR="00BB7ED7" w:rsidRDefault="00BB7ED7" w:rsidP="00BB7ED7">
                  <w:pPr>
                    <w:pStyle w:val="TableBodyText"/>
                  </w:pPr>
                  <w:r w:rsidRPr="00C22E87">
                    <w:t>2.4</w:t>
                  </w:r>
                </w:p>
              </w:tc>
              <w:tc>
                <w:tcPr>
                  <w:tcW w:w="999" w:type="pct"/>
                  <w:shd w:val="clear" w:color="auto" w:fill="auto"/>
                </w:tcPr>
                <w:p w14:paraId="5E43E240" w14:textId="1DE15744" w:rsidR="00BB7ED7" w:rsidRDefault="00BB7ED7" w:rsidP="00BB7ED7">
                  <w:pPr>
                    <w:pStyle w:val="TableBodyText"/>
                    <w:ind w:right="28"/>
                  </w:pPr>
                  <w:r w:rsidRPr="00C22E87">
                    <w:t>1.</w:t>
                  </w:r>
                  <w:r>
                    <w:t>6</w:t>
                  </w:r>
                </w:p>
              </w:tc>
            </w:tr>
            <w:tr w:rsidR="00BB7ED7" w14:paraId="32A5CE6B" w14:textId="77777777" w:rsidTr="00CC0374">
              <w:tc>
                <w:tcPr>
                  <w:tcW w:w="1001" w:type="pct"/>
                  <w:shd w:val="clear" w:color="auto" w:fill="auto"/>
                </w:tcPr>
                <w:p w14:paraId="06350241" w14:textId="65F0CC91" w:rsidR="00BB7ED7" w:rsidRDefault="00BB7ED7" w:rsidP="00BB7ED7">
                  <w:pPr>
                    <w:pStyle w:val="TableBodyText"/>
                    <w:ind w:left="170"/>
                    <w:jc w:val="left"/>
                  </w:pPr>
                  <w:r>
                    <w:t>Capital services</w:t>
                  </w:r>
                </w:p>
              </w:tc>
              <w:tc>
                <w:tcPr>
                  <w:tcW w:w="1000" w:type="pct"/>
                </w:tcPr>
                <w:p w14:paraId="3AA43847" w14:textId="30E24CFB" w:rsidR="00BB7ED7" w:rsidRDefault="00BB7ED7" w:rsidP="00BB7ED7">
                  <w:pPr>
                    <w:pStyle w:val="TableBodyText"/>
                  </w:pPr>
                  <w:r w:rsidRPr="006A14F8">
                    <w:t>4.2</w:t>
                  </w:r>
                </w:p>
              </w:tc>
              <w:tc>
                <w:tcPr>
                  <w:tcW w:w="1000" w:type="pct"/>
                </w:tcPr>
                <w:p w14:paraId="490FCC44" w14:textId="0C7EBAEE" w:rsidR="00BB7ED7" w:rsidRDefault="00BB7ED7" w:rsidP="00BB7ED7">
                  <w:pPr>
                    <w:pStyle w:val="TableBodyText"/>
                  </w:pPr>
                  <w:r w:rsidRPr="00CE15AD">
                    <w:t>2.1</w:t>
                  </w:r>
                </w:p>
              </w:tc>
              <w:tc>
                <w:tcPr>
                  <w:tcW w:w="1000" w:type="pct"/>
                  <w:shd w:val="clear" w:color="auto" w:fill="auto"/>
                </w:tcPr>
                <w:p w14:paraId="7E1C29B0" w14:textId="77777777" w:rsidR="00BB7ED7" w:rsidRDefault="00BB7ED7" w:rsidP="00BB7ED7">
                  <w:pPr>
                    <w:pStyle w:val="TableBodyText"/>
                  </w:pPr>
                  <w:r w:rsidRPr="00A13C73">
                    <w:t>1.9</w:t>
                  </w:r>
                </w:p>
              </w:tc>
              <w:tc>
                <w:tcPr>
                  <w:tcW w:w="999" w:type="pct"/>
                  <w:shd w:val="clear" w:color="auto" w:fill="auto"/>
                </w:tcPr>
                <w:p w14:paraId="19782EBD" w14:textId="77777777" w:rsidR="00BB7ED7" w:rsidRDefault="00BB7ED7" w:rsidP="00BB7ED7">
                  <w:pPr>
                    <w:pStyle w:val="TableBodyText"/>
                    <w:ind w:right="28"/>
                  </w:pPr>
                  <w:r w:rsidRPr="00A13C73">
                    <w:t>1.8</w:t>
                  </w:r>
                </w:p>
              </w:tc>
            </w:tr>
            <w:tr w:rsidR="00BB7ED7" w14:paraId="38D4FD5A" w14:textId="77777777" w:rsidTr="00CC0374">
              <w:tc>
                <w:tcPr>
                  <w:tcW w:w="1001" w:type="pct"/>
                  <w:shd w:val="clear" w:color="auto" w:fill="auto"/>
                </w:tcPr>
                <w:p w14:paraId="1DECBCD5" w14:textId="77777777" w:rsidR="00BB7ED7" w:rsidRPr="00D32DDB" w:rsidRDefault="00BB7ED7" w:rsidP="00BB7ED7">
                  <w:pPr>
                    <w:pStyle w:val="TableBodyText"/>
                    <w:jc w:val="left"/>
                    <w:rPr>
                      <w:b/>
                    </w:rPr>
                  </w:pPr>
                  <w:r w:rsidRPr="00D32DDB">
                    <w:rPr>
                      <w:b/>
                    </w:rPr>
                    <w:t>Labour productivity</w:t>
                  </w:r>
                </w:p>
              </w:tc>
              <w:tc>
                <w:tcPr>
                  <w:tcW w:w="1000" w:type="pct"/>
                </w:tcPr>
                <w:p w14:paraId="1E1508AE" w14:textId="1F4A1C36" w:rsidR="00BB7ED7" w:rsidRDefault="00BB7ED7" w:rsidP="00BB7ED7">
                  <w:pPr>
                    <w:pStyle w:val="TableBodyText"/>
                  </w:pPr>
                  <w:r w:rsidRPr="006A14F8">
                    <w:t>2.0</w:t>
                  </w:r>
                </w:p>
              </w:tc>
              <w:tc>
                <w:tcPr>
                  <w:tcW w:w="1000" w:type="pct"/>
                </w:tcPr>
                <w:p w14:paraId="27FAB1C3" w14:textId="517ED809" w:rsidR="00BB7ED7" w:rsidRDefault="00BB7ED7" w:rsidP="00BB7ED7">
                  <w:pPr>
                    <w:pStyle w:val="TableBodyText"/>
                  </w:pPr>
                  <w:r w:rsidRPr="00CE15AD">
                    <w:t>0.9</w:t>
                  </w:r>
                </w:p>
              </w:tc>
              <w:tc>
                <w:tcPr>
                  <w:tcW w:w="1000" w:type="pct"/>
                  <w:shd w:val="clear" w:color="auto" w:fill="auto"/>
                </w:tcPr>
                <w:p w14:paraId="5782424E" w14:textId="77777777" w:rsidR="00BB7ED7" w:rsidRDefault="00BB7ED7" w:rsidP="00BB7ED7">
                  <w:pPr>
                    <w:pStyle w:val="TableBodyText"/>
                  </w:pPr>
                  <w:r w:rsidRPr="00A67EBA">
                    <w:t>0.7</w:t>
                  </w:r>
                </w:p>
              </w:tc>
              <w:tc>
                <w:tcPr>
                  <w:tcW w:w="999" w:type="pct"/>
                  <w:shd w:val="clear" w:color="auto" w:fill="auto"/>
                </w:tcPr>
                <w:p w14:paraId="3B369A94" w14:textId="77777777" w:rsidR="00BB7ED7" w:rsidRDefault="00BB7ED7" w:rsidP="00BB7ED7">
                  <w:pPr>
                    <w:pStyle w:val="TableBodyText"/>
                    <w:ind w:right="28"/>
                  </w:pPr>
                  <w:r>
                    <w:noBreakHyphen/>
                  </w:r>
                  <w:r w:rsidRPr="00A67EBA">
                    <w:t>0.2</w:t>
                  </w:r>
                </w:p>
              </w:tc>
            </w:tr>
            <w:tr w:rsidR="00BB7ED7" w14:paraId="5B9193C1" w14:textId="77777777" w:rsidTr="00CC0374">
              <w:tc>
                <w:tcPr>
                  <w:tcW w:w="1001" w:type="pct"/>
                  <w:tcBorders>
                    <w:bottom w:val="single" w:sz="6" w:space="0" w:color="BFBFBF"/>
                  </w:tcBorders>
                  <w:shd w:val="clear" w:color="auto" w:fill="auto"/>
                </w:tcPr>
                <w:p w14:paraId="5E083A83" w14:textId="77777777" w:rsidR="00BB7ED7" w:rsidRPr="00B26A51" w:rsidRDefault="00BB7ED7" w:rsidP="00BB7ED7">
                  <w:pPr>
                    <w:pStyle w:val="TableBodyText"/>
                    <w:jc w:val="left"/>
                    <w:rPr>
                      <w:b/>
                    </w:rPr>
                  </w:pPr>
                  <w:r w:rsidRPr="00B26A51">
                    <w:rPr>
                      <w:b/>
                    </w:rPr>
                    <w:t>MFP</w:t>
                  </w:r>
                </w:p>
              </w:tc>
              <w:tc>
                <w:tcPr>
                  <w:tcW w:w="1000" w:type="pct"/>
                  <w:tcBorders>
                    <w:bottom w:val="single" w:sz="6" w:space="0" w:color="BFBFBF"/>
                  </w:tcBorders>
                </w:tcPr>
                <w:p w14:paraId="7CB9A51A" w14:textId="35C40C90" w:rsidR="00BB7ED7" w:rsidRDefault="00BB7ED7" w:rsidP="00BB7ED7">
                  <w:pPr>
                    <w:pStyle w:val="TableBodyText"/>
                  </w:pPr>
                  <w:r w:rsidRPr="006A14F8">
                    <w:t>0.8</w:t>
                  </w:r>
                </w:p>
              </w:tc>
              <w:tc>
                <w:tcPr>
                  <w:tcW w:w="1000" w:type="pct"/>
                  <w:tcBorders>
                    <w:bottom w:val="single" w:sz="6" w:space="0" w:color="BFBFBF"/>
                  </w:tcBorders>
                </w:tcPr>
                <w:p w14:paraId="78FFDDC3" w14:textId="56341353" w:rsidR="00BB7ED7" w:rsidRDefault="00BB7ED7" w:rsidP="00BB7ED7">
                  <w:pPr>
                    <w:pStyle w:val="TableBodyText"/>
                  </w:pPr>
                  <w:r w:rsidRPr="00CE15AD">
                    <w:t>0.6</w:t>
                  </w:r>
                </w:p>
              </w:tc>
              <w:tc>
                <w:tcPr>
                  <w:tcW w:w="1000" w:type="pct"/>
                  <w:tcBorders>
                    <w:bottom w:val="single" w:sz="6" w:space="0" w:color="BFBFBF"/>
                  </w:tcBorders>
                  <w:shd w:val="clear" w:color="auto" w:fill="auto"/>
                </w:tcPr>
                <w:p w14:paraId="0AEB83D8" w14:textId="77777777" w:rsidR="00BB7ED7" w:rsidRDefault="00BB7ED7" w:rsidP="00BB7ED7">
                  <w:pPr>
                    <w:pStyle w:val="TableBodyText"/>
                  </w:pPr>
                  <w:r w:rsidRPr="000A796C">
                    <w:t>0.9</w:t>
                  </w:r>
                </w:p>
              </w:tc>
              <w:tc>
                <w:tcPr>
                  <w:tcW w:w="999" w:type="pct"/>
                  <w:tcBorders>
                    <w:bottom w:val="single" w:sz="6" w:space="0" w:color="BFBFBF"/>
                  </w:tcBorders>
                  <w:shd w:val="clear" w:color="auto" w:fill="auto"/>
                </w:tcPr>
                <w:p w14:paraId="082DAEA5" w14:textId="77777777" w:rsidR="00BB7ED7" w:rsidRDefault="00BB7ED7" w:rsidP="00BB7ED7">
                  <w:pPr>
                    <w:pStyle w:val="TableBodyText"/>
                    <w:ind w:right="28"/>
                  </w:pPr>
                  <w:r>
                    <w:noBreakHyphen/>
                  </w:r>
                  <w:r w:rsidRPr="000A796C">
                    <w:t>0.4</w:t>
                  </w:r>
                </w:p>
              </w:tc>
            </w:tr>
          </w:tbl>
          <w:p w14:paraId="7ADE4C92" w14:textId="77777777" w:rsidR="002B2A31" w:rsidRDefault="002B2A31" w:rsidP="00CC0374">
            <w:pPr>
              <w:pStyle w:val="Box"/>
            </w:pPr>
          </w:p>
        </w:tc>
      </w:tr>
      <w:tr w:rsidR="002B2A31" w14:paraId="3C8AF1EF" w14:textId="77777777" w:rsidTr="00CC0374">
        <w:tc>
          <w:tcPr>
            <w:tcW w:w="5000" w:type="pct"/>
            <w:tcBorders>
              <w:top w:val="nil"/>
              <w:left w:val="nil"/>
              <w:bottom w:val="nil"/>
              <w:right w:val="nil"/>
            </w:tcBorders>
            <w:shd w:val="clear" w:color="auto" w:fill="auto"/>
          </w:tcPr>
          <w:p w14:paraId="6B948A4F" w14:textId="399AE7C5" w:rsidR="002B2A31" w:rsidRDefault="002B2A31" w:rsidP="00D128CD">
            <w:pPr>
              <w:pStyle w:val="Note"/>
              <w:rPr>
                <w:i/>
              </w:rPr>
            </w:pPr>
            <w:r>
              <w:rPr>
                <w:rStyle w:val="NoteLabel"/>
              </w:rPr>
              <w:t>a</w:t>
            </w:r>
            <w:r>
              <w:t xml:space="preserve"> </w:t>
            </w:r>
            <w:r w:rsidR="00D128CD">
              <w:t xml:space="preserve">Some figures will not appear to add correctly due to rounding to one decimal place, for example labour productivity growth and hours growth not appearing to add to GVA. </w:t>
            </w:r>
            <w:r>
              <w:t>Appendix A provides the details on the data and methodology for estimating output, input and productivity at the 16</w:t>
            </w:r>
            <w:r>
              <w:noBreakHyphen/>
              <w:t>industry market sector level. Gross value added (GVA) output is Gross domestic product (GDP) less taxes less subsidies on products and the statistical discrepancy. Labour productivity is the growth in output per unit of labour input. Multifactor productivity growth is the growth in gross value added less the growth of hours worked and capital services, each weighted by their share of total factor income. </w:t>
            </w:r>
            <w:r w:rsidRPr="004A67D7">
              <w:rPr>
                <w:rStyle w:val="NoteLabel"/>
              </w:rPr>
              <w:t>b</w:t>
            </w:r>
            <w:r>
              <w:t xml:space="preserve"> All values are in real, chain weighted, terms. </w:t>
            </w:r>
            <w:r w:rsidRPr="004A67D7">
              <w:rPr>
                <w:rStyle w:val="NoteLabel"/>
              </w:rPr>
              <w:t>c</w:t>
            </w:r>
            <w:r>
              <w:t> Hours worked and labour productivity for the whole economy are only available back to 1978</w:t>
            </w:r>
            <w:r>
              <w:noBreakHyphen/>
              <w:t>79.</w:t>
            </w:r>
          </w:p>
        </w:tc>
      </w:tr>
      <w:tr w:rsidR="002B2A31" w14:paraId="207ECD28" w14:textId="77777777" w:rsidTr="00CC0374">
        <w:tc>
          <w:tcPr>
            <w:tcW w:w="5000" w:type="pct"/>
            <w:tcBorders>
              <w:top w:val="nil"/>
              <w:left w:val="nil"/>
              <w:bottom w:val="nil"/>
              <w:right w:val="nil"/>
            </w:tcBorders>
            <w:shd w:val="clear" w:color="auto" w:fill="auto"/>
          </w:tcPr>
          <w:p w14:paraId="397033C5" w14:textId="77777777" w:rsidR="002B2A31" w:rsidRDefault="002B2A31" w:rsidP="0082415A">
            <w:pPr>
              <w:pStyle w:val="Source"/>
            </w:pPr>
            <w:r w:rsidRPr="001312B7">
              <w:rPr>
                <w:i/>
                <w:spacing w:val="-2"/>
              </w:rPr>
              <w:t>Sources</w:t>
            </w:r>
            <w:r w:rsidRPr="001312B7">
              <w:rPr>
                <w:spacing w:val="-2"/>
              </w:rPr>
              <w:t xml:space="preserve">: </w:t>
            </w:r>
            <w:r w:rsidRPr="000014C1">
              <w:t xml:space="preserve">Estimates based on: ABS (2018, </w:t>
            </w:r>
            <w:r w:rsidRPr="000014C1">
              <w:rPr>
                <w:i/>
                <w:iCs/>
              </w:rPr>
              <w:t>Australian System of National Accounts</w:t>
            </w:r>
            <w:r w:rsidRPr="000014C1">
              <w:t>, 2017</w:t>
            </w:r>
            <w:r w:rsidRPr="000014C1">
              <w:noBreakHyphen/>
              <w:t xml:space="preserve">18, Cat. no. 5204.0, tables 1, 5, 15, 46 and 58); ABS (2018, </w:t>
            </w:r>
            <w:r w:rsidRPr="000014C1">
              <w:rPr>
                <w:i/>
                <w:iCs/>
              </w:rPr>
              <w:t>Estimates of Industry Multifactor Productivity</w:t>
            </w:r>
            <w:r w:rsidRPr="000014C1">
              <w:t>, 2017</w:t>
            </w:r>
            <w:r w:rsidRPr="000014C1">
              <w:noBreakHyphen/>
              <w:t>18, Cat. no. 5260.0.55.002, tables 1, 6 and 14); ABS (</w:t>
            </w:r>
            <w:r w:rsidRPr="000014C1">
              <w:rPr>
                <w:i/>
                <w:iCs/>
              </w:rPr>
              <w:t>Labour Force, Australia, Detailed, Quarterly</w:t>
            </w:r>
            <w:r w:rsidRPr="000014C1">
              <w:t xml:space="preserve">, </w:t>
            </w:r>
            <w:r w:rsidR="0082415A">
              <w:t>Cat. no. </w:t>
            </w:r>
            <w:r w:rsidR="0082415A" w:rsidRPr="000014C1">
              <w:t>6291.0.55.003</w:t>
            </w:r>
            <w:r w:rsidR="0082415A">
              <w:t xml:space="preserve">, </w:t>
            </w:r>
            <w:r w:rsidRPr="000014C1">
              <w:t>Aug 2018, table</w:t>
            </w:r>
            <w:r>
              <w:t> </w:t>
            </w:r>
            <w:r w:rsidRPr="000014C1">
              <w:t>11); and ABS (unpublished data).</w:t>
            </w:r>
          </w:p>
        </w:tc>
      </w:tr>
      <w:tr w:rsidR="002B2A31" w14:paraId="4E78D760" w14:textId="77777777" w:rsidTr="00CC0374">
        <w:tc>
          <w:tcPr>
            <w:tcW w:w="5000" w:type="pct"/>
            <w:tcBorders>
              <w:top w:val="nil"/>
              <w:left w:val="nil"/>
              <w:bottom w:val="single" w:sz="6" w:space="0" w:color="78A22F"/>
              <w:right w:val="nil"/>
            </w:tcBorders>
            <w:shd w:val="clear" w:color="auto" w:fill="auto"/>
          </w:tcPr>
          <w:p w14:paraId="3B914109" w14:textId="77777777" w:rsidR="002B2A31" w:rsidRDefault="002B2A31" w:rsidP="00CC0374">
            <w:pPr>
              <w:pStyle w:val="Box"/>
              <w:spacing w:before="0" w:line="120" w:lineRule="exact"/>
            </w:pPr>
          </w:p>
        </w:tc>
      </w:tr>
      <w:tr w:rsidR="002B2A31" w:rsidRPr="000863A5" w14:paraId="3DE6BE41" w14:textId="77777777" w:rsidTr="00CC0374">
        <w:tc>
          <w:tcPr>
            <w:tcW w:w="5000" w:type="pct"/>
            <w:tcBorders>
              <w:top w:val="single" w:sz="6" w:space="0" w:color="78A22F"/>
              <w:left w:val="nil"/>
              <w:bottom w:val="nil"/>
              <w:right w:val="nil"/>
            </w:tcBorders>
          </w:tcPr>
          <w:p w14:paraId="0CEB674D" w14:textId="77777777" w:rsidR="002B2A31" w:rsidRPr="00626D32" w:rsidRDefault="002B2A31" w:rsidP="00CC0374">
            <w:pPr>
              <w:pStyle w:val="BoxSpaceBelow"/>
            </w:pPr>
          </w:p>
        </w:tc>
      </w:tr>
    </w:tbl>
    <w:p w14:paraId="581D8FD0" w14:textId="77777777" w:rsidR="002B2A31" w:rsidRDefault="002B2A31" w:rsidP="002B2A3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B2A31" w14:paraId="101EE9F7" w14:textId="77777777" w:rsidTr="00CC0374">
        <w:trPr>
          <w:tblHeader/>
        </w:trPr>
        <w:tc>
          <w:tcPr>
            <w:tcW w:w="5000" w:type="pct"/>
            <w:tcBorders>
              <w:top w:val="single" w:sz="6" w:space="0" w:color="78A22F"/>
              <w:left w:val="nil"/>
              <w:bottom w:val="nil"/>
              <w:right w:val="nil"/>
            </w:tcBorders>
            <w:shd w:val="clear" w:color="auto" w:fill="auto"/>
          </w:tcPr>
          <w:p w14:paraId="0123145B" w14:textId="6F420DD8" w:rsidR="002B2A31" w:rsidRDefault="002B2A31" w:rsidP="00CC0374">
            <w:pPr>
              <w:pStyle w:val="TableTitle"/>
            </w:pPr>
            <w:r>
              <w:rPr>
                <w:b w:val="0"/>
              </w:rPr>
              <w:t xml:space="preserve">Table </w:t>
            </w:r>
            <w:r w:rsidR="00A73986">
              <w:rPr>
                <w:b w:val="0"/>
                <w:noProof/>
              </w:rPr>
              <w:t>2</w:t>
            </w:r>
            <w:r>
              <w:tab/>
            </w:r>
            <w:r w:rsidRPr="00B26A51">
              <w:t>In</w:t>
            </w:r>
            <w:r>
              <w:t>dustry productivity growth, 2018</w:t>
            </w:r>
            <w:r>
              <w:noBreakHyphen/>
              <w:t>19</w:t>
            </w:r>
            <w:r w:rsidR="00D128CD" w:rsidRPr="005310C7">
              <w:rPr>
                <w:rStyle w:val="NoteLabel"/>
                <w:b/>
                <w:position w:val="10"/>
              </w:rPr>
              <w:t>a</w:t>
            </w:r>
          </w:p>
          <w:p w14:paraId="39D088DA" w14:textId="77777777" w:rsidR="002B2A31" w:rsidRPr="00784A05" w:rsidRDefault="002B2A31" w:rsidP="00CC0374">
            <w:pPr>
              <w:pStyle w:val="Subtitle"/>
            </w:pPr>
            <w:r>
              <w:t>Per cent</w:t>
            </w:r>
          </w:p>
        </w:tc>
      </w:tr>
      <w:tr w:rsidR="002B2A31" w14:paraId="267BCEE9" w14:textId="77777777" w:rsidTr="00CC037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29"/>
              <w:gridCol w:w="1140"/>
              <w:gridCol w:w="1082"/>
              <w:gridCol w:w="1187"/>
              <w:gridCol w:w="1180"/>
              <w:gridCol w:w="1087"/>
            </w:tblGrid>
            <w:tr w:rsidR="002B2A31" w14:paraId="2549F5D2" w14:textId="77777777" w:rsidTr="00C64421">
              <w:trPr>
                <w:tblHeader/>
              </w:trPr>
              <w:tc>
                <w:tcPr>
                  <w:tcW w:w="1663" w:type="pct"/>
                  <w:tcBorders>
                    <w:top w:val="single" w:sz="6" w:space="0" w:color="BFBFBF"/>
                  </w:tcBorders>
                  <w:shd w:val="clear" w:color="auto" w:fill="auto"/>
                  <w:tcMar>
                    <w:top w:w="28" w:type="dxa"/>
                  </w:tcMar>
                </w:tcPr>
                <w:p w14:paraId="0D0274B6" w14:textId="77777777" w:rsidR="002B2A31" w:rsidRPr="00A945FD" w:rsidRDefault="002B2A31" w:rsidP="00CC0374">
                  <w:pPr>
                    <w:pStyle w:val="TableColumnHeading"/>
                    <w:jc w:val="left"/>
                    <w:rPr>
                      <w:b/>
                      <w:i w:val="0"/>
                    </w:rPr>
                  </w:pPr>
                </w:p>
              </w:tc>
              <w:tc>
                <w:tcPr>
                  <w:tcW w:w="670" w:type="pct"/>
                  <w:tcBorders>
                    <w:top w:val="single" w:sz="6" w:space="0" w:color="BFBFBF"/>
                    <w:bottom w:val="single" w:sz="4" w:space="0" w:color="BFBFBF"/>
                  </w:tcBorders>
                </w:tcPr>
                <w:p w14:paraId="324424A3" w14:textId="77777777" w:rsidR="002B2A31" w:rsidRPr="007A6FE7" w:rsidRDefault="002B2A31" w:rsidP="00CC0374">
                  <w:pPr>
                    <w:pStyle w:val="TableColumnHeading"/>
                    <w:rPr>
                      <w:b/>
                      <w:i w:val="0"/>
                    </w:rPr>
                  </w:pPr>
                  <w:r w:rsidRPr="007A6FE7">
                    <w:rPr>
                      <w:b/>
                      <w:i w:val="0"/>
                    </w:rPr>
                    <w:t>Output (GVA)</w:t>
                  </w:r>
                </w:p>
              </w:tc>
              <w:tc>
                <w:tcPr>
                  <w:tcW w:w="636" w:type="pct"/>
                  <w:tcBorders>
                    <w:top w:val="single" w:sz="6" w:space="0" w:color="BFBFBF"/>
                    <w:bottom w:val="single" w:sz="6" w:space="0" w:color="BFBFBF"/>
                  </w:tcBorders>
                </w:tcPr>
                <w:p w14:paraId="7B3E55BB" w14:textId="77777777" w:rsidR="002B2A31" w:rsidRPr="007A6FE7" w:rsidRDefault="002B2A31" w:rsidP="00CC0374">
                  <w:pPr>
                    <w:pStyle w:val="TableColumnHeading"/>
                    <w:rPr>
                      <w:b/>
                      <w:i w:val="0"/>
                    </w:rPr>
                  </w:pPr>
                  <w:r>
                    <w:rPr>
                      <w:b/>
                      <w:i w:val="0"/>
                    </w:rPr>
                    <w:t>Hours worked</w:t>
                  </w:r>
                  <w:r w:rsidRPr="007A6FE7">
                    <w:rPr>
                      <w:b/>
                      <w:i w:val="0"/>
                    </w:rPr>
                    <w:t xml:space="preserve"> </w:t>
                  </w:r>
                </w:p>
              </w:tc>
              <w:tc>
                <w:tcPr>
                  <w:tcW w:w="698" w:type="pct"/>
                  <w:tcBorders>
                    <w:top w:val="single" w:sz="6" w:space="0" w:color="BFBFBF"/>
                    <w:bottom w:val="single" w:sz="6" w:space="0" w:color="BFBFBF"/>
                  </w:tcBorders>
                </w:tcPr>
                <w:p w14:paraId="216BE2F1" w14:textId="77777777" w:rsidR="002B2A31" w:rsidRPr="007A6FE7" w:rsidRDefault="002B2A31" w:rsidP="00CC0374">
                  <w:pPr>
                    <w:pStyle w:val="TableColumnHeading"/>
                    <w:rPr>
                      <w:b/>
                      <w:i w:val="0"/>
                    </w:rPr>
                  </w:pPr>
                  <w:r w:rsidRPr="007A6FE7">
                    <w:rPr>
                      <w:b/>
                      <w:i w:val="0"/>
                    </w:rPr>
                    <w:t xml:space="preserve">Capital </w:t>
                  </w:r>
                  <w:r>
                    <w:rPr>
                      <w:b/>
                      <w:i w:val="0"/>
                    </w:rPr>
                    <w:t>services</w:t>
                  </w:r>
                </w:p>
              </w:tc>
              <w:tc>
                <w:tcPr>
                  <w:tcW w:w="694" w:type="pct"/>
                  <w:tcBorders>
                    <w:top w:val="single" w:sz="6" w:space="0" w:color="BFBFBF"/>
                    <w:bottom w:val="single" w:sz="6" w:space="0" w:color="BFBFBF"/>
                  </w:tcBorders>
                  <w:shd w:val="clear" w:color="auto" w:fill="auto"/>
                  <w:tcMar>
                    <w:top w:w="28" w:type="dxa"/>
                  </w:tcMar>
                </w:tcPr>
                <w:p w14:paraId="42EE02B4" w14:textId="77777777" w:rsidR="002B2A31" w:rsidRPr="007A6FE7" w:rsidRDefault="002B2A31" w:rsidP="00CC0374">
                  <w:pPr>
                    <w:pStyle w:val="TableColumnHeading"/>
                    <w:rPr>
                      <w:b/>
                      <w:i w:val="0"/>
                    </w:rPr>
                  </w:pPr>
                  <w:r w:rsidRPr="007A6FE7">
                    <w:rPr>
                      <w:b/>
                      <w:i w:val="0"/>
                    </w:rPr>
                    <w:t>Labour productivity</w:t>
                  </w:r>
                </w:p>
              </w:tc>
              <w:tc>
                <w:tcPr>
                  <w:tcW w:w="639" w:type="pct"/>
                  <w:tcBorders>
                    <w:top w:val="single" w:sz="6" w:space="0" w:color="BFBFBF"/>
                    <w:bottom w:val="single" w:sz="6" w:space="0" w:color="BFBFBF"/>
                  </w:tcBorders>
                  <w:shd w:val="clear" w:color="auto" w:fill="auto"/>
                  <w:tcMar>
                    <w:top w:w="28" w:type="dxa"/>
                  </w:tcMar>
                </w:tcPr>
                <w:p w14:paraId="3FEA9459" w14:textId="77777777" w:rsidR="002B2A31" w:rsidRPr="007A6FE7" w:rsidRDefault="002B2A31" w:rsidP="00CC0374">
                  <w:pPr>
                    <w:pStyle w:val="TableColumnHeading"/>
                    <w:ind w:right="28"/>
                    <w:rPr>
                      <w:b/>
                      <w:i w:val="0"/>
                    </w:rPr>
                  </w:pPr>
                  <w:r w:rsidRPr="007A6FE7">
                    <w:rPr>
                      <w:b/>
                      <w:i w:val="0"/>
                    </w:rPr>
                    <w:t>MFP</w:t>
                  </w:r>
                </w:p>
              </w:tc>
            </w:tr>
            <w:tr w:rsidR="002B2A31" w14:paraId="651703CF" w14:textId="77777777" w:rsidTr="00C64421">
              <w:trPr>
                <w:tblHeader/>
              </w:trPr>
              <w:tc>
                <w:tcPr>
                  <w:tcW w:w="2333" w:type="pct"/>
                  <w:gridSpan w:val="2"/>
                  <w:tcBorders>
                    <w:bottom w:val="single" w:sz="6" w:space="0" w:color="BFBFBF"/>
                  </w:tcBorders>
                  <w:shd w:val="clear" w:color="auto" w:fill="auto"/>
                  <w:tcMar>
                    <w:top w:w="28" w:type="dxa"/>
                  </w:tcMar>
                </w:tcPr>
                <w:p w14:paraId="21684AD0" w14:textId="77777777" w:rsidR="002B2A31" w:rsidRDefault="002B2A31" w:rsidP="00CC0374">
                  <w:pPr>
                    <w:pStyle w:val="TableColumnHeading"/>
                    <w:jc w:val="left"/>
                  </w:pPr>
                  <w:r w:rsidRPr="00A945FD">
                    <w:rPr>
                      <w:b/>
                      <w:i w:val="0"/>
                    </w:rPr>
                    <w:t>Market sector (16 industries)</w:t>
                  </w:r>
                </w:p>
              </w:tc>
              <w:tc>
                <w:tcPr>
                  <w:tcW w:w="636" w:type="pct"/>
                  <w:tcBorders>
                    <w:top w:val="single" w:sz="6" w:space="0" w:color="BFBFBF"/>
                    <w:bottom w:val="single" w:sz="6" w:space="0" w:color="BFBFBF"/>
                  </w:tcBorders>
                </w:tcPr>
                <w:p w14:paraId="390AD904" w14:textId="77777777" w:rsidR="002B2A31" w:rsidRDefault="002B2A31" w:rsidP="00CC0374">
                  <w:pPr>
                    <w:pStyle w:val="TableColumnHeading"/>
                  </w:pPr>
                </w:p>
              </w:tc>
              <w:tc>
                <w:tcPr>
                  <w:tcW w:w="698" w:type="pct"/>
                  <w:tcBorders>
                    <w:top w:val="single" w:sz="6" w:space="0" w:color="BFBFBF"/>
                    <w:bottom w:val="single" w:sz="6" w:space="0" w:color="BFBFBF"/>
                  </w:tcBorders>
                </w:tcPr>
                <w:p w14:paraId="703444EB" w14:textId="77777777" w:rsidR="002B2A31" w:rsidRPr="00370B57" w:rsidRDefault="002B2A31" w:rsidP="00CC0374">
                  <w:pPr>
                    <w:pStyle w:val="TableColumnHeading"/>
                    <w:rPr>
                      <w:i w:val="0"/>
                    </w:rPr>
                  </w:pPr>
                </w:p>
              </w:tc>
              <w:tc>
                <w:tcPr>
                  <w:tcW w:w="694" w:type="pct"/>
                  <w:tcBorders>
                    <w:top w:val="single" w:sz="6" w:space="0" w:color="BFBFBF"/>
                    <w:bottom w:val="single" w:sz="6" w:space="0" w:color="BFBFBF"/>
                  </w:tcBorders>
                  <w:shd w:val="clear" w:color="auto" w:fill="auto"/>
                  <w:tcMar>
                    <w:top w:w="28" w:type="dxa"/>
                  </w:tcMar>
                </w:tcPr>
                <w:p w14:paraId="2044DCBD" w14:textId="77777777" w:rsidR="002B2A31" w:rsidRDefault="002B2A31" w:rsidP="00CC0374">
                  <w:pPr>
                    <w:pStyle w:val="TableColumnHeading"/>
                  </w:pPr>
                </w:p>
              </w:tc>
              <w:tc>
                <w:tcPr>
                  <w:tcW w:w="639" w:type="pct"/>
                  <w:tcBorders>
                    <w:top w:val="single" w:sz="6" w:space="0" w:color="BFBFBF"/>
                    <w:bottom w:val="single" w:sz="6" w:space="0" w:color="BFBFBF"/>
                  </w:tcBorders>
                  <w:shd w:val="clear" w:color="auto" w:fill="auto"/>
                  <w:tcMar>
                    <w:top w:w="28" w:type="dxa"/>
                  </w:tcMar>
                </w:tcPr>
                <w:p w14:paraId="0CD511C2" w14:textId="77777777" w:rsidR="002B2A31" w:rsidRPr="00370B57" w:rsidRDefault="002B2A31" w:rsidP="00CC0374">
                  <w:pPr>
                    <w:pStyle w:val="TableColumnHeading"/>
                    <w:ind w:right="28"/>
                    <w:rPr>
                      <w:i w:val="0"/>
                    </w:rPr>
                  </w:pPr>
                </w:p>
              </w:tc>
            </w:tr>
            <w:tr w:rsidR="00862BC2" w14:paraId="409542FE" w14:textId="77777777" w:rsidTr="00CC0374">
              <w:tc>
                <w:tcPr>
                  <w:tcW w:w="1663" w:type="pct"/>
                </w:tcPr>
                <w:p w14:paraId="3EFA0F37" w14:textId="77777777" w:rsidR="00862BC2" w:rsidRDefault="00862BC2" w:rsidP="00C64421">
                  <w:pPr>
                    <w:pStyle w:val="TableBodyText"/>
                    <w:spacing w:before="80"/>
                    <w:jc w:val="left"/>
                  </w:pPr>
                  <w:r w:rsidRPr="00A53C74">
                    <w:t>Agriculture, forestry and fishing</w:t>
                  </w:r>
                </w:p>
              </w:tc>
              <w:tc>
                <w:tcPr>
                  <w:tcW w:w="670" w:type="pct"/>
                </w:tcPr>
                <w:p w14:paraId="1A2683DB" w14:textId="5F20F16C" w:rsidR="00862BC2" w:rsidRDefault="00862BC2" w:rsidP="00C64421">
                  <w:pPr>
                    <w:pStyle w:val="TableBodyText"/>
                    <w:spacing w:before="80"/>
                  </w:pPr>
                  <w:r w:rsidRPr="000044DF">
                    <w:t>-10.4</w:t>
                  </w:r>
                </w:p>
              </w:tc>
              <w:tc>
                <w:tcPr>
                  <w:tcW w:w="636" w:type="pct"/>
                </w:tcPr>
                <w:p w14:paraId="529D17FD" w14:textId="1A1D3624" w:rsidR="00862BC2" w:rsidRDefault="00862BC2" w:rsidP="00C64421">
                  <w:pPr>
                    <w:pStyle w:val="TableBodyText"/>
                    <w:spacing w:before="80"/>
                  </w:pPr>
                  <w:r w:rsidRPr="000044DF">
                    <w:t>-0.4</w:t>
                  </w:r>
                </w:p>
              </w:tc>
              <w:tc>
                <w:tcPr>
                  <w:tcW w:w="698" w:type="pct"/>
                </w:tcPr>
                <w:p w14:paraId="6FAE1DEC" w14:textId="7C9C310C" w:rsidR="00862BC2" w:rsidRDefault="00862BC2" w:rsidP="00C64421">
                  <w:pPr>
                    <w:pStyle w:val="TableBodyText"/>
                    <w:spacing w:before="80"/>
                  </w:pPr>
                  <w:r w:rsidRPr="000044DF">
                    <w:t>-0.8</w:t>
                  </w:r>
                </w:p>
              </w:tc>
              <w:tc>
                <w:tcPr>
                  <w:tcW w:w="694" w:type="pct"/>
                </w:tcPr>
                <w:p w14:paraId="05BEDED9" w14:textId="56A885EC" w:rsidR="00862BC2" w:rsidRDefault="00862BC2" w:rsidP="00C64421">
                  <w:pPr>
                    <w:pStyle w:val="TableBodyText"/>
                    <w:spacing w:before="80"/>
                  </w:pPr>
                  <w:r w:rsidRPr="000044DF">
                    <w:t>-10.1</w:t>
                  </w:r>
                </w:p>
              </w:tc>
              <w:tc>
                <w:tcPr>
                  <w:tcW w:w="639" w:type="pct"/>
                </w:tcPr>
                <w:p w14:paraId="0677E4E8" w14:textId="6DE8266B" w:rsidR="00862BC2" w:rsidRDefault="00862BC2" w:rsidP="00C64421">
                  <w:pPr>
                    <w:pStyle w:val="TableBodyText"/>
                    <w:spacing w:before="80"/>
                    <w:ind w:right="28"/>
                  </w:pPr>
                  <w:r w:rsidRPr="00C24E2E">
                    <w:t>-9.8</w:t>
                  </w:r>
                </w:p>
              </w:tc>
            </w:tr>
            <w:tr w:rsidR="00862BC2" w14:paraId="5D691A43" w14:textId="77777777" w:rsidTr="00CC0374">
              <w:tc>
                <w:tcPr>
                  <w:tcW w:w="1663" w:type="pct"/>
                </w:tcPr>
                <w:p w14:paraId="3937D248" w14:textId="77777777" w:rsidR="00862BC2" w:rsidRDefault="00862BC2" w:rsidP="00862BC2">
                  <w:pPr>
                    <w:pStyle w:val="TableBodyText"/>
                    <w:jc w:val="left"/>
                  </w:pPr>
                  <w:r w:rsidRPr="00A53C74">
                    <w:t>Mining</w:t>
                  </w:r>
                </w:p>
              </w:tc>
              <w:tc>
                <w:tcPr>
                  <w:tcW w:w="670" w:type="pct"/>
                </w:tcPr>
                <w:p w14:paraId="2D8ADCFD" w14:textId="546ED445" w:rsidR="00862BC2" w:rsidRDefault="00862BC2" w:rsidP="00862BC2">
                  <w:pPr>
                    <w:pStyle w:val="TableBodyText"/>
                  </w:pPr>
                  <w:r w:rsidRPr="000044DF">
                    <w:t>6.1</w:t>
                  </w:r>
                </w:p>
              </w:tc>
              <w:tc>
                <w:tcPr>
                  <w:tcW w:w="636" w:type="pct"/>
                </w:tcPr>
                <w:p w14:paraId="434C9EAA" w14:textId="2F4CC28C" w:rsidR="00862BC2" w:rsidRDefault="00862BC2" w:rsidP="00862BC2">
                  <w:pPr>
                    <w:pStyle w:val="TableBodyText"/>
                  </w:pPr>
                  <w:r w:rsidRPr="000044DF">
                    <w:t>8.2</w:t>
                  </w:r>
                </w:p>
              </w:tc>
              <w:tc>
                <w:tcPr>
                  <w:tcW w:w="698" w:type="pct"/>
                </w:tcPr>
                <w:p w14:paraId="6D6FC7E8" w14:textId="05CA38D6" w:rsidR="00862BC2" w:rsidRDefault="00862BC2" w:rsidP="00862BC2">
                  <w:pPr>
                    <w:pStyle w:val="TableBodyText"/>
                  </w:pPr>
                  <w:r w:rsidRPr="000044DF">
                    <w:t>1.0</w:t>
                  </w:r>
                </w:p>
              </w:tc>
              <w:tc>
                <w:tcPr>
                  <w:tcW w:w="694" w:type="pct"/>
                </w:tcPr>
                <w:p w14:paraId="7454FB8D" w14:textId="3ECE9DDA" w:rsidR="00862BC2" w:rsidRDefault="00862BC2" w:rsidP="00862BC2">
                  <w:pPr>
                    <w:pStyle w:val="TableBodyText"/>
                  </w:pPr>
                  <w:r w:rsidRPr="000044DF">
                    <w:t>-2.0</w:t>
                  </w:r>
                </w:p>
              </w:tc>
              <w:tc>
                <w:tcPr>
                  <w:tcW w:w="639" w:type="pct"/>
                </w:tcPr>
                <w:p w14:paraId="7B433C31" w14:textId="4B3D7D22" w:rsidR="00862BC2" w:rsidRDefault="00862BC2" w:rsidP="00862BC2">
                  <w:pPr>
                    <w:pStyle w:val="TableBodyText"/>
                    <w:ind w:right="28"/>
                  </w:pPr>
                  <w:r w:rsidRPr="00C24E2E">
                    <w:t>3.8</w:t>
                  </w:r>
                </w:p>
              </w:tc>
            </w:tr>
            <w:tr w:rsidR="00862BC2" w14:paraId="7C4E4082" w14:textId="77777777" w:rsidTr="00CC0374">
              <w:tc>
                <w:tcPr>
                  <w:tcW w:w="1663" w:type="pct"/>
                </w:tcPr>
                <w:p w14:paraId="24215CED" w14:textId="77777777" w:rsidR="00862BC2" w:rsidRDefault="00862BC2" w:rsidP="00862BC2">
                  <w:pPr>
                    <w:pStyle w:val="TableBodyText"/>
                    <w:jc w:val="left"/>
                  </w:pPr>
                  <w:r w:rsidRPr="00A53C74">
                    <w:t>Manufacturing</w:t>
                  </w:r>
                </w:p>
              </w:tc>
              <w:tc>
                <w:tcPr>
                  <w:tcW w:w="670" w:type="pct"/>
                </w:tcPr>
                <w:p w14:paraId="2EF6A8BF" w14:textId="39975F85" w:rsidR="00862BC2" w:rsidRDefault="00862BC2" w:rsidP="00862BC2">
                  <w:pPr>
                    <w:pStyle w:val="TableBodyText"/>
                  </w:pPr>
                  <w:r w:rsidRPr="000044DF">
                    <w:t>-1.5</w:t>
                  </w:r>
                </w:p>
              </w:tc>
              <w:tc>
                <w:tcPr>
                  <w:tcW w:w="636" w:type="pct"/>
                </w:tcPr>
                <w:p w14:paraId="47B46727" w14:textId="2C8B7C02" w:rsidR="00862BC2" w:rsidRDefault="00862BC2" w:rsidP="00862BC2">
                  <w:pPr>
                    <w:pStyle w:val="TableBodyText"/>
                  </w:pPr>
                  <w:r w:rsidRPr="000044DF">
                    <w:t>-0.5</w:t>
                  </w:r>
                </w:p>
              </w:tc>
              <w:tc>
                <w:tcPr>
                  <w:tcW w:w="698" w:type="pct"/>
                </w:tcPr>
                <w:p w14:paraId="6EE60CBF" w14:textId="5875CF2D" w:rsidR="00862BC2" w:rsidRDefault="00862BC2" w:rsidP="00862BC2">
                  <w:pPr>
                    <w:pStyle w:val="TableBodyText"/>
                  </w:pPr>
                  <w:r w:rsidRPr="000044DF">
                    <w:t>-0.7</w:t>
                  </w:r>
                </w:p>
              </w:tc>
              <w:tc>
                <w:tcPr>
                  <w:tcW w:w="694" w:type="pct"/>
                </w:tcPr>
                <w:p w14:paraId="0A83E377" w14:textId="3CA1193E" w:rsidR="00862BC2" w:rsidRDefault="00862BC2" w:rsidP="00862BC2">
                  <w:pPr>
                    <w:pStyle w:val="TableBodyText"/>
                  </w:pPr>
                  <w:r w:rsidRPr="000044DF">
                    <w:t>-1.0</w:t>
                  </w:r>
                </w:p>
              </w:tc>
              <w:tc>
                <w:tcPr>
                  <w:tcW w:w="639" w:type="pct"/>
                </w:tcPr>
                <w:p w14:paraId="00BA0B40" w14:textId="54EA45EC" w:rsidR="00862BC2" w:rsidRDefault="00862BC2" w:rsidP="00862BC2">
                  <w:pPr>
                    <w:pStyle w:val="TableBodyText"/>
                    <w:ind w:right="28"/>
                  </w:pPr>
                  <w:r w:rsidRPr="00C24E2E">
                    <w:t>-0.9</w:t>
                  </w:r>
                </w:p>
              </w:tc>
            </w:tr>
            <w:tr w:rsidR="00862BC2" w14:paraId="217F0CB3" w14:textId="77777777" w:rsidTr="00CC0374">
              <w:tc>
                <w:tcPr>
                  <w:tcW w:w="1663" w:type="pct"/>
                </w:tcPr>
                <w:p w14:paraId="610DA626" w14:textId="77777777" w:rsidR="00862BC2" w:rsidRDefault="00862BC2" w:rsidP="00862BC2">
                  <w:pPr>
                    <w:pStyle w:val="TableBodyText"/>
                    <w:jc w:val="left"/>
                  </w:pPr>
                  <w:r w:rsidRPr="00A53C74">
                    <w:t>Electricity, gas, water and waste services</w:t>
                  </w:r>
                </w:p>
              </w:tc>
              <w:tc>
                <w:tcPr>
                  <w:tcW w:w="670" w:type="pct"/>
                </w:tcPr>
                <w:p w14:paraId="63ABECF9" w14:textId="6CAEB39C" w:rsidR="00862BC2" w:rsidRDefault="00862BC2" w:rsidP="00862BC2">
                  <w:pPr>
                    <w:pStyle w:val="TableBodyText"/>
                  </w:pPr>
                  <w:r w:rsidRPr="000044DF">
                    <w:t>0.3</w:t>
                  </w:r>
                </w:p>
              </w:tc>
              <w:tc>
                <w:tcPr>
                  <w:tcW w:w="636" w:type="pct"/>
                </w:tcPr>
                <w:p w14:paraId="55AEFF3F" w14:textId="37CEE6F4" w:rsidR="00862BC2" w:rsidRDefault="00862BC2" w:rsidP="00862BC2">
                  <w:pPr>
                    <w:pStyle w:val="TableBodyText"/>
                  </w:pPr>
                  <w:r w:rsidRPr="000044DF">
                    <w:t>3.0</w:t>
                  </w:r>
                </w:p>
              </w:tc>
              <w:tc>
                <w:tcPr>
                  <w:tcW w:w="698" w:type="pct"/>
                </w:tcPr>
                <w:p w14:paraId="3582F837" w14:textId="7BE185EE" w:rsidR="00862BC2" w:rsidRDefault="00862BC2" w:rsidP="00862BC2">
                  <w:pPr>
                    <w:pStyle w:val="TableBodyText"/>
                  </w:pPr>
                  <w:r w:rsidRPr="000044DF">
                    <w:t>2.7</w:t>
                  </w:r>
                </w:p>
              </w:tc>
              <w:tc>
                <w:tcPr>
                  <w:tcW w:w="694" w:type="pct"/>
                </w:tcPr>
                <w:p w14:paraId="7C793822" w14:textId="34DC48B7" w:rsidR="00862BC2" w:rsidRDefault="00862BC2" w:rsidP="00862BC2">
                  <w:pPr>
                    <w:pStyle w:val="TableBodyText"/>
                  </w:pPr>
                  <w:r w:rsidRPr="000044DF">
                    <w:t>-2.6</w:t>
                  </w:r>
                </w:p>
              </w:tc>
              <w:tc>
                <w:tcPr>
                  <w:tcW w:w="639" w:type="pct"/>
                </w:tcPr>
                <w:p w14:paraId="516B6E9B" w14:textId="409DB678" w:rsidR="00862BC2" w:rsidRDefault="00862BC2" w:rsidP="00862BC2">
                  <w:pPr>
                    <w:pStyle w:val="TableBodyText"/>
                    <w:ind w:right="28"/>
                  </w:pPr>
                  <w:r w:rsidRPr="00C24E2E">
                    <w:t>-2.4</w:t>
                  </w:r>
                </w:p>
              </w:tc>
            </w:tr>
            <w:tr w:rsidR="00862BC2" w14:paraId="6E92B3E8" w14:textId="77777777" w:rsidTr="00CC0374">
              <w:tc>
                <w:tcPr>
                  <w:tcW w:w="1663" w:type="pct"/>
                </w:tcPr>
                <w:p w14:paraId="2216E115" w14:textId="77777777" w:rsidR="00862BC2" w:rsidRDefault="00862BC2" w:rsidP="00862BC2">
                  <w:pPr>
                    <w:pStyle w:val="TableBodyText"/>
                    <w:jc w:val="left"/>
                  </w:pPr>
                  <w:r w:rsidRPr="00A53C74">
                    <w:t>Construction</w:t>
                  </w:r>
                </w:p>
              </w:tc>
              <w:tc>
                <w:tcPr>
                  <w:tcW w:w="670" w:type="pct"/>
                </w:tcPr>
                <w:p w14:paraId="62C5A2FE" w14:textId="490AE1B3" w:rsidR="00862BC2" w:rsidRDefault="00862BC2" w:rsidP="00862BC2">
                  <w:pPr>
                    <w:pStyle w:val="TableBodyText"/>
                  </w:pPr>
                  <w:r w:rsidRPr="000044DF">
                    <w:t>-3.4</w:t>
                  </w:r>
                </w:p>
              </w:tc>
              <w:tc>
                <w:tcPr>
                  <w:tcW w:w="636" w:type="pct"/>
                </w:tcPr>
                <w:p w14:paraId="530AC53C" w14:textId="1D1AAE93" w:rsidR="00862BC2" w:rsidRDefault="00862BC2" w:rsidP="00862BC2">
                  <w:pPr>
                    <w:pStyle w:val="TableBodyText"/>
                  </w:pPr>
                  <w:r w:rsidRPr="000044DF">
                    <w:t>-0.9</w:t>
                  </w:r>
                </w:p>
              </w:tc>
              <w:tc>
                <w:tcPr>
                  <w:tcW w:w="698" w:type="pct"/>
                </w:tcPr>
                <w:p w14:paraId="5F3D7C44" w14:textId="0079CF41" w:rsidR="00862BC2" w:rsidRDefault="00862BC2" w:rsidP="00862BC2">
                  <w:pPr>
                    <w:pStyle w:val="TableBodyText"/>
                  </w:pPr>
                  <w:r w:rsidRPr="000044DF">
                    <w:t>3.6</w:t>
                  </w:r>
                </w:p>
              </w:tc>
              <w:tc>
                <w:tcPr>
                  <w:tcW w:w="694" w:type="pct"/>
                </w:tcPr>
                <w:p w14:paraId="54D52501" w14:textId="0545DA1A" w:rsidR="00862BC2" w:rsidRDefault="00862BC2" w:rsidP="00862BC2">
                  <w:pPr>
                    <w:pStyle w:val="TableBodyText"/>
                  </w:pPr>
                  <w:r w:rsidRPr="000044DF">
                    <w:t>-2.6</w:t>
                  </w:r>
                </w:p>
              </w:tc>
              <w:tc>
                <w:tcPr>
                  <w:tcW w:w="639" w:type="pct"/>
                </w:tcPr>
                <w:p w14:paraId="0FF96B36" w14:textId="7F292F18" w:rsidR="00862BC2" w:rsidRDefault="00862BC2" w:rsidP="00862BC2">
                  <w:pPr>
                    <w:pStyle w:val="TableBodyText"/>
                    <w:ind w:right="28"/>
                  </w:pPr>
                  <w:r w:rsidRPr="00C24E2E">
                    <w:t>-4.0</w:t>
                  </w:r>
                </w:p>
              </w:tc>
            </w:tr>
            <w:tr w:rsidR="00862BC2" w14:paraId="43E14935" w14:textId="77777777" w:rsidTr="00CC0374">
              <w:tc>
                <w:tcPr>
                  <w:tcW w:w="1663" w:type="pct"/>
                </w:tcPr>
                <w:p w14:paraId="0D0CBB74" w14:textId="77777777" w:rsidR="00862BC2" w:rsidRDefault="00862BC2" w:rsidP="00862BC2">
                  <w:pPr>
                    <w:pStyle w:val="TableBodyText"/>
                    <w:jc w:val="left"/>
                  </w:pPr>
                  <w:r w:rsidRPr="00A53C74">
                    <w:t>Wholesale trade</w:t>
                  </w:r>
                </w:p>
              </w:tc>
              <w:tc>
                <w:tcPr>
                  <w:tcW w:w="670" w:type="pct"/>
                </w:tcPr>
                <w:p w14:paraId="3C800178" w14:textId="429A3105" w:rsidR="00862BC2" w:rsidRDefault="00862BC2" w:rsidP="00862BC2">
                  <w:pPr>
                    <w:pStyle w:val="TableBodyText"/>
                  </w:pPr>
                  <w:r w:rsidRPr="000044DF">
                    <w:t>1.1</w:t>
                  </w:r>
                </w:p>
              </w:tc>
              <w:tc>
                <w:tcPr>
                  <w:tcW w:w="636" w:type="pct"/>
                </w:tcPr>
                <w:p w14:paraId="15C53881" w14:textId="221E82D2" w:rsidR="00862BC2" w:rsidRDefault="00862BC2" w:rsidP="00862BC2">
                  <w:pPr>
                    <w:pStyle w:val="TableBodyText"/>
                  </w:pPr>
                  <w:r w:rsidRPr="000044DF">
                    <w:t>5.5</w:t>
                  </w:r>
                </w:p>
              </w:tc>
              <w:tc>
                <w:tcPr>
                  <w:tcW w:w="698" w:type="pct"/>
                </w:tcPr>
                <w:p w14:paraId="4A157385" w14:textId="5893EA35" w:rsidR="00862BC2" w:rsidRDefault="00862BC2" w:rsidP="00862BC2">
                  <w:pPr>
                    <w:pStyle w:val="TableBodyText"/>
                  </w:pPr>
                  <w:r w:rsidRPr="000044DF">
                    <w:t>1.1</w:t>
                  </w:r>
                </w:p>
              </w:tc>
              <w:tc>
                <w:tcPr>
                  <w:tcW w:w="694" w:type="pct"/>
                </w:tcPr>
                <w:p w14:paraId="33FD9A2C" w14:textId="5F8AAD88" w:rsidR="00862BC2" w:rsidRDefault="00862BC2" w:rsidP="00862BC2">
                  <w:pPr>
                    <w:pStyle w:val="TableBodyText"/>
                  </w:pPr>
                  <w:r w:rsidRPr="000044DF">
                    <w:t>-4.1</w:t>
                  </w:r>
                </w:p>
              </w:tc>
              <w:tc>
                <w:tcPr>
                  <w:tcW w:w="639" w:type="pct"/>
                </w:tcPr>
                <w:p w14:paraId="23105032" w14:textId="3771473D" w:rsidR="00862BC2" w:rsidRDefault="00862BC2" w:rsidP="00862BC2">
                  <w:pPr>
                    <w:pStyle w:val="TableBodyText"/>
                    <w:ind w:right="28"/>
                  </w:pPr>
                  <w:r w:rsidRPr="00C24E2E">
                    <w:t>-2.7</w:t>
                  </w:r>
                </w:p>
              </w:tc>
            </w:tr>
            <w:tr w:rsidR="00862BC2" w14:paraId="21DB653F" w14:textId="77777777" w:rsidTr="00CC0374">
              <w:tc>
                <w:tcPr>
                  <w:tcW w:w="1663" w:type="pct"/>
                </w:tcPr>
                <w:p w14:paraId="34C25530" w14:textId="77777777" w:rsidR="00862BC2" w:rsidRDefault="00862BC2" w:rsidP="00862BC2">
                  <w:pPr>
                    <w:pStyle w:val="TableBodyText"/>
                    <w:jc w:val="left"/>
                  </w:pPr>
                  <w:r w:rsidRPr="00A53C74">
                    <w:t>Retail trade</w:t>
                  </w:r>
                </w:p>
              </w:tc>
              <w:tc>
                <w:tcPr>
                  <w:tcW w:w="670" w:type="pct"/>
                </w:tcPr>
                <w:p w14:paraId="1E4AF199" w14:textId="6250EF56" w:rsidR="00862BC2" w:rsidRDefault="00862BC2" w:rsidP="00862BC2">
                  <w:pPr>
                    <w:pStyle w:val="TableBodyText"/>
                  </w:pPr>
                  <w:r w:rsidRPr="000044DF">
                    <w:t>1.0</w:t>
                  </w:r>
                </w:p>
              </w:tc>
              <w:tc>
                <w:tcPr>
                  <w:tcW w:w="636" w:type="pct"/>
                </w:tcPr>
                <w:p w14:paraId="3C234849" w14:textId="09259F6A" w:rsidR="00862BC2" w:rsidRDefault="00862BC2" w:rsidP="00862BC2">
                  <w:pPr>
                    <w:pStyle w:val="TableBodyText"/>
                  </w:pPr>
                  <w:r w:rsidRPr="000044DF">
                    <w:t>-2.0</w:t>
                  </w:r>
                </w:p>
              </w:tc>
              <w:tc>
                <w:tcPr>
                  <w:tcW w:w="698" w:type="pct"/>
                </w:tcPr>
                <w:p w14:paraId="3098D9DC" w14:textId="4B209061" w:rsidR="00862BC2" w:rsidRDefault="00862BC2" w:rsidP="00862BC2">
                  <w:pPr>
                    <w:pStyle w:val="TableBodyText"/>
                  </w:pPr>
                  <w:r w:rsidRPr="000044DF">
                    <w:t>3.5</w:t>
                  </w:r>
                </w:p>
              </w:tc>
              <w:tc>
                <w:tcPr>
                  <w:tcW w:w="694" w:type="pct"/>
                </w:tcPr>
                <w:p w14:paraId="72EA8F61" w14:textId="7BC6B5BC" w:rsidR="00862BC2" w:rsidRDefault="00862BC2" w:rsidP="00862BC2">
                  <w:pPr>
                    <w:pStyle w:val="TableBodyText"/>
                  </w:pPr>
                  <w:r w:rsidRPr="000044DF">
                    <w:t>3.1</w:t>
                  </w:r>
                </w:p>
              </w:tc>
              <w:tc>
                <w:tcPr>
                  <w:tcW w:w="639" w:type="pct"/>
                </w:tcPr>
                <w:p w14:paraId="2B8B80DD" w14:textId="58FCEC74" w:rsidR="00862BC2" w:rsidRDefault="00862BC2" w:rsidP="00862BC2">
                  <w:pPr>
                    <w:pStyle w:val="TableBodyText"/>
                    <w:ind w:right="28"/>
                  </w:pPr>
                  <w:r w:rsidRPr="00C24E2E">
                    <w:t>1.6</w:t>
                  </w:r>
                </w:p>
              </w:tc>
            </w:tr>
            <w:tr w:rsidR="00862BC2" w14:paraId="2E3586C7" w14:textId="77777777" w:rsidTr="00CC0374">
              <w:tc>
                <w:tcPr>
                  <w:tcW w:w="1663" w:type="pct"/>
                </w:tcPr>
                <w:p w14:paraId="78C7D5E2" w14:textId="77777777" w:rsidR="00862BC2" w:rsidRDefault="00862BC2" w:rsidP="00862BC2">
                  <w:pPr>
                    <w:pStyle w:val="TableBodyText"/>
                    <w:jc w:val="left"/>
                  </w:pPr>
                  <w:r w:rsidRPr="00A53C74">
                    <w:t>Accommodation and food services</w:t>
                  </w:r>
                </w:p>
              </w:tc>
              <w:tc>
                <w:tcPr>
                  <w:tcW w:w="670" w:type="pct"/>
                </w:tcPr>
                <w:p w14:paraId="2565418E" w14:textId="0430AE97" w:rsidR="00862BC2" w:rsidRDefault="00862BC2" w:rsidP="00862BC2">
                  <w:pPr>
                    <w:pStyle w:val="TableBodyText"/>
                  </w:pPr>
                  <w:r w:rsidRPr="000044DF">
                    <w:t>0.6</w:t>
                  </w:r>
                </w:p>
              </w:tc>
              <w:tc>
                <w:tcPr>
                  <w:tcW w:w="636" w:type="pct"/>
                </w:tcPr>
                <w:p w14:paraId="3890A134" w14:textId="4496B3B6" w:rsidR="00862BC2" w:rsidRDefault="00862BC2" w:rsidP="00862BC2">
                  <w:pPr>
                    <w:pStyle w:val="TableBodyText"/>
                  </w:pPr>
                  <w:r w:rsidRPr="000044DF">
                    <w:t>1.9</w:t>
                  </w:r>
                </w:p>
              </w:tc>
              <w:tc>
                <w:tcPr>
                  <w:tcW w:w="698" w:type="pct"/>
                </w:tcPr>
                <w:p w14:paraId="1F851FB5" w14:textId="1709347B" w:rsidR="00862BC2" w:rsidRDefault="00862BC2" w:rsidP="00862BC2">
                  <w:pPr>
                    <w:pStyle w:val="TableBodyText"/>
                  </w:pPr>
                  <w:r w:rsidRPr="000044DF">
                    <w:t>1.3</w:t>
                  </w:r>
                </w:p>
              </w:tc>
              <w:tc>
                <w:tcPr>
                  <w:tcW w:w="694" w:type="pct"/>
                </w:tcPr>
                <w:p w14:paraId="511E3819" w14:textId="42FAB9D5" w:rsidR="00862BC2" w:rsidRDefault="00862BC2" w:rsidP="00862BC2">
                  <w:pPr>
                    <w:pStyle w:val="TableBodyText"/>
                  </w:pPr>
                  <w:r w:rsidRPr="000044DF">
                    <w:t>-1.3</w:t>
                  </w:r>
                </w:p>
              </w:tc>
              <w:tc>
                <w:tcPr>
                  <w:tcW w:w="639" w:type="pct"/>
                </w:tcPr>
                <w:p w14:paraId="0F5AECA7" w14:textId="21A3E89F" w:rsidR="00862BC2" w:rsidRDefault="00862BC2" w:rsidP="00862BC2">
                  <w:pPr>
                    <w:pStyle w:val="TableBodyText"/>
                    <w:ind w:right="28"/>
                  </w:pPr>
                  <w:r w:rsidRPr="00C24E2E">
                    <w:t>-1.2</w:t>
                  </w:r>
                </w:p>
              </w:tc>
            </w:tr>
            <w:tr w:rsidR="00862BC2" w14:paraId="29298822" w14:textId="77777777" w:rsidTr="00CC0374">
              <w:tc>
                <w:tcPr>
                  <w:tcW w:w="1663" w:type="pct"/>
                </w:tcPr>
                <w:p w14:paraId="56805E67" w14:textId="77777777" w:rsidR="00862BC2" w:rsidRDefault="00862BC2" w:rsidP="00862BC2">
                  <w:pPr>
                    <w:pStyle w:val="TableBodyText"/>
                    <w:jc w:val="left"/>
                  </w:pPr>
                  <w:r w:rsidRPr="00A53C74">
                    <w:t>Transport, postal and warehousing</w:t>
                  </w:r>
                </w:p>
              </w:tc>
              <w:tc>
                <w:tcPr>
                  <w:tcW w:w="670" w:type="pct"/>
                </w:tcPr>
                <w:p w14:paraId="15B274A8" w14:textId="5871633B" w:rsidR="00862BC2" w:rsidRDefault="00862BC2" w:rsidP="00862BC2">
                  <w:pPr>
                    <w:pStyle w:val="TableBodyText"/>
                  </w:pPr>
                  <w:r w:rsidRPr="000044DF">
                    <w:t>0.1</w:t>
                  </w:r>
                </w:p>
              </w:tc>
              <w:tc>
                <w:tcPr>
                  <w:tcW w:w="636" w:type="pct"/>
                </w:tcPr>
                <w:p w14:paraId="7A31FF55" w14:textId="2E707633" w:rsidR="00862BC2" w:rsidRDefault="00862BC2" w:rsidP="00862BC2">
                  <w:pPr>
                    <w:pStyle w:val="TableBodyText"/>
                  </w:pPr>
                  <w:r w:rsidRPr="000044DF">
                    <w:t>0.0</w:t>
                  </w:r>
                </w:p>
              </w:tc>
              <w:tc>
                <w:tcPr>
                  <w:tcW w:w="698" w:type="pct"/>
                </w:tcPr>
                <w:p w14:paraId="6B1D69D2" w14:textId="7F476662" w:rsidR="00862BC2" w:rsidRDefault="00862BC2" w:rsidP="00862BC2">
                  <w:pPr>
                    <w:pStyle w:val="TableBodyText"/>
                  </w:pPr>
                  <w:r w:rsidRPr="000044DF">
                    <w:t>3.0</w:t>
                  </w:r>
                </w:p>
              </w:tc>
              <w:tc>
                <w:tcPr>
                  <w:tcW w:w="694" w:type="pct"/>
                </w:tcPr>
                <w:p w14:paraId="62718690" w14:textId="4F82FA4E" w:rsidR="00862BC2" w:rsidRDefault="00862BC2" w:rsidP="00862BC2">
                  <w:pPr>
                    <w:pStyle w:val="TableBodyText"/>
                  </w:pPr>
                  <w:r w:rsidRPr="000044DF">
                    <w:t>0.1</w:t>
                  </w:r>
                </w:p>
              </w:tc>
              <w:tc>
                <w:tcPr>
                  <w:tcW w:w="639" w:type="pct"/>
                </w:tcPr>
                <w:p w14:paraId="38442418" w14:textId="69918F7B" w:rsidR="00862BC2" w:rsidRDefault="00862BC2" w:rsidP="00862BC2">
                  <w:pPr>
                    <w:pStyle w:val="TableBodyText"/>
                    <w:ind w:right="28"/>
                  </w:pPr>
                  <w:r w:rsidRPr="00C24E2E">
                    <w:t>-1.2</w:t>
                  </w:r>
                </w:p>
              </w:tc>
            </w:tr>
            <w:tr w:rsidR="00862BC2" w14:paraId="61AA6764" w14:textId="77777777" w:rsidTr="00CC0374">
              <w:tc>
                <w:tcPr>
                  <w:tcW w:w="1663" w:type="pct"/>
                </w:tcPr>
                <w:p w14:paraId="39584AE8" w14:textId="77777777" w:rsidR="00862BC2" w:rsidRDefault="00862BC2" w:rsidP="00862BC2">
                  <w:pPr>
                    <w:pStyle w:val="TableBodyText"/>
                    <w:jc w:val="left"/>
                  </w:pPr>
                  <w:r w:rsidRPr="00A53C74">
                    <w:t>Information media and telecommunications</w:t>
                  </w:r>
                </w:p>
              </w:tc>
              <w:tc>
                <w:tcPr>
                  <w:tcW w:w="670" w:type="pct"/>
                </w:tcPr>
                <w:p w14:paraId="0B3E75DC" w14:textId="3D410343" w:rsidR="00862BC2" w:rsidRDefault="00862BC2" w:rsidP="00862BC2">
                  <w:pPr>
                    <w:pStyle w:val="TableBodyText"/>
                  </w:pPr>
                  <w:r w:rsidRPr="000044DF">
                    <w:t>2.6</w:t>
                  </w:r>
                </w:p>
              </w:tc>
              <w:tc>
                <w:tcPr>
                  <w:tcW w:w="636" w:type="pct"/>
                </w:tcPr>
                <w:p w14:paraId="763C28A6" w14:textId="2C8A64DE" w:rsidR="00862BC2" w:rsidRDefault="00862BC2" w:rsidP="00862BC2">
                  <w:pPr>
                    <w:pStyle w:val="TableBodyText"/>
                  </w:pPr>
                  <w:r w:rsidRPr="000044DF">
                    <w:t>-1.6</w:t>
                  </w:r>
                </w:p>
              </w:tc>
              <w:tc>
                <w:tcPr>
                  <w:tcW w:w="698" w:type="pct"/>
                </w:tcPr>
                <w:p w14:paraId="7CF05D30" w14:textId="11476B51" w:rsidR="00862BC2" w:rsidRDefault="00862BC2" w:rsidP="00862BC2">
                  <w:pPr>
                    <w:pStyle w:val="TableBodyText"/>
                  </w:pPr>
                  <w:r w:rsidRPr="000044DF">
                    <w:t>5.0</w:t>
                  </w:r>
                </w:p>
              </w:tc>
              <w:tc>
                <w:tcPr>
                  <w:tcW w:w="694" w:type="pct"/>
                </w:tcPr>
                <w:p w14:paraId="2C34086E" w14:textId="43364EA6" w:rsidR="00862BC2" w:rsidRDefault="00862BC2" w:rsidP="00862BC2">
                  <w:pPr>
                    <w:pStyle w:val="TableBodyText"/>
                  </w:pPr>
                  <w:r w:rsidRPr="000044DF">
                    <w:t>4.3</w:t>
                  </w:r>
                </w:p>
              </w:tc>
              <w:tc>
                <w:tcPr>
                  <w:tcW w:w="639" w:type="pct"/>
                </w:tcPr>
                <w:p w14:paraId="63341F87" w14:textId="2A685789" w:rsidR="00862BC2" w:rsidRDefault="00862BC2" w:rsidP="00862BC2">
                  <w:pPr>
                    <w:pStyle w:val="TableBodyText"/>
                    <w:ind w:right="28"/>
                  </w:pPr>
                  <w:r w:rsidRPr="00C24E2E">
                    <w:t>0.6</w:t>
                  </w:r>
                </w:p>
              </w:tc>
            </w:tr>
            <w:tr w:rsidR="00862BC2" w14:paraId="4601443B" w14:textId="77777777" w:rsidTr="00CC0374">
              <w:tc>
                <w:tcPr>
                  <w:tcW w:w="1663" w:type="pct"/>
                </w:tcPr>
                <w:p w14:paraId="614D5000" w14:textId="77777777" w:rsidR="00862BC2" w:rsidRDefault="00862BC2" w:rsidP="00862BC2">
                  <w:pPr>
                    <w:pStyle w:val="TableBodyText"/>
                    <w:jc w:val="left"/>
                  </w:pPr>
                  <w:r w:rsidRPr="00A53C74">
                    <w:t>Financial and insurance services</w:t>
                  </w:r>
                </w:p>
              </w:tc>
              <w:tc>
                <w:tcPr>
                  <w:tcW w:w="670" w:type="pct"/>
                </w:tcPr>
                <w:p w14:paraId="6E0306AF" w14:textId="22C9D407" w:rsidR="00862BC2" w:rsidRDefault="00862BC2" w:rsidP="00862BC2">
                  <w:pPr>
                    <w:pStyle w:val="TableBodyText"/>
                  </w:pPr>
                  <w:r w:rsidRPr="000044DF">
                    <w:t>2.0</w:t>
                  </w:r>
                </w:p>
              </w:tc>
              <w:tc>
                <w:tcPr>
                  <w:tcW w:w="636" w:type="pct"/>
                </w:tcPr>
                <w:p w14:paraId="05245CFE" w14:textId="78623BA8" w:rsidR="00862BC2" w:rsidRDefault="00862BC2" w:rsidP="00862BC2">
                  <w:pPr>
                    <w:pStyle w:val="TableBodyText"/>
                  </w:pPr>
                  <w:r w:rsidRPr="000044DF">
                    <w:t>2.3</w:t>
                  </w:r>
                </w:p>
              </w:tc>
              <w:tc>
                <w:tcPr>
                  <w:tcW w:w="698" w:type="pct"/>
                </w:tcPr>
                <w:p w14:paraId="5F1021A9" w14:textId="314EC72F" w:rsidR="00862BC2" w:rsidRDefault="00862BC2" w:rsidP="00862BC2">
                  <w:pPr>
                    <w:pStyle w:val="TableBodyText"/>
                  </w:pPr>
                  <w:r w:rsidRPr="000044DF">
                    <w:t>1.2</w:t>
                  </w:r>
                </w:p>
              </w:tc>
              <w:tc>
                <w:tcPr>
                  <w:tcW w:w="694" w:type="pct"/>
                </w:tcPr>
                <w:p w14:paraId="08E842BD" w14:textId="3D1B4049" w:rsidR="00862BC2" w:rsidRDefault="00862BC2" w:rsidP="00862BC2">
                  <w:pPr>
                    <w:pStyle w:val="TableBodyText"/>
                  </w:pPr>
                  <w:r w:rsidRPr="000044DF">
                    <w:t>-0.3</w:t>
                  </w:r>
                </w:p>
              </w:tc>
              <w:tc>
                <w:tcPr>
                  <w:tcW w:w="639" w:type="pct"/>
                </w:tcPr>
                <w:p w14:paraId="5155072E" w14:textId="25C0D624" w:rsidR="00862BC2" w:rsidRDefault="00862BC2" w:rsidP="00862BC2">
                  <w:pPr>
                    <w:pStyle w:val="TableBodyText"/>
                    <w:ind w:right="28"/>
                  </w:pPr>
                  <w:r w:rsidRPr="00C24E2E">
                    <w:t>0.5</w:t>
                  </w:r>
                </w:p>
              </w:tc>
            </w:tr>
            <w:tr w:rsidR="00862BC2" w14:paraId="07E4C370" w14:textId="77777777" w:rsidTr="00CC0374">
              <w:tc>
                <w:tcPr>
                  <w:tcW w:w="1663" w:type="pct"/>
                </w:tcPr>
                <w:p w14:paraId="39A36114" w14:textId="77777777" w:rsidR="00862BC2" w:rsidRDefault="00862BC2" w:rsidP="00862BC2">
                  <w:pPr>
                    <w:pStyle w:val="TableBodyText"/>
                    <w:jc w:val="left"/>
                  </w:pPr>
                  <w:r w:rsidRPr="00A53C74">
                    <w:t>Rental, hiring and real estate services</w:t>
                  </w:r>
                </w:p>
              </w:tc>
              <w:tc>
                <w:tcPr>
                  <w:tcW w:w="670" w:type="pct"/>
                </w:tcPr>
                <w:p w14:paraId="4BD00758" w14:textId="52354A8B" w:rsidR="00862BC2" w:rsidRDefault="00862BC2" w:rsidP="00862BC2">
                  <w:pPr>
                    <w:pStyle w:val="TableBodyText"/>
                  </w:pPr>
                  <w:r w:rsidRPr="000044DF">
                    <w:t>2.1</w:t>
                  </w:r>
                </w:p>
              </w:tc>
              <w:tc>
                <w:tcPr>
                  <w:tcW w:w="636" w:type="pct"/>
                </w:tcPr>
                <w:p w14:paraId="06B694F6" w14:textId="108EBA50" w:rsidR="00862BC2" w:rsidRDefault="00862BC2" w:rsidP="00862BC2">
                  <w:pPr>
                    <w:pStyle w:val="TableBodyText"/>
                  </w:pPr>
                  <w:r w:rsidRPr="000044DF">
                    <w:t>0.1</w:t>
                  </w:r>
                </w:p>
              </w:tc>
              <w:tc>
                <w:tcPr>
                  <w:tcW w:w="698" w:type="pct"/>
                </w:tcPr>
                <w:p w14:paraId="257D5A9D" w14:textId="43A3EDE8" w:rsidR="00862BC2" w:rsidRDefault="00862BC2" w:rsidP="00862BC2">
                  <w:pPr>
                    <w:pStyle w:val="TableBodyText"/>
                  </w:pPr>
                  <w:r w:rsidRPr="000044DF">
                    <w:t>2.9</w:t>
                  </w:r>
                </w:p>
              </w:tc>
              <w:tc>
                <w:tcPr>
                  <w:tcW w:w="694" w:type="pct"/>
                </w:tcPr>
                <w:p w14:paraId="550A0A2E" w14:textId="021B2AF4" w:rsidR="00862BC2" w:rsidRDefault="00862BC2" w:rsidP="00862BC2">
                  <w:pPr>
                    <w:pStyle w:val="TableBodyText"/>
                  </w:pPr>
                  <w:r w:rsidRPr="000044DF">
                    <w:t>2.0</w:t>
                  </w:r>
                </w:p>
              </w:tc>
              <w:tc>
                <w:tcPr>
                  <w:tcW w:w="639" w:type="pct"/>
                </w:tcPr>
                <w:p w14:paraId="7D357C0C" w14:textId="51062514" w:rsidR="00862BC2" w:rsidRDefault="00862BC2" w:rsidP="00862BC2">
                  <w:pPr>
                    <w:pStyle w:val="TableBodyText"/>
                    <w:ind w:right="28"/>
                  </w:pPr>
                  <w:r w:rsidRPr="00C24E2E">
                    <w:t>0.3</w:t>
                  </w:r>
                </w:p>
              </w:tc>
            </w:tr>
            <w:tr w:rsidR="00862BC2" w14:paraId="425AA50F" w14:textId="77777777" w:rsidTr="00CC0374">
              <w:tc>
                <w:tcPr>
                  <w:tcW w:w="1663" w:type="pct"/>
                </w:tcPr>
                <w:p w14:paraId="6E2A4287" w14:textId="77777777" w:rsidR="00862BC2" w:rsidRDefault="00862BC2" w:rsidP="00862BC2">
                  <w:pPr>
                    <w:pStyle w:val="TableBodyText"/>
                    <w:jc w:val="left"/>
                  </w:pPr>
                  <w:r w:rsidRPr="00A945FD">
                    <w:t>Professional, scientific and technical services</w:t>
                  </w:r>
                </w:p>
              </w:tc>
              <w:tc>
                <w:tcPr>
                  <w:tcW w:w="670" w:type="pct"/>
                </w:tcPr>
                <w:p w14:paraId="664720A3" w14:textId="58790927" w:rsidR="00862BC2" w:rsidRDefault="00862BC2" w:rsidP="00862BC2">
                  <w:pPr>
                    <w:pStyle w:val="TableBodyText"/>
                  </w:pPr>
                  <w:r w:rsidRPr="000044DF">
                    <w:t>3.6</w:t>
                  </w:r>
                </w:p>
              </w:tc>
              <w:tc>
                <w:tcPr>
                  <w:tcW w:w="636" w:type="pct"/>
                </w:tcPr>
                <w:p w14:paraId="51BC071F" w14:textId="4252697E" w:rsidR="00862BC2" w:rsidRDefault="00862BC2" w:rsidP="00862BC2">
                  <w:pPr>
                    <w:pStyle w:val="TableBodyText"/>
                  </w:pPr>
                  <w:r w:rsidRPr="000044DF">
                    <w:t>7.4</w:t>
                  </w:r>
                </w:p>
              </w:tc>
              <w:tc>
                <w:tcPr>
                  <w:tcW w:w="698" w:type="pct"/>
                </w:tcPr>
                <w:p w14:paraId="356A1E68" w14:textId="6B5C2794" w:rsidR="00862BC2" w:rsidRDefault="00862BC2" w:rsidP="00862BC2">
                  <w:pPr>
                    <w:pStyle w:val="TableBodyText"/>
                  </w:pPr>
                  <w:r w:rsidRPr="000044DF">
                    <w:t>4.8</w:t>
                  </w:r>
                </w:p>
              </w:tc>
              <w:tc>
                <w:tcPr>
                  <w:tcW w:w="694" w:type="pct"/>
                </w:tcPr>
                <w:p w14:paraId="431D5612" w14:textId="19071F4C" w:rsidR="00862BC2" w:rsidRDefault="00862BC2" w:rsidP="00862BC2">
                  <w:pPr>
                    <w:pStyle w:val="TableBodyText"/>
                  </w:pPr>
                  <w:r w:rsidRPr="000044DF">
                    <w:t>-3.5</w:t>
                  </w:r>
                </w:p>
              </w:tc>
              <w:tc>
                <w:tcPr>
                  <w:tcW w:w="639" w:type="pct"/>
                </w:tcPr>
                <w:p w14:paraId="577BC5A8" w14:textId="0DF8AACB" w:rsidR="00862BC2" w:rsidRDefault="00862BC2" w:rsidP="00862BC2">
                  <w:pPr>
                    <w:pStyle w:val="TableBodyText"/>
                    <w:ind w:right="28"/>
                  </w:pPr>
                  <w:r w:rsidRPr="00C24E2E">
                    <w:t>-3.2</w:t>
                  </w:r>
                </w:p>
              </w:tc>
            </w:tr>
            <w:tr w:rsidR="00862BC2" w14:paraId="0183563E" w14:textId="77777777" w:rsidTr="00CC0374">
              <w:tc>
                <w:tcPr>
                  <w:tcW w:w="1663" w:type="pct"/>
                </w:tcPr>
                <w:p w14:paraId="2A7B00ED" w14:textId="77777777" w:rsidR="00862BC2" w:rsidRDefault="00862BC2" w:rsidP="00862BC2">
                  <w:pPr>
                    <w:pStyle w:val="TableBodyText"/>
                    <w:jc w:val="left"/>
                  </w:pPr>
                  <w:r w:rsidRPr="00A945FD">
                    <w:t>Administrative and support services</w:t>
                  </w:r>
                </w:p>
              </w:tc>
              <w:tc>
                <w:tcPr>
                  <w:tcW w:w="670" w:type="pct"/>
                </w:tcPr>
                <w:p w14:paraId="4BDF3AB8" w14:textId="1138DE35" w:rsidR="00862BC2" w:rsidRDefault="00862BC2" w:rsidP="00862BC2">
                  <w:pPr>
                    <w:pStyle w:val="TableBodyText"/>
                  </w:pPr>
                  <w:r w:rsidRPr="000044DF">
                    <w:t>5.5</w:t>
                  </w:r>
                </w:p>
              </w:tc>
              <w:tc>
                <w:tcPr>
                  <w:tcW w:w="636" w:type="pct"/>
                </w:tcPr>
                <w:p w14:paraId="4DDC8EA4" w14:textId="28587968" w:rsidR="00862BC2" w:rsidRDefault="00862BC2" w:rsidP="00862BC2">
                  <w:pPr>
                    <w:pStyle w:val="TableBodyText"/>
                  </w:pPr>
                  <w:r w:rsidRPr="000044DF">
                    <w:t>4.3</w:t>
                  </w:r>
                </w:p>
              </w:tc>
              <w:tc>
                <w:tcPr>
                  <w:tcW w:w="698" w:type="pct"/>
                </w:tcPr>
                <w:p w14:paraId="215915B4" w14:textId="6E60CBBD" w:rsidR="00862BC2" w:rsidRDefault="00862BC2" w:rsidP="00862BC2">
                  <w:pPr>
                    <w:pStyle w:val="TableBodyText"/>
                  </w:pPr>
                  <w:r w:rsidRPr="000044DF">
                    <w:t>1.4</w:t>
                  </w:r>
                </w:p>
              </w:tc>
              <w:tc>
                <w:tcPr>
                  <w:tcW w:w="694" w:type="pct"/>
                </w:tcPr>
                <w:p w14:paraId="71A251FC" w14:textId="2EF08BD5" w:rsidR="00862BC2" w:rsidRDefault="00862BC2" w:rsidP="00862BC2">
                  <w:pPr>
                    <w:pStyle w:val="TableBodyText"/>
                  </w:pPr>
                  <w:r w:rsidRPr="000044DF">
                    <w:t>1.1</w:t>
                  </w:r>
                </w:p>
              </w:tc>
              <w:tc>
                <w:tcPr>
                  <w:tcW w:w="639" w:type="pct"/>
                </w:tcPr>
                <w:p w14:paraId="7B302834" w14:textId="42F9A650" w:rsidR="00862BC2" w:rsidRDefault="00862BC2" w:rsidP="00862BC2">
                  <w:pPr>
                    <w:pStyle w:val="TableBodyText"/>
                    <w:ind w:right="28"/>
                  </w:pPr>
                  <w:r w:rsidRPr="00C24E2E">
                    <w:t>1.3</w:t>
                  </w:r>
                </w:p>
              </w:tc>
            </w:tr>
            <w:tr w:rsidR="00862BC2" w14:paraId="2976F83F" w14:textId="77777777" w:rsidTr="00CC0374">
              <w:tc>
                <w:tcPr>
                  <w:tcW w:w="1663" w:type="pct"/>
                </w:tcPr>
                <w:p w14:paraId="26904C09" w14:textId="77777777" w:rsidR="00862BC2" w:rsidRDefault="00862BC2" w:rsidP="00862BC2">
                  <w:pPr>
                    <w:pStyle w:val="TableBodyText"/>
                    <w:jc w:val="left"/>
                  </w:pPr>
                  <w:r w:rsidRPr="00DA02B0">
                    <w:rPr>
                      <w:rFonts w:cs="Arial"/>
                      <w:szCs w:val="18"/>
                    </w:rPr>
                    <w:t>Arts and recreation services</w:t>
                  </w:r>
                </w:p>
              </w:tc>
              <w:tc>
                <w:tcPr>
                  <w:tcW w:w="670" w:type="pct"/>
                </w:tcPr>
                <w:p w14:paraId="08C1C200" w14:textId="424A3599" w:rsidR="00862BC2" w:rsidRDefault="00862BC2" w:rsidP="00862BC2">
                  <w:pPr>
                    <w:pStyle w:val="TableBodyText"/>
                  </w:pPr>
                  <w:r w:rsidRPr="000044DF">
                    <w:t>5.2</w:t>
                  </w:r>
                </w:p>
              </w:tc>
              <w:tc>
                <w:tcPr>
                  <w:tcW w:w="636" w:type="pct"/>
                </w:tcPr>
                <w:p w14:paraId="0C3C38FB" w14:textId="2821BC5D" w:rsidR="00862BC2" w:rsidRDefault="00862BC2" w:rsidP="00862BC2">
                  <w:pPr>
                    <w:pStyle w:val="TableBodyText"/>
                  </w:pPr>
                  <w:r w:rsidRPr="000044DF">
                    <w:t>0.2</w:t>
                  </w:r>
                </w:p>
              </w:tc>
              <w:tc>
                <w:tcPr>
                  <w:tcW w:w="698" w:type="pct"/>
                </w:tcPr>
                <w:p w14:paraId="7D62AF23" w14:textId="19832961" w:rsidR="00862BC2" w:rsidRDefault="00862BC2" w:rsidP="00862BC2">
                  <w:pPr>
                    <w:pStyle w:val="TableBodyText"/>
                  </w:pPr>
                  <w:r w:rsidRPr="000044DF">
                    <w:t>4.5</w:t>
                  </w:r>
                </w:p>
              </w:tc>
              <w:tc>
                <w:tcPr>
                  <w:tcW w:w="694" w:type="pct"/>
                </w:tcPr>
                <w:p w14:paraId="4DE5D1E1" w14:textId="77656AE9" w:rsidR="00862BC2" w:rsidRDefault="00862BC2" w:rsidP="00862BC2">
                  <w:pPr>
                    <w:pStyle w:val="TableBodyText"/>
                  </w:pPr>
                  <w:r w:rsidRPr="000044DF">
                    <w:t>4.9</w:t>
                  </w:r>
                </w:p>
              </w:tc>
              <w:tc>
                <w:tcPr>
                  <w:tcW w:w="639" w:type="pct"/>
                </w:tcPr>
                <w:p w14:paraId="04B18639" w14:textId="60FDD56F" w:rsidR="00862BC2" w:rsidRDefault="00862BC2" w:rsidP="00862BC2">
                  <w:pPr>
                    <w:pStyle w:val="TableBodyText"/>
                    <w:ind w:right="28"/>
                  </w:pPr>
                  <w:r w:rsidRPr="00C24E2E">
                    <w:t>3.5</w:t>
                  </w:r>
                </w:p>
              </w:tc>
            </w:tr>
            <w:tr w:rsidR="00862BC2" w14:paraId="46EFCEE1" w14:textId="77777777" w:rsidTr="00CC0374">
              <w:tc>
                <w:tcPr>
                  <w:tcW w:w="1663" w:type="pct"/>
                </w:tcPr>
                <w:p w14:paraId="541E63EC" w14:textId="77777777" w:rsidR="00862BC2" w:rsidRDefault="00862BC2" w:rsidP="00862BC2">
                  <w:pPr>
                    <w:pStyle w:val="TableBodyText"/>
                    <w:jc w:val="left"/>
                  </w:pPr>
                  <w:r w:rsidRPr="00DA02B0">
                    <w:rPr>
                      <w:rFonts w:cs="Arial"/>
                      <w:szCs w:val="18"/>
                    </w:rPr>
                    <w:t>Other services</w:t>
                  </w:r>
                </w:p>
              </w:tc>
              <w:tc>
                <w:tcPr>
                  <w:tcW w:w="670" w:type="pct"/>
                </w:tcPr>
                <w:p w14:paraId="2CEC492D" w14:textId="4BBDB7F5" w:rsidR="00862BC2" w:rsidRDefault="00862BC2" w:rsidP="00862BC2">
                  <w:pPr>
                    <w:pStyle w:val="TableBodyText"/>
                  </w:pPr>
                  <w:r w:rsidRPr="000044DF">
                    <w:t>4.8</w:t>
                  </w:r>
                </w:p>
              </w:tc>
              <w:tc>
                <w:tcPr>
                  <w:tcW w:w="636" w:type="pct"/>
                </w:tcPr>
                <w:p w14:paraId="7FC00129" w14:textId="6736DF4E" w:rsidR="00862BC2" w:rsidRDefault="00862BC2" w:rsidP="00862BC2">
                  <w:pPr>
                    <w:pStyle w:val="TableBodyText"/>
                  </w:pPr>
                  <w:r w:rsidRPr="000044DF">
                    <w:t>0.8</w:t>
                  </w:r>
                </w:p>
              </w:tc>
              <w:tc>
                <w:tcPr>
                  <w:tcW w:w="698" w:type="pct"/>
                </w:tcPr>
                <w:p w14:paraId="03F97C7B" w14:textId="07960D7A" w:rsidR="00862BC2" w:rsidRDefault="00862BC2" w:rsidP="00862BC2">
                  <w:pPr>
                    <w:pStyle w:val="TableBodyText"/>
                  </w:pPr>
                  <w:r w:rsidRPr="000044DF">
                    <w:t>6.5</w:t>
                  </w:r>
                </w:p>
              </w:tc>
              <w:tc>
                <w:tcPr>
                  <w:tcW w:w="694" w:type="pct"/>
                </w:tcPr>
                <w:p w14:paraId="15293475" w14:textId="7EB5E0AA" w:rsidR="00862BC2" w:rsidRDefault="00862BC2" w:rsidP="00862BC2">
                  <w:pPr>
                    <w:pStyle w:val="TableBodyText"/>
                  </w:pPr>
                  <w:r w:rsidRPr="000044DF">
                    <w:t>3.9</w:t>
                  </w:r>
                </w:p>
              </w:tc>
              <w:tc>
                <w:tcPr>
                  <w:tcW w:w="639" w:type="pct"/>
                </w:tcPr>
                <w:p w14:paraId="68CE21B3" w14:textId="526A3021" w:rsidR="00862BC2" w:rsidRDefault="00862BC2" w:rsidP="00862BC2">
                  <w:pPr>
                    <w:pStyle w:val="TableBodyText"/>
                    <w:ind w:right="28"/>
                  </w:pPr>
                  <w:r w:rsidRPr="00C24E2E">
                    <w:t>3.2</w:t>
                  </w:r>
                </w:p>
              </w:tc>
            </w:tr>
            <w:tr w:rsidR="002B2A31" w14:paraId="00EC1B6F" w14:textId="77777777" w:rsidTr="00CC0374">
              <w:tc>
                <w:tcPr>
                  <w:tcW w:w="2333" w:type="pct"/>
                  <w:gridSpan w:val="2"/>
                </w:tcPr>
                <w:p w14:paraId="78E07B6E" w14:textId="5F04BD20" w:rsidR="002B2A31" w:rsidRPr="00A945FD" w:rsidRDefault="002B2A31" w:rsidP="007D7CC1">
                  <w:pPr>
                    <w:pStyle w:val="TableColumnHeading"/>
                    <w:jc w:val="left"/>
                    <w:rPr>
                      <w:b/>
                      <w:i w:val="0"/>
                    </w:rPr>
                  </w:pPr>
                  <w:r w:rsidRPr="00A945FD">
                    <w:rPr>
                      <w:b/>
                      <w:i w:val="0"/>
                    </w:rPr>
                    <w:t>Non</w:t>
                  </w:r>
                  <w:r>
                    <w:rPr>
                      <w:b/>
                      <w:i w:val="0"/>
                    </w:rPr>
                    <w:noBreakHyphen/>
                  </w:r>
                  <w:r w:rsidRPr="00A945FD">
                    <w:rPr>
                      <w:b/>
                      <w:i w:val="0"/>
                    </w:rPr>
                    <w:t>market sector (</w:t>
                  </w:r>
                  <w:r w:rsidR="007D7CC1">
                    <w:rPr>
                      <w:b/>
                      <w:i w:val="0"/>
                    </w:rPr>
                    <w:t>3</w:t>
                  </w:r>
                  <w:r w:rsidRPr="00A945FD">
                    <w:rPr>
                      <w:b/>
                      <w:i w:val="0"/>
                    </w:rPr>
                    <w:t xml:space="preserve"> industries)</w:t>
                  </w:r>
                </w:p>
              </w:tc>
              <w:tc>
                <w:tcPr>
                  <w:tcW w:w="636" w:type="pct"/>
                </w:tcPr>
                <w:p w14:paraId="56EC282A" w14:textId="77777777" w:rsidR="002B2A31" w:rsidRDefault="002B2A31" w:rsidP="00CC0374">
                  <w:pPr>
                    <w:pStyle w:val="TableBodyText"/>
                  </w:pPr>
                </w:p>
              </w:tc>
              <w:tc>
                <w:tcPr>
                  <w:tcW w:w="698" w:type="pct"/>
                </w:tcPr>
                <w:p w14:paraId="3CCDC12E" w14:textId="77777777" w:rsidR="002B2A31" w:rsidRDefault="002B2A31" w:rsidP="00CC0374">
                  <w:pPr>
                    <w:pStyle w:val="TableBodyText"/>
                  </w:pPr>
                </w:p>
              </w:tc>
              <w:tc>
                <w:tcPr>
                  <w:tcW w:w="694" w:type="pct"/>
                </w:tcPr>
                <w:p w14:paraId="3C78C718" w14:textId="77777777" w:rsidR="002B2A31" w:rsidRDefault="002B2A31" w:rsidP="00CC0374">
                  <w:pPr>
                    <w:pStyle w:val="TableBodyText"/>
                  </w:pPr>
                </w:p>
              </w:tc>
              <w:tc>
                <w:tcPr>
                  <w:tcW w:w="639" w:type="pct"/>
                </w:tcPr>
                <w:p w14:paraId="007AC534" w14:textId="77777777" w:rsidR="002B2A31" w:rsidRDefault="002B2A31" w:rsidP="00CC0374">
                  <w:pPr>
                    <w:pStyle w:val="TableBodyText"/>
                    <w:ind w:right="28"/>
                  </w:pPr>
                </w:p>
              </w:tc>
            </w:tr>
            <w:tr w:rsidR="007D7CC1" w14:paraId="29DA07BE" w14:textId="77777777" w:rsidTr="00CC0374">
              <w:tc>
                <w:tcPr>
                  <w:tcW w:w="1663" w:type="pct"/>
                </w:tcPr>
                <w:p w14:paraId="7CE525FF" w14:textId="77777777" w:rsidR="007D7CC1" w:rsidRDefault="007D7CC1" w:rsidP="007D7CC1">
                  <w:pPr>
                    <w:pStyle w:val="TableBodyText"/>
                    <w:jc w:val="left"/>
                  </w:pPr>
                  <w:r w:rsidRPr="007A6FE7">
                    <w:t>Public administration and safety</w:t>
                  </w:r>
                </w:p>
              </w:tc>
              <w:tc>
                <w:tcPr>
                  <w:tcW w:w="670" w:type="pct"/>
                </w:tcPr>
                <w:p w14:paraId="7DEFA792" w14:textId="5AAB6FFA" w:rsidR="007D7CC1" w:rsidRDefault="007D7CC1" w:rsidP="007D7CC1">
                  <w:pPr>
                    <w:pStyle w:val="TableBodyText"/>
                  </w:pPr>
                  <w:r w:rsidRPr="00E968AF">
                    <w:t>2.4</w:t>
                  </w:r>
                </w:p>
              </w:tc>
              <w:tc>
                <w:tcPr>
                  <w:tcW w:w="636" w:type="pct"/>
                </w:tcPr>
                <w:p w14:paraId="6DFC8E56" w14:textId="08D4454F" w:rsidR="007D7CC1" w:rsidRDefault="007D7CC1" w:rsidP="007D7CC1">
                  <w:pPr>
                    <w:pStyle w:val="TableBodyText"/>
                  </w:pPr>
                  <w:r w:rsidRPr="00E968AF">
                    <w:t>11.6</w:t>
                  </w:r>
                </w:p>
              </w:tc>
              <w:tc>
                <w:tcPr>
                  <w:tcW w:w="698" w:type="pct"/>
                </w:tcPr>
                <w:p w14:paraId="0CED74A7" w14:textId="2EA20C5A" w:rsidR="007D7CC1" w:rsidRDefault="007D7CC1" w:rsidP="007D7CC1">
                  <w:pPr>
                    <w:pStyle w:val="TableBodyText"/>
                  </w:pPr>
                  <w:r>
                    <w:t>NA</w:t>
                  </w:r>
                </w:p>
              </w:tc>
              <w:tc>
                <w:tcPr>
                  <w:tcW w:w="694" w:type="pct"/>
                </w:tcPr>
                <w:p w14:paraId="0CA0E471" w14:textId="07D6CF66" w:rsidR="007D7CC1" w:rsidRDefault="007D7CC1" w:rsidP="007D7CC1">
                  <w:pPr>
                    <w:pStyle w:val="TableBodyText"/>
                  </w:pPr>
                  <w:r w:rsidRPr="00E968AF">
                    <w:t>-8.3</w:t>
                  </w:r>
                </w:p>
              </w:tc>
              <w:tc>
                <w:tcPr>
                  <w:tcW w:w="639" w:type="pct"/>
                </w:tcPr>
                <w:p w14:paraId="13687841" w14:textId="77777777" w:rsidR="007D7CC1" w:rsidRDefault="007D7CC1" w:rsidP="007D7CC1">
                  <w:pPr>
                    <w:pStyle w:val="TableBodyText"/>
                    <w:ind w:right="28"/>
                  </w:pPr>
                  <w:r>
                    <w:t>NA</w:t>
                  </w:r>
                </w:p>
              </w:tc>
            </w:tr>
            <w:tr w:rsidR="007D7CC1" w14:paraId="0506DCAE" w14:textId="77777777" w:rsidTr="00CC0374">
              <w:tc>
                <w:tcPr>
                  <w:tcW w:w="1663" w:type="pct"/>
                </w:tcPr>
                <w:p w14:paraId="2C67CB5B" w14:textId="77777777" w:rsidR="007D7CC1" w:rsidRDefault="007D7CC1" w:rsidP="007D7CC1">
                  <w:pPr>
                    <w:pStyle w:val="TableBodyText"/>
                    <w:jc w:val="left"/>
                  </w:pPr>
                  <w:r w:rsidRPr="007A6FE7">
                    <w:t>Education and training</w:t>
                  </w:r>
                </w:p>
              </w:tc>
              <w:tc>
                <w:tcPr>
                  <w:tcW w:w="670" w:type="pct"/>
                </w:tcPr>
                <w:p w14:paraId="24F138E7" w14:textId="4BEA1DAC" w:rsidR="007D7CC1" w:rsidRDefault="007D7CC1" w:rsidP="007D7CC1">
                  <w:pPr>
                    <w:pStyle w:val="TableBodyText"/>
                  </w:pPr>
                  <w:r w:rsidRPr="00E968AF">
                    <w:t>2.3</w:t>
                  </w:r>
                </w:p>
              </w:tc>
              <w:tc>
                <w:tcPr>
                  <w:tcW w:w="636" w:type="pct"/>
                </w:tcPr>
                <w:p w14:paraId="5520BD66" w14:textId="4923C670" w:rsidR="007D7CC1" w:rsidRDefault="007D7CC1" w:rsidP="007D7CC1">
                  <w:pPr>
                    <w:pStyle w:val="TableBodyText"/>
                  </w:pPr>
                  <w:r w:rsidRPr="00E968AF">
                    <w:t>2</w:t>
                  </w:r>
                </w:p>
              </w:tc>
              <w:tc>
                <w:tcPr>
                  <w:tcW w:w="698" w:type="pct"/>
                </w:tcPr>
                <w:p w14:paraId="640ED6D5" w14:textId="260F2B27" w:rsidR="007D7CC1" w:rsidRDefault="007D7CC1" w:rsidP="007D7CC1">
                  <w:pPr>
                    <w:pStyle w:val="TableBodyText"/>
                  </w:pPr>
                  <w:r>
                    <w:t>NA</w:t>
                  </w:r>
                </w:p>
              </w:tc>
              <w:tc>
                <w:tcPr>
                  <w:tcW w:w="694" w:type="pct"/>
                </w:tcPr>
                <w:p w14:paraId="28548EFC" w14:textId="3E706075" w:rsidR="007D7CC1" w:rsidRDefault="007D7CC1" w:rsidP="007D7CC1">
                  <w:pPr>
                    <w:pStyle w:val="TableBodyText"/>
                  </w:pPr>
                  <w:r w:rsidRPr="00E968AF">
                    <w:t>0.3</w:t>
                  </w:r>
                </w:p>
              </w:tc>
              <w:tc>
                <w:tcPr>
                  <w:tcW w:w="639" w:type="pct"/>
                </w:tcPr>
                <w:p w14:paraId="4EFE18B6" w14:textId="77777777" w:rsidR="007D7CC1" w:rsidRDefault="007D7CC1" w:rsidP="007D7CC1">
                  <w:pPr>
                    <w:pStyle w:val="TableBodyText"/>
                    <w:ind w:right="28"/>
                  </w:pPr>
                  <w:r>
                    <w:t>NA</w:t>
                  </w:r>
                </w:p>
              </w:tc>
            </w:tr>
            <w:tr w:rsidR="007D7CC1" w14:paraId="10800DAA" w14:textId="77777777" w:rsidTr="00CC0374">
              <w:tc>
                <w:tcPr>
                  <w:tcW w:w="1663" w:type="pct"/>
                </w:tcPr>
                <w:p w14:paraId="734CBB87" w14:textId="77777777" w:rsidR="007D7CC1" w:rsidRDefault="007D7CC1" w:rsidP="007D7CC1">
                  <w:pPr>
                    <w:pStyle w:val="TableBodyText"/>
                    <w:jc w:val="left"/>
                  </w:pPr>
                  <w:r w:rsidRPr="007A6FE7">
                    <w:t>Health care and social assistance</w:t>
                  </w:r>
                </w:p>
              </w:tc>
              <w:tc>
                <w:tcPr>
                  <w:tcW w:w="670" w:type="pct"/>
                </w:tcPr>
                <w:p w14:paraId="61C30C59" w14:textId="15019930" w:rsidR="007D7CC1" w:rsidRDefault="007D7CC1" w:rsidP="007D7CC1">
                  <w:pPr>
                    <w:pStyle w:val="TableBodyText"/>
                  </w:pPr>
                  <w:r w:rsidRPr="00E968AF">
                    <w:t>7.4</w:t>
                  </w:r>
                </w:p>
              </w:tc>
              <w:tc>
                <w:tcPr>
                  <w:tcW w:w="636" w:type="pct"/>
                </w:tcPr>
                <w:p w14:paraId="12BD982A" w14:textId="382D1B0B" w:rsidR="007D7CC1" w:rsidRDefault="007D7CC1" w:rsidP="007D7CC1">
                  <w:pPr>
                    <w:pStyle w:val="TableBodyText"/>
                  </w:pPr>
                  <w:r w:rsidRPr="00E968AF">
                    <w:t>0.8</w:t>
                  </w:r>
                </w:p>
              </w:tc>
              <w:tc>
                <w:tcPr>
                  <w:tcW w:w="698" w:type="pct"/>
                </w:tcPr>
                <w:p w14:paraId="0E8330F8" w14:textId="2B4DA48D" w:rsidR="007D7CC1" w:rsidRDefault="007D7CC1" w:rsidP="007D7CC1">
                  <w:pPr>
                    <w:pStyle w:val="TableBodyText"/>
                  </w:pPr>
                  <w:r>
                    <w:t>NA</w:t>
                  </w:r>
                </w:p>
              </w:tc>
              <w:tc>
                <w:tcPr>
                  <w:tcW w:w="694" w:type="pct"/>
                </w:tcPr>
                <w:p w14:paraId="59FA45ED" w14:textId="2F6D1D25" w:rsidR="007D7CC1" w:rsidRDefault="007D7CC1" w:rsidP="007D7CC1">
                  <w:pPr>
                    <w:pStyle w:val="TableBodyText"/>
                  </w:pPr>
                  <w:r w:rsidRPr="00E968AF">
                    <w:t>6.6</w:t>
                  </w:r>
                </w:p>
              </w:tc>
              <w:tc>
                <w:tcPr>
                  <w:tcW w:w="639" w:type="pct"/>
                </w:tcPr>
                <w:p w14:paraId="715978E6" w14:textId="77777777" w:rsidR="007D7CC1" w:rsidRDefault="007D7CC1" w:rsidP="007D7CC1">
                  <w:pPr>
                    <w:pStyle w:val="TableBodyText"/>
                    <w:ind w:right="28"/>
                  </w:pPr>
                  <w:r>
                    <w:t>NA</w:t>
                  </w:r>
                </w:p>
              </w:tc>
            </w:tr>
            <w:tr w:rsidR="007D7CC1" w14:paraId="71AF0C7F" w14:textId="77777777" w:rsidTr="00CC0374">
              <w:tc>
                <w:tcPr>
                  <w:tcW w:w="1663" w:type="pct"/>
                  <w:tcBorders>
                    <w:bottom w:val="single" w:sz="6" w:space="0" w:color="BFBFBF"/>
                  </w:tcBorders>
                  <w:shd w:val="clear" w:color="auto" w:fill="auto"/>
                </w:tcPr>
                <w:p w14:paraId="1B98DAD9" w14:textId="77777777" w:rsidR="007D7CC1" w:rsidRPr="007A6FE7" w:rsidRDefault="007D7CC1" w:rsidP="007D7CC1">
                  <w:pPr>
                    <w:pStyle w:val="TableBodyText"/>
                    <w:jc w:val="left"/>
                    <w:rPr>
                      <w:b/>
                    </w:rPr>
                  </w:pPr>
                  <w:r w:rsidRPr="007A6FE7">
                    <w:rPr>
                      <w:b/>
                    </w:rPr>
                    <w:t>All industries</w:t>
                  </w:r>
                </w:p>
              </w:tc>
              <w:tc>
                <w:tcPr>
                  <w:tcW w:w="670" w:type="pct"/>
                  <w:tcBorders>
                    <w:bottom w:val="single" w:sz="6" w:space="0" w:color="BFBFBF"/>
                  </w:tcBorders>
                </w:tcPr>
                <w:p w14:paraId="52107120" w14:textId="17918C16" w:rsidR="007D7CC1" w:rsidRDefault="007D7CC1" w:rsidP="007D7CC1">
                  <w:pPr>
                    <w:pStyle w:val="TableBodyText"/>
                  </w:pPr>
                  <w:r w:rsidRPr="00E968AF">
                    <w:t>2.3</w:t>
                  </w:r>
                </w:p>
              </w:tc>
              <w:tc>
                <w:tcPr>
                  <w:tcW w:w="636" w:type="pct"/>
                  <w:tcBorders>
                    <w:bottom w:val="single" w:sz="6" w:space="0" w:color="BFBFBF"/>
                  </w:tcBorders>
                </w:tcPr>
                <w:p w14:paraId="5BD0BE9A" w14:textId="383D89D8" w:rsidR="007D7CC1" w:rsidRDefault="007D7CC1" w:rsidP="007D7CC1">
                  <w:pPr>
                    <w:pStyle w:val="TableBodyText"/>
                  </w:pPr>
                  <w:r w:rsidRPr="00E968AF">
                    <w:t>1.7</w:t>
                  </w:r>
                </w:p>
              </w:tc>
              <w:tc>
                <w:tcPr>
                  <w:tcW w:w="698" w:type="pct"/>
                  <w:tcBorders>
                    <w:bottom w:val="single" w:sz="6" w:space="0" w:color="BFBFBF"/>
                  </w:tcBorders>
                </w:tcPr>
                <w:p w14:paraId="722CFBF3" w14:textId="3F73CE72" w:rsidR="007D7CC1" w:rsidRDefault="007D7CC1" w:rsidP="007D7CC1">
                  <w:pPr>
                    <w:pStyle w:val="TableBodyText"/>
                  </w:pPr>
                  <w:r>
                    <w:t>NA</w:t>
                  </w:r>
                </w:p>
              </w:tc>
              <w:tc>
                <w:tcPr>
                  <w:tcW w:w="694" w:type="pct"/>
                  <w:tcBorders>
                    <w:bottom w:val="single" w:sz="6" w:space="0" w:color="BFBFBF"/>
                  </w:tcBorders>
                  <w:shd w:val="clear" w:color="auto" w:fill="auto"/>
                </w:tcPr>
                <w:p w14:paraId="42CA8998" w14:textId="37C36DEC" w:rsidR="007D7CC1" w:rsidRDefault="007D7CC1" w:rsidP="007D7CC1">
                  <w:pPr>
                    <w:pStyle w:val="TableBodyText"/>
                  </w:pPr>
                  <w:r w:rsidRPr="00E968AF">
                    <w:t>-0.2</w:t>
                  </w:r>
                </w:p>
              </w:tc>
              <w:tc>
                <w:tcPr>
                  <w:tcW w:w="639" w:type="pct"/>
                  <w:tcBorders>
                    <w:bottom w:val="single" w:sz="6" w:space="0" w:color="BFBFBF"/>
                  </w:tcBorders>
                  <w:shd w:val="clear" w:color="auto" w:fill="auto"/>
                </w:tcPr>
                <w:p w14:paraId="6F0D70D8" w14:textId="77777777" w:rsidR="007D7CC1" w:rsidRDefault="007D7CC1" w:rsidP="007D7CC1">
                  <w:pPr>
                    <w:pStyle w:val="TableBodyText"/>
                    <w:ind w:right="28"/>
                  </w:pPr>
                  <w:r>
                    <w:t>NA</w:t>
                  </w:r>
                </w:p>
              </w:tc>
            </w:tr>
          </w:tbl>
          <w:p w14:paraId="637F520E" w14:textId="77777777" w:rsidR="002B2A31" w:rsidRDefault="002B2A31" w:rsidP="00CC0374">
            <w:pPr>
              <w:pStyle w:val="Box"/>
            </w:pPr>
          </w:p>
        </w:tc>
      </w:tr>
      <w:tr w:rsidR="00D128CD" w14:paraId="42918FAF" w14:textId="77777777" w:rsidTr="00CC0374">
        <w:tc>
          <w:tcPr>
            <w:tcW w:w="5000" w:type="pct"/>
            <w:tcBorders>
              <w:top w:val="nil"/>
              <w:left w:val="nil"/>
              <w:bottom w:val="nil"/>
              <w:right w:val="nil"/>
            </w:tcBorders>
            <w:shd w:val="clear" w:color="auto" w:fill="auto"/>
          </w:tcPr>
          <w:p w14:paraId="32A016A5" w14:textId="62345CE4" w:rsidR="00D128CD" w:rsidRPr="00D128CD" w:rsidRDefault="00D128CD" w:rsidP="00846442">
            <w:pPr>
              <w:pStyle w:val="Source"/>
              <w:rPr>
                <w:rStyle w:val="NoteLabel"/>
              </w:rPr>
            </w:pPr>
            <w:r w:rsidRPr="00D128CD">
              <w:rPr>
                <w:rStyle w:val="NoteLabel"/>
              </w:rPr>
              <w:t xml:space="preserve">a </w:t>
            </w:r>
            <w:r w:rsidRPr="00D128CD">
              <w:rPr>
                <w:rStyle w:val="NoteChar"/>
              </w:rPr>
              <w:t>Some figures will not appear to add correctly due to rounding to one decimal place, for example labour productivity growth and hours growth not appearing to add to GVA.</w:t>
            </w:r>
          </w:p>
        </w:tc>
      </w:tr>
      <w:tr w:rsidR="002B2A31" w14:paraId="5F4D21B7" w14:textId="77777777" w:rsidTr="00CC0374">
        <w:tc>
          <w:tcPr>
            <w:tcW w:w="5000" w:type="pct"/>
            <w:tcBorders>
              <w:top w:val="nil"/>
              <w:left w:val="nil"/>
              <w:bottom w:val="nil"/>
              <w:right w:val="nil"/>
            </w:tcBorders>
            <w:shd w:val="clear" w:color="auto" w:fill="auto"/>
          </w:tcPr>
          <w:p w14:paraId="76BD82BA" w14:textId="77777777" w:rsidR="002B2A31" w:rsidRDefault="002B2A31" w:rsidP="00846442">
            <w:pPr>
              <w:pStyle w:val="Source"/>
            </w:pPr>
            <w:r>
              <w:rPr>
                <w:i/>
              </w:rPr>
              <w:t>Sources</w:t>
            </w:r>
            <w:r w:rsidRPr="00167F06">
              <w:t>:</w:t>
            </w:r>
            <w:r w:rsidRPr="00FF557B">
              <w:t xml:space="preserve"> </w:t>
            </w:r>
            <w:r w:rsidRPr="000014C1">
              <w:t>Estimates based on: ABS (201</w:t>
            </w:r>
            <w:r>
              <w:t>9</w:t>
            </w:r>
            <w:r w:rsidRPr="000014C1">
              <w:t xml:space="preserve">, </w:t>
            </w:r>
            <w:r w:rsidRPr="000014C1">
              <w:rPr>
                <w:i/>
                <w:iCs/>
              </w:rPr>
              <w:t>Australian System of National Accounts</w:t>
            </w:r>
            <w:r w:rsidRPr="000014C1">
              <w:t>, 2017</w:t>
            </w:r>
            <w:r w:rsidRPr="000014C1">
              <w:noBreakHyphen/>
              <w:t>18, Cat. no. 5204.0, tables</w:t>
            </w:r>
            <w:r>
              <w:t> </w:t>
            </w:r>
            <w:r w:rsidRPr="000014C1">
              <w:t>1, 5, 15, 46 and 58); ABS (201</w:t>
            </w:r>
            <w:r>
              <w:t>9</w:t>
            </w:r>
            <w:r w:rsidRPr="000014C1">
              <w:t xml:space="preserve">, </w:t>
            </w:r>
            <w:r w:rsidRPr="000014C1">
              <w:rPr>
                <w:i/>
                <w:iCs/>
              </w:rPr>
              <w:t>Estimates of Industry Multifactor Productivity</w:t>
            </w:r>
            <w:r w:rsidRPr="000014C1">
              <w:t>, 2017</w:t>
            </w:r>
            <w:r w:rsidRPr="000014C1">
              <w:noBreakHyphen/>
              <w:t>18, Cat. no. 5260.0.55.002, tables</w:t>
            </w:r>
            <w:r>
              <w:t> </w:t>
            </w:r>
            <w:r w:rsidRPr="000014C1">
              <w:t>1, 6 and 14); ABS (</w:t>
            </w:r>
            <w:r w:rsidRPr="000014C1">
              <w:rPr>
                <w:i/>
                <w:iCs/>
              </w:rPr>
              <w:t>Labour Force, Australia, Detailed, Quarterly</w:t>
            </w:r>
            <w:r w:rsidRPr="000014C1">
              <w:t xml:space="preserve">, </w:t>
            </w:r>
            <w:r w:rsidR="00846442">
              <w:t>Cat no. </w:t>
            </w:r>
            <w:r w:rsidR="00846442" w:rsidRPr="000014C1">
              <w:t>6291.0.55.003</w:t>
            </w:r>
            <w:r w:rsidR="00846442">
              <w:t>,</w:t>
            </w:r>
            <w:r w:rsidR="00846442" w:rsidRPr="000014C1">
              <w:t xml:space="preserve"> </w:t>
            </w:r>
            <w:r w:rsidRPr="000014C1">
              <w:t>Aug 201</w:t>
            </w:r>
            <w:r>
              <w:t>9</w:t>
            </w:r>
            <w:r w:rsidRPr="000014C1">
              <w:t>, table</w:t>
            </w:r>
            <w:r>
              <w:t> </w:t>
            </w:r>
            <w:r w:rsidRPr="000014C1">
              <w:t>11); and ABS (unpublished data).</w:t>
            </w:r>
          </w:p>
        </w:tc>
      </w:tr>
      <w:tr w:rsidR="002B2A31" w14:paraId="5749AF9D" w14:textId="77777777" w:rsidTr="00CC0374">
        <w:tc>
          <w:tcPr>
            <w:tcW w:w="5000" w:type="pct"/>
            <w:tcBorders>
              <w:top w:val="nil"/>
              <w:left w:val="nil"/>
              <w:bottom w:val="single" w:sz="6" w:space="0" w:color="78A22F"/>
              <w:right w:val="nil"/>
            </w:tcBorders>
            <w:shd w:val="clear" w:color="auto" w:fill="auto"/>
          </w:tcPr>
          <w:p w14:paraId="2D1344F8" w14:textId="77777777" w:rsidR="002B2A31" w:rsidRDefault="002B2A31" w:rsidP="00CC0374">
            <w:pPr>
              <w:pStyle w:val="Box"/>
              <w:spacing w:before="0" w:line="120" w:lineRule="exact"/>
            </w:pPr>
          </w:p>
        </w:tc>
      </w:tr>
      <w:tr w:rsidR="002B2A31" w:rsidRPr="000863A5" w14:paraId="614A80A9" w14:textId="77777777" w:rsidTr="00CC0374">
        <w:tc>
          <w:tcPr>
            <w:tcW w:w="5000" w:type="pct"/>
            <w:tcBorders>
              <w:top w:val="single" w:sz="6" w:space="0" w:color="78A22F"/>
              <w:left w:val="nil"/>
              <w:bottom w:val="nil"/>
              <w:right w:val="nil"/>
            </w:tcBorders>
          </w:tcPr>
          <w:p w14:paraId="40E30BDA" w14:textId="77777777" w:rsidR="002B2A31" w:rsidRPr="00626D32" w:rsidRDefault="002B2A31" w:rsidP="00CC0374">
            <w:pPr>
              <w:pStyle w:val="BoxSpaceBelow"/>
            </w:pPr>
          </w:p>
        </w:tc>
      </w:tr>
    </w:tbl>
    <w:p w14:paraId="0236C4C4" w14:textId="77777777" w:rsidR="002B2A31" w:rsidRDefault="002B2A31" w:rsidP="002B2A31">
      <w:pPr>
        <w:rPr>
          <w:szCs w:val="20"/>
        </w:rPr>
      </w:pPr>
      <w:r>
        <w:br w:type="page"/>
      </w:r>
    </w:p>
    <w:p w14:paraId="0A273FDD" w14:textId="77777777" w:rsidR="002B2A31" w:rsidRDefault="002B2A31" w:rsidP="002B2A31">
      <w:pPr>
        <w:pStyle w:val="BodyText"/>
      </w:pPr>
      <w:r>
        <w:lastRenderedPageBreak/>
        <w:t>Productivity growth is a key source of long</w:t>
      </w:r>
      <w:r>
        <w:noBreakHyphen/>
        <w:t>term economic and income growth, and as such, is an important determinant of a country’s average living standards (box 1). Conceptually, it seeks to quantity</w:t>
      </w:r>
      <w:r w:rsidRPr="003F0DCD">
        <w:t xml:space="preserve"> how efficiently resources, such as capital and labour, </w:t>
      </w:r>
      <w:r>
        <w:t xml:space="preserve">but also land, energy, environmental services, and other unpriced public goods, </w:t>
      </w:r>
      <w:r w:rsidRPr="003F0DCD">
        <w:t xml:space="preserve">are used to produce </w:t>
      </w:r>
      <w:r>
        <w:t xml:space="preserve">output — </w:t>
      </w:r>
      <w:r w:rsidRPr="003F0DCD">
        <w:t>the goods and services we consume every day.</w:t>
      </w:r>
    </w:p>
    <w:p w14:paraId="1EC9BEA8" w14:textId="77777777" w:rsidR="00B45B68" w:rsidRDefault="002B2A31" w:rsidP="002B2A31">
      <w:pPr>
        <w:pStyle w:val="BodyText"/>
      </w:pPr>
      <w:r>
        <w:t xml:space="preserve">This </w:t>
      </w:r>
      <w:r>
        <w:rPr>
          <w:i/>
        </w:rPr>
        <w:t xml:space="preserve">PC Productivity Insights </w:t>
      </w:r>
      <w:r>
        <w:t>paper analyses the most recent productivity trends at a highly</w:t>
      </w:r>
      <w:r>
        <w:noBreakHyphen/>
        <w:t>aggregated level, comprising labour productivity for the whole economy and both labour productivity and multifactor productivity for the market sector and its component industries (box 2). Annual data can be volatile, and subject to</w:t>
      </w:r>
      <w:r w:rsidR="00613376">
        <w:t xml:space="preserve"> revisions and</w:t>
      </w:r>
      <w:r>
        <w:t xml:space="preserve"> cyclical shocks. Medium</w:t>
      </w:r>
      <w:r>
        <w:noBreakHyphen/>
        <w:t xml:space="preserve">term trends over the past five years or longer periods generally provide a clearer guide to developments in the economy. </w:t>
      </w:r>
    </w:p>
    <w:p w14:paraId="3CA3F46F" w14:textId="77777777" w:rsidR="002B2A31" w:rsidRDefault="002B2A31" w:rsidP="002B2A31">
      <w:pPr>
        <w:pStyle w:val="BodyText"/>
      </w:pPr>
      <w:r>
        <w:t>Overall, this year’s data present a continuation of a pattern of weaker productivity outcomes evident in Australia since about 2005, in step with a slowing in productivity growth globally. Such high</w:t>
      </w:r>
      <w:r>
        <w:noBreakHyphen/>
        <w:t>level productivity measures ra</w:t>
      </w:r>
      <w:r w:rsidR="00B45B68">
        <w:t xml:space="preserve">rely provide guidance to policy </w:t>
      </w:r>
      <w:r>
        <w:t>makers about specific problems to target, but the sustained weakness in productivity data is rightly cause for concern.</w:t>
      </w:r>
    </w:p>
    <w:p w14:paraId="78E526DE" w14:textId="77777777" w:rsidR="002B2A31" w:rsidRDefault="002B2A31" w:rsidP="002B2A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496F4526" w14:textId="77777777" w:rsidTr="00CC0374">
        <w:trPr>
          <w:tblHeader/>
        </w:trPr>
        <w:tc>
          <w:tcPr>
            <w:tcW w:w="5000" w:type="pct"/>
            <w:tcBorders>
              <w:top w:val="single" w:sz="6" w:space="0" w:color="78A22F"/>
              <w:left w:val="nil"/>
              <w:bottom w:val="nil"/>
              <w:right w:val="nil"/>
            </w:tcBorders>
            <w:shd w:val="clear" w:color="auto" w:fill="F2F2F2"/>
          </w:tcPr>
          <w:p w14:paraId="0A110165" w14:textId="45F0F8D3" w:rsidR="002B2A31" w:rsidRDefault="002B2A31" w:rsidP="00CC0374">
            <w:pPr>
              <w:pStyle w:val="BoxTitle"/>
            </w:pPr>
            <w:r>
              <w:rPr>
                <w:b w:val="0"/>
              </w:rPr>
              <w:t xml:space="preserve">Box </w:t>
            </w:r>
            <w:r w:rsidR="00A73986">
              <w:rPr>
                <w:b w:val="0"/>
                <w:noProof/>
              </w:rPr>
              <w:t>1</w:t>
            </w:r>
            <w:r>
              <w:tab/>
              <w:t>Productivity gains drive down the cost of goods and services</w:t>
            </w:r>
          </w:p>
        </w:tc>
      </w:tr>
      <w:tr w:rsidR="002B2A31" w14:paraId="0B5D4A5E" w14:textId="77777777" w:rsidTr="00CC0374">
        <w:tc>
          <w:tcPr>
            <w:tcW w:w="5000" w:type="pct"/>
            <w:tcBorders>
              <w:top w:val="nil"/>
              <w:left w:val="nil"/>
              <w:bottom w:val="nil"/>
              <w:right w:val="nil"/>
            </w:tcBorders>
            <w:shd w:val="clear" w:color="auto" w:fill="F2F2F2"/>
          </w:tcPr>
          <w:p w14:paraId="4CBCAB41" w14:textId="26D652EF" w:rsidR="002B2A31" w:rsidRDefault="002B2A31" w:rsidP="00CC0374">
            <w:pPr>
              <w:pStyle w:val="Box"/>
            </w:pPr>
            <w:r w:rsidRPr="00B86C2A">
              <w:t xml:space="preserve">Quoting just the increase in GDP per capita fails to capture the enormous change in lifestyle of everyday Australians, including the most disadvantaged members of society, since Federation. For example, the price of individual goods, in terms of hours a person needs to work in order to buy them, has fallen </w:t>
            </w:r>
            <w:r>
              <w:t>dramatically</w:t>
            </w:r>
            <w:r w:rsidRPr="00B86C2A">
              <w:t xml:space="preserve"> </w:t>
            </w:r>
            <w:r>
              <w:t>(table 3</w:t>
            </w:r>
            <w:r w:rsidRPr="00B86C2A">
              <w:t xml:space="preserve">). </w:t>
            </w:r>
            <w:r w:rsidR="00B45B68" w:rsidRPr="00B86C2A">
              <w:t xml:space="preserve">Even </w:t>
            </w:r>
            <w:r w:rsidR="00B45B68">
              <w:t xml:space="preserve">housing </w:t>
            </w:r>
            <w:r w:rsidR="00B45B68" w:rsidRPr="00B86C2A">
              <w:t>rental costs, which have risen in</w:t>
            </w:r>
            <w:r w:rsidR="00B45B68">
              <w:t xml:space="preserve"> real</w:t>
            </w:r>
            <w:r w:rsidR="00B45B68" w:rsidRPr="00B86C2A">
              <w:t xml:space="preserve"> dollar terms, have fallen in labour </w:t>
            </w:r>
            <w:r w:rsidR="0000713E">
              <w:t xml:space="preserve">time </w:t>
            </w:r>
            <w:r w:rsidR="00B45B68" w:rsidRPr="00B86C2A">
              <w:t>cost terms</w:t>
            </w:r>
            <w:r w:rsidR="004E2D93">
              <w:t xml:space="preserve"> (on average, across the country)</w:t>
            </w:r>
            <w:r w:rsidR="00B45B68" w:rsidRPr="00B86C2A">
              <w:t xml:space="preserve"> — the average person needed to work about </w:t>
            </w:r>
            <w:r w:rsidR="00B45B68">
              <w:t>22</w:t>
            </w:r>
            <w:r w:rsidR="00B45B68" w:rsidRPr="00B86C2A">
              <w:t xml:space="preserve"> hours to rent a three bedroom house in 1901, while in 20</w:t>
            </w:r>
            <w:r w:rsidR="00B45B68">
              <w:t>19</w:t>
            </w:r>
            <w:r w:rsidR="00B45B68" w:rsidRPr="00B86C2A">
              <w:t xml:space="preserve"> the same person would need only need to have work for about 1</w:t>
            </w:r>
            <w:r w:rsidR="00B45B68">
              <w:t>2</w:t>
            </w:r>
            <w:r w:rsidR="00B45B68" w:rsidRPr="00B86C2A">
              <w:t xml:space="preserve"> hours.</w:t>
            </w:r>
            <w:r>
              <w:t xml:space="preserve"> A more dramatic example is the bicycle, which in 1901 would require several months of work to afford, now requires less than a day of work. These falling costs also likely understate the increased quality of most goods available now compared to what was available at Federation. For example, even the lowest quality new bicycles produced now are now much safer and easier to use than those produced at Federation. </w:t>
            </w:r>
          </w:p>
          <w:p w14:paraId="7D02BE64" w14:textId="22D57B2D" w:rsidR="002B2A31" w:rsidRDefault="002B2A31" w:rsidP="00CC0374">
            <w:pPr>
              <w:pStyle w:val="Box"/>
            </w:pPr>
            <w:r>
              <w:t>More significant in the lives of many people, are the goods which are cheaply available now that had not been invented at Federation. Antibiotics, for example, have played a substantial role in lowering the mor</w:t>
            </w:r>
            <w:r w:rsidR="009B78D2">
              <w:t>t</w:t>
            </w:r>
            <w:r>
              <w:t>ality from infectious disease from about 301 per 100 000 people in 1907 to 10.7 per 100 000 people in 2017</w:t>
            </w:r>
            <w:r w:rsidR="00B45B68">
              <w:t xml:space="preserve"> </w:t>
            </w:r>
            <w:r w:rsidR="00EA3852" w:rsidRPr="00EA3852">
              <w:rPr>
                <w:rFonts w:cs="Arial"/>
                <w:szCs w:val="24"/>
              </w:rPr>
              <w:t>(AIHW 2019)</w:t>
            </w:r>
            <w:r>
              <w:t>, and are available for about 9 minutes of work.</w:t>
            </w:r>
          </w:p>
          <w:p w14:paraId="6D4F041A" w14:textId="34BE8134" w:rsidR="002B2A31" w:rsidRPr="000B7753" w:rsidRDefault="002B2A31" w:rsidP="00731F90">
            <w:pPr>
              <w:pStyle w:val="Box"/>
            </w:pPr>
            <w:r>
              <w:t>Since the turn of the millennium, the effect of productivity on the labour cost of goods has been mixed</w:t>
            </w:r>
            <w:r w:rsidR="00B45B68">
              <w:t xml:space="preserve"> (</w:t>
            </w:r>
            <w:r w:rsidR="00731F90">
              <w:t>figure below</w:t>
            </w:r>
            <w:r w:rsidR="00B45B68">
              <w:t>)</w:t>
            </w:r>
            <w:r>
              <w:t>. The cost</w:t>
            </w:r>
            <w:r w:rsidR="00E80BCD">
              <w:t>s</w:t>
            </w:r>
            <w:r>
              <w:t xml:space="preserve"> of many goods, ha</w:t>
            </w:r>
            <w:r w:rsidR="00E80BCD">
              <w:t>ve</w:t>
            </w:r>
            <w:r>
              <w:t xml:space="preserve"> fallen dramatically — for example, the cost of clothing and footwear has decreased about 60 per cent. On the other hand, the labour cost of many</w:t>
            </w:r>
            <w:r w:rsidR="00E80BCD">
              <w:t xml:space="preserve"> products (mostly services and utilities)</w:t>
            </w:r>
            <w:r>
              <w:t xml:space="preserve"> ha</w:t>
            </w:r>
            <w:r w:rsidR="00E80BCD">
              <w:t>ve</w:t>
            </w:r>
            <w:r>
              <w:t xml:space="preserve"> increased substantially. It is notable that most of the increase in the labour cost of these goods occurred since 2012</w:t>
            </w:r>
            <w:r>
              <w:noBreakHyphen/>
              <w:t>13, coinciding with the recent wage stagnation and the peak of the mining boom.</w:t>
            </w:r>
          </w:p>
        </w:tc>
      </w:tr>
      <w:tr w:rsidR="002B2A31" w14:paraId="6E0FFC62" w14:textId="77777777" w:rsidTr="00CC0374">
        <w:tc>
          <w:tcPr>
            <w:tcW w:w="5000" w:type="pct"/>
            <w:tcBorders>
              <w:top w:val="nil"/>
              <w:left w:val="nil"/>
              <w:bottom w:val="nil"/>
              <w:right w:val="nil"/>
            </w:tcBorders>
            <w:shd w:val="clear" w:color="auto" w:fill="F2F2F2"/>
          </w:tcPr>
          <w:p w14:paraId="14FAA170" w14:textId="19B82F55" w:rsidR="002B2A31" w:rsidRDefault="002B2A31" w:rsidP="00680608">
            <w:pPr>
              <w:pStyle w:val="BoxSource"/>
              <w:jc w:val="right"/>
            </w:pPr>
            <w:r>
              <w:t>(continued next page)</w:t>
            </w:r>
          </w:p>
        </w:tc>
      </w:tr>
      <w:tr w:rsidR="002B2A31" w14:paraId="497CFA39" w14:textId="77777777" w:rsidTr="00CC0374">
        <w:tc>
          <w:tcPr>
            <w:tcW w:w="5000" w:type="pct"/>
            <w:tcBorders>
              <w:top w:val="nil"/>
              <w:left w:val="nil"/>
              <w:bottom w:val="single" w:sz="6" w:space="0" w:color="78A22F"/>
              <w:right w:val="nil"/>
            </w:tcBorders>
            <w:shd w:val="clear" w:color="auto" w:fill="F2F2F2"/>
          </w:tcPr>
          <w:p w14:paraId="76522C5E" w14:textId="77777777" w:rsidR="002B2A31" w:rsidRDefault="002B2A31" w:rsidP="00CC0374">
            <w:pPr>
              <w:pStyle w:val="Box"/>
              <w:spacing w:before="0" w:line="120" w:lineRule="exact"/>
            </w:pPr>
          </w:p>
        </w:tc>
      </w:tr>
      <w:tr w:rsidR="002B2A31" w:rsidRPr="000863A5" w14:paraId="1E2C169E" w14:textId="77777777" w:rsidTr="00CC0374">
        <w:tc>
          <w:tcPr>
            <w:tcW w:w="5000" w:type="pct"/>
            <w:tcBorders>
              <w:top w:val="single" w:sz="6" w:space="0" w:color="78A22F"/>
              <w:left w:val="nil"/>
              <w:bottom w:val="nil"/>
              <w:right w:val="nil"/>
            </w:tcBorders>
          </w:tcPr>
          <w:p w14:paraId="5A984215" w14:textId="77777777" w:rsidR="002B2A31" w:rsidRPr="00626D32" w:rsidRDefault="002B2A31" w:rsidP="00CC0374">
            <w:pPr>
              <w:pStyle w:val="BoxSpaceBelow"/>
            </w:pPr>
          </w:p>
        </w:tc>
      </w:tr>
    </w:tbl>
    <w:p w14:paraId="1C6C6FF6" w14:textId="77777777" w:rsidR="002B2A31" w:rsidRDefault="002B2A31" w:rsidP="002B2A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08CCB9D3" w14:textId="77777777" w:rsidTr="00CC0374">
        <w:trPr>
          <w:tblHeader/>
        </w:trPr>
        <w:tc>
          <w:tcPr>
            <w:tcW w:w="5000" w:type="pct"/>
            <w:tcBorders>
              <w:top w:val="single" w:sz="6" w:space="0" w:color="78A22F"/>
              <w:left w:val="nil"/>
              <w:bottom w:val="nil"/>
              <w:right w:val="nil"/>
            </w:tcBorders>
            <w:shd w:val="clear" w:color="auto" w:fill="F2F2F2"/>
          </w:tcPr>
          <w:p w14:paraId="070FEB90" w14:textId="77777777" w:rsidR="002B2A31" w:rsidRDefault="002B2A31" w:rsidP="00C3765F">
            <w:pPr>
              <w:pStyle w:val="BoxTitle"/>
            </w:pPr>
            <w:r>
              <w:rPr>
                <w:b w:val="0"/>
              </w:rPr>
              <w:t>Box 1</w:t>
            </w:r>
            <w:r>
              <w:tab/>
            </w:r>
            <w:r w:rsidRPr="00680608">
              <w:rPr>
                <w:b w:val="0"/>
                <w:sz w:val="18"/>
                <w:szCs w:val="18"/>
              </w:rPr>
              <w:t>(continued)</w:t>
            </w:r>
          </w:p>
        </w:tc>
      </w:tr>
      <w:tr w:rsidR="002B2A31" w14:paraId="0F2FA744" w14:textId="77777777" w:rsidTr="00CC0374">
        <w:trPr>
          <w:trHeight w:val="2742"/>
        </w:trPr>
        <w:tc>
          <w:tcPr>
            <w:tcW w:w="5000" w:type="pct"/>
            <w:tcBorders>
              <w:top w:val="nil"/>
              <w:left w:val="nil"/>
              <w:bottom w:val="nil"/>
              <w:right w:val="nil"/>
            </w:tcBorders>
            <w:shd w:val="clear" w:color="auto" w:fill="F2F2F2"/>
          </w:tcPr>
          <w:p w14:paraId="3865ABE3" w14:textId="365C9F2B" w:rsidR="00EA3852" w:rsidRPr="00BB70E4" w:rsidRDefault="00D10DB2" w:rsidP="00680608">
            <w:pPr>
              <w:pStyle w:val="BoxHeading1"/>
              <w:rPr>
                <w:rStyle w:val="NoteLabel"/>
                <w:b/>
                <w:spacing w:val="-4"/>
                <w:sz w:val="22"/>
                <w:szCs w:val="22"/>
              </w:rPr>
            </w:pPr>
            <w:r>
              <w:rPr>
                <w:rStyle w:val="NoteLabel"/>
                <w:b/>
                <w:spacing w:val="-4"/>
                <w:sz w:val="22"/>
                <w:szCs w:val="22"/>
              </w:rPr>
              <w:t>H</w:t>
            </w:r>
            <w:r w:rsidR="00EA3852" w:rsidRPr="00BB70E4">
              <w:rPr>
                <w:rStyle w:val="NoteLabel"/>
                <w:b/>
                <w:spacing w:val="-4"/>
                <w:sz w:val="22"/>
                <w:szCs w:val="22"/>
              </w:rPr>
              <w:t>ours of work needed to purchase particular goods in 1901, 2000 and 2019</w:t>
            </w:r>
          </w:p>
          <w:tbl>
            <w:tblPr>
              <w:tblW w:w="5000" w:type="pct"/>
              <w:tblCellMar>
                <w:top w:w="28" w:type="dxa"/>
                <w:left w:w="0" w:type="dxa"/>
                <w:right w:w="0" w:type="dxa"/>
              </w:tblCellMar>
              <w:tblLook w:val="0000" w:firstRow="0" w:lastRow="0" w:firstColumn="0" w:lastColumn="0" w:noHBand="0" w:noVBand="0"/>
            </w:tblPr>
            <w:tblGrid>
              <w:gridCol w:w="2131"/>
              <w:gridCol w:w="2126"/>
              <w:gridCol w:w="2125"/>
              <w:gridCol w:w="2123"/>
            </w:tblGrid>
            <w:tr w:rsidR="00EA3852" w14:paraId="18E120BA" w14:textId="77777777" w:rsidTr="00CC0374">
              <w:trPr>
                <w:tblHeader/>
              </w:trPr>
              <w:tc>
                <w:tcPr>
                  <w:tcW w:w="1253" w:type="pct"/>
                  <w:tcBorders>
                    <w:top w:val="single" w:sz="6" w:space="0" w:color="BFBFBF"/>
                    <w:bottom w:val="single" w:sz="6" w:space="0" w:color="BFBFBF"/>
                  </w:tcBorders>
                  <w:shd w:val="clear" w:color="auto" w:fill="auto"/>
                  <w:tcMar>
                    <w:top w:w="28" w:type="dxa"/>
                  </w:tcMar>
                </w:tcPr>
                <w:p w14:paraId="33CE5018" w14:textId="77777777" w:rsidR="00EA3852" w:rsidRDefault="00EA3852" w:rsidP="00EA3852"/>
              </w:tc>
              <w:tc>
                <w:tcPr>
                  <w:tcW w:w="1250" w:type="pct"/>
                  <w:tcBorders>
                    <w:top w:val="single" w:sz="6" w:space="0" w:color="BFBFBF"/>
                    <w:bottom w:val="single" w:sz="6" w:space="0" w:color="BFBFBF"/>
                  </w:tcBorders>
                </w:tcPr>
                <w:p w14:paraId="0CE36B09" w14:textId="77777777" w:rsidR="00EA3852" w:rsidRDefault="00EA3852" w:rsidP="00EA3852">
                  <w:pPr>
                    <w:pStyle w:val="TableColumnHeading"/>
                  </w:pPr>
                  <w:r>
                    <w:t>1901</w:t>
                  </w:r>
                </w:p>
              </w:tc>
              <w:tc>
                <w:tcPr>
                  <w:tcW w:w="1249" w:type="pct"/>
                  <w:tcBorders>
                    <w:top w:val="single" w:sz="6" w:space="0" w:color="BFBFBF"/>
                    <w:bottom w:val="single" w:sz="6" w:space="0" w:color="BFBFBF"/>
                  </w:tcBorders>
                </w:tcPr>
                <w:p w14:paraId="0B8DE23C" w14:textId="77777777" w:rsidR="00EA3852" w:rsidRDefault="00EA3852" w:rsidP="00EA3852">
                  <w:pPr>
                    <w:pStyle w:val="TableColumnHeading"/>
                  </w:pPr>
                  <w:r>
                    <w:t>2000</w:t>
                  </w:r>
                </w:p>
              </w:tc>
              <w:tc>
                <w:tcPr>
                  <w:tcW w:w="1249" w:type="pct"/>
                  <w:tcBorders>
                    <w:top w:val="single" w:sz="6" w:space="0" w:color="BFBFBF"/>
                    <w:bottom w:val="single" w:sz="6" w:space="0" w:color="BFBFBF"/>
                  </w:tcBorders>
                  <w:shd w:val="clear" w:color="auto" w:fill="auto"/>
                  <w:tcMar>
                    <w:top w:w="28" w:type="dxa"/>
                  </w:tcMar>
                </w:tcPr>
                <w:p w14:paraId="5D2CC07B" w14:textId="77777777" w:rsidR="00EA3852" w:rsidRDefault="00EA3852" w:rsidP="00EA3852">
                  <w:pPr>
                    <w:pStyle w:val="TableColumnHeading"/>
                    <w:ind w:right="28"/>
                  </w:pPr>
                  <w:r>
                    <w:t>2019</w:t>
                  </w:r>
                </w:p>
              </w:tc>
            </w:tr>
            <w:tr w:rsidR="00EA3852" w14:paraId="520DABD7" w14:textId="77777777" w:rsidTr="00CC0374">
              <w:tc>
                <w:tcPr>
                  <w:tcW w:w="1253" w:type="pct"/>
                  <w:tcBorders>
                    <w:top w:val="single" w:sz="6" w:space="0" w:color="BFBFBF"/>
                  </w:tcBorders>
                </w:tcPr>
                <w:p w14:paraId="0FB14495" w14:textId="77777777" w:rsidR="00EA3852" w:rsidRDefault="00EA3852" w:rsidP="00EA3852">
                  <w:pPr>
                    <w:pStyle w:val="TableUnitsRow"/>
                    <w:jc w:val="left"/>
                  </w:pPr>
                </w:p>
              </w:tc>
              <w:tc>
                <w:tcPr>
                  <w:tcW w:w="1250" w:type="pct"/>
                  <w:tcBorders>
                    <w:top w:val="single" w:sz="6" w:space="0" w:color="BFBFBF"/>
                  </w:tcBorders>
                </w:tcPr>
                <w:p w14:paraId="1EA0C6C5" w14:textId="77777777" w:rsidR="00EA3852" w:rsidRDefault="00EA3852" w:rsidP="00EA3852">
                  <w:pPr>
                    <w:pStyle w:val="TableUnitsRow"/>
                  </w:pPr>
                  <w:r>
                    <w:t>Hours</w:t>
                  </w:r>
                </w:p>
              </w:tc>
              <w:tc>
                <w:tcPr>
                  <w:tcW w:w="1249" w:type="pct"/>
                  <w:tcBorders>
                    <w:top w:val="single" w:sz="6" w:space="0" w:color="BFBFBF"/>
                  </w:tcBorders>
                </w:tcPr>
                <w:p w14:paraId="18F647B7" w14:textId="77777777" w:rsidR="00EA3852" w:rsidRDefault="00EA3852" w:rsidP="00EA3852">
                  <w:pPr>
                    <w:pStyle w:val="TableUnitsRow"/>
                  </w:pPr>
                  <w:r>
                    <w:t>Hours</w:t>
                  </w:r>
                </w:p>
              </w:tc>
              <w:tc>
                <w:tcPr>
                  <w:tcW w:w="1249" w:type="pct"/>
                  <w:tcBorders>
                    <w:top w:val="single" w:sz="6" w:space="0" w:color="BFBFBF"/>
                  </w:tcBorders>
                </w:tcPr>
                <w:p w14:paraId="3B29EA48" w14:textId="77777777" w:rsidR="00EA3852" w:rsidRDefault="00EA3852" w:rsidP="00EA3852">
                  <w:pPr>
                    <w:pStyle w:val="TableUnitsRow"/>
                    <w:ind w:right="28"/>
                  </w:pPr>
                  <w:r>
                    <w:t>Hours</w:t>
                  </w:r>
                </w:p>
              </w:tc>
            </w:tr>
            <w:tr w:rsidR="00EA3852" w14:paraId="69A6B2AB" w14:textId="77777777" w:rsidTr="00CC0374">
              <w:tc>
                <w:tcPr>
                  <w:tcW w:w="1253" w:type="pct"/>
                </w:tcPr>
                <w:p w14:paraId="71862F38" w14:textId="77777777" w:rsidR="00EA3852" w:rsidRDefault="00EA3852" w:rsidP="00EA3852">
                  <w:pPr>
                    <w:pStyle w:val="TableBodyText"/>
                    <w:jc w:val="left"/>
                  </w:pPr>
                  <w:r>
                    <w:t>Rent (3 bedroom house)</w:t>
                  </w:r>
                </w:p>
              </w:tc>
              <w:tc>
                <w:tcPr>
                  <w:tcW w:w="1250" w:type="pct"/>
                </w:tcPr>
                <w:p w14:paraId="43CE688F" w14:textId="77777777" w:rsidR="00EA3852" w:rsidRDefault="00EA3852" w:rsidP="00EA3852">
                  <w:pPr>
                    <w:pStyle w:val="TableBodyText"/>
                  </w:pPr>
                  <w:r w:rsidRPr="00B953AB">
                    <w:t>22.1</w:t>
                  </w:r>
                </w:p>
              </w:tc>
              <w:tc>
                <w:tcPr>
                  <w:tcW w:w="1249" w:type="pct"/>
                </w:tcPr>
                <w:p w14:paraId="608E2178" w14:textId="77777777" w:rsidR="00EA3852" w:rsidRPr="00445DD9" w:rsidRDefault="00EA3852" w:rsidP="00EA3852">
                  <w:pPr>
                    <w:pStyle w:val="TableBodyText"/>
                  </w:pPr>
                  <w:r>
                    <w:t>13.9</w:t>
                  </w:r>
                </w:p>
              </w:tc>
              <w:tc>
                <w:tcPr>
                  <w:tcW w:w="1249" w:type="pct"/>
                </w:tcPr>
                <w:p w14:paraId="47A6EB89" w14:textId="77777777" w:rsidR="00EA3852" w:rsidRDefault="00EA3852" w:rsidP="00EA3852">
                  <w:pPr>
                    <w:pStyle w:val="TableBodyText"/>
                    <w:ind w:right="28"/>
                  </w:pPr>
                  <w:r w:rsidRPr="00445DD9">
                    <w:t>11.8</w:t>
                  </w:r>
                </w:p>
              </w:tc>
            </w:tr>
            <w:tr w:rsidR="00EA3852" w14:paraId="0DEA38D5" w14:textId="77777777" w:rsidTr="00CC0374">
              <w:tc>
                <w:tcPr>
                  <w:tcW w:w="1253" w:type="pct"/>
                </w:tcPr>
                <w:p w14:paraId="3B214A66" w14:textId="77777777" w:rsidR="00EA3852" w:rsidRDefault="00EA3852" w:rsidP="00EA3852">
                  <w:pPr>
                    <w:pStyle w:val="TableBodyText"/>
                    <w:jc w:val="left"/>
                  </w:pPr>
                  <w:r>
                    <w:t>Bicycle</w:t>
                  </w:r>
                </w:p>
              </w:tc>
              <w:tc>
                <w:tcPr>
                  <w:tcW w:w="1250" w:type="pct"/>
                </w:tcPr>
                <w:p w14:paraId="073003B3" w14:textId="77777777" w:rsidR="00EA3852" w:rsidRDefault="00EA3852" w:rsidP="00EA3852">
                  <w:pPr>
                    <w:pStyle w:val="TableBodyText"/>
                  </w:pPr>
                  <w:r w:rsidRPr="00B953AB">
                    <w:t>527.4</w:t>
                  </w:r>
                </w:p>
              </w:tc>
              <w:tc>
                <w:tcPr>
                  <w:tcW w:w="1249" w:type="pct"/>
                </w:tcPr>
                <w:p w14:paraId="580A98EE" w14:textId="77777777" w:rsidR="00EA3852" w:rsidRDefault="00EA3852" w:rsidP="00EA3852">
                  <w:pPr>
                    <w:pStyle w:val="TableBodyText"/>
                  </w:pPr>
                  <w:r>
                    <w:t>17.8</w:t>
                  </w:r>
                </w:p>
              </w:tc>
              <w:tc>
                <w:tcPr>
                  <w:tcW w:w="1249" w:type="pct"/>
                </w:tcPr>
                <w:p w14:paraId="2999D76D" w14:textId="77777777" w:rsidR="00EA3852" w:rsidRDefault="00EA3852" w:rsidP="00EA3852">
                  <w:pPr>
                    <w:pStyle w:val="TableBodyText"/>
                    <w:ind w:right="28"/>
                  </w:pPr>
                  <w:r>
                    <w:t>7.5</w:t>
                  </w:r>
                </w:p>
              </w:tc>
            </w:tr>
            <w:tr w:rsidR="00EA3852" w14:paraId="3CBA8776" w14:textId="77777777" w:rsidTr="00CC0374">
              <w:tc>
                <w:tcPr>
                  <w:tcW w:w="1253" w:type="pct"/>
                </w:tcPr>
                <w:p w14:paraId="6D92FAC0" w14:textId="77777777" w:rsidR="00EA3852" w:rsidRDefault="00EA3852" w:rsidP="00EA3852">
                  <w:pPr>
                    <w:pStyle w:val="TableBodyText"/>
                    <w:jc w:val="left"/>
                  </w:pPr>
                  <w:r>
                    <w:t>Game of football</w:t>
                  </w:r>
                </w:p>
              </w:tc>
              <w:tc>
                <w:tcPr>
                  <w:tcW w:w="1250" w:type="pct"/>
                </w:tcPr>
                <w:p w14:paraId="3AAA7A82" w14:textId="77777777" w:rsidR="00EA3852" w:rsidRDefault="00EA3852" w:rsidP="00EA3852">
                  <w:pPr>
                    <w:pStyle w:val="TableBodyText"/>
                  </w:pPr>
                  <w:r>
                    <w:t>1.7</w:t>
                  </w:r>
                </w:p>
              </w:tc>
              <w:tc>
                <w:tcPr>
                  <w:tcW w:w="1249" w:type="pct"/>
                </w:tcPr>
                <w:p w14:paraId="392A904A" w14:textId="77777777" w:rsidR="00EA3852" w:rsidRDefault="00EA3852" w:rsidP="00EA3852">
                  <w:pPr>
                    <w:pStyle w:val="TableBodyText"/>
                  </w:pPr>
                  <w:r>
                    <w:t>1.2</w:t>
                  </w:r>
                </w:p>
              </w:tc>
              <w:tc>
                <w:tcPr>
                  <w:tcW w:w="1249" w:type="pct"/>
                </w:tcPr>
                <w:p w14:paraId="30EE302A" w14:textId="77777777" w:rsidR="00EA3852" w:rsidRDefault="00EA3852" w:rsidP="00EA3852">
                  <w:pPr>
                    <w:pStyle w:val="TableBodyText"/>
                    <w:ind w:right="28"/>
                  </w:pPr>
                  <w:r>
                    <w:t>1.2</w:t>
                  </w:r>
                </w:p>
              </w:tc>
            </w:tr>
            <w:tr w:rsidR="00EA3852" w14:paraId="52E0C82D" w14:textId="77777777" w:rsidTr="00CC0374">
              <w:tc>
                <w:tcPr>
                  <w:tcW w:w="1253" w:type="pct"/>
                  <w:tcBorders>
                    <w:top w:val="single" w:sz="6" w:space="0" w:color="BFBFBF"/>
                  </w:tcBorders>
                </w:tcPr>
                <w:p w14:paraId="5AEB894A" w14:textId="77777777" w:rsidR="00EA3852" w:rsidRDefault="00EA3852" w:rsidP="00EA3852">
                  <w:pPr>
                    <w:pStyle w:val="TableUnitsRow"/>
                    <w:jc w:val="left"/>
                  </w:pPr>
                </w:p>
              </w:tc>
              <w:tc>
                <w:tcPr>
                  <w:tcW w:w="1250" w:type="pct"/>
                  <w:tcBorders>
                    <w:top w:val="single" w:sz="6" w:space="0" w:color="BFBFBF"/>
                  </w:tcBorders>
                </w:tcPr>
                <w:p w14:paraId="18FECA68" w14:textId="77777777" w:rsidR="00EA3852" w:rsidRDefault="00EA3852" w:rsidP="00EA3852">
                  <w:pPr>
                    <w:pStyle w:val="TableUnitsRow"/>
                  </w:pPr>
                  <w:r>
                    <w:t>Minutes</w:t>
                  </w:r>
                </w:p>
              </w:tc>
              <w:tc>
                <w:tcPr>
                  <w:tcW w:w="1249" w:type="pct"/>
                  <w:tcBorders>
                    <w:top w:val="single" w:sz="6" w:space="0" w:color="BFBFBF"/>
                  </w:tcBorders>
                </w:tcPr>
                <w:p w14:paraId="01A7A830" w14:textId="77777777" w:rsidR="00EA3852" w:rsidRDefault="00EA3852" w:rsidP="00EA3852">
                  <w:pPr>
                    <w:pStyle w:val="TableUnitsRow"/>
                  </w:pPr>
                  <w:r>
                    <w:t>Minutes</w:t>
                  </w:r>
                </w:p>
              </w:tc>
              <w:tc>
                <w:tcPr>
                  <w:tcW w:w="1249" w:type="pct"/>
                  <w:tcBorders>
                    <w:top w:val="single" w:sz="6" w:space="0" w:color="BFBFBF"/>
                  </w:tcBorders>
                </w:tcPr>
                <w:p w14:paraId="17EBF9F4" w14:textId="77777777" w:rsidR="00EA3852" w:rsidRDefault="00EA3852" w:rsidP="00EA3852">
                  <w:pPr>
                    <w:pStyle w:val="TableUnitsRow"/>
                    <w:ind w:right="28"/>
                  </w:pPr>
                  <w:r>
                    <w:t>Minutes</w:t>
                  </w:r>
                </w:p>
              </w:tc>
            </w:tr>
            <w:tr w:rsidR="00EA3852" w14:paraId="231F3138" w14:textId="77777777" w:rsidTr="00CC0374">
              <w:tc>
                <w:tcPr>
                  <w:tcW w:w="1253" w:type="pct"/>
                </w:tcPr>
                <w:p w14:paraId="146C5715" w14:textId="77777777" w:rsidR="00EA3852" w:rsidRDefault="00EA3852" w:rsidP="00EA3852">
                  <w:pPr>
                    <w:pStyle w:val="TableBodyText"/>
                    <w:jc w:val="left"/>
                  </w:pPr>
                  <w:r>
                    <w:t>Rump steak (1 kg)</w:t>
                  </w:r>
                </w:p>
              </w:tc>
              <w:tc>
                <w:tcPr>
                  <w:tcW w:w="1250" w:type="pct"/>
                </w:tcPr>
                <w:p w14:paraId="1B556BA4" w14:textId="77777777" w:rsidR="00EA3852" w:rsidRDefault="00EA3852" w:rsidP="00EA3852">
                  <w:pPr>
                    <w:pStyle w:val="TableBodyText"/>
                  </w:pPr>
                  <w:r w:rsidRPr="00B953AB">
                    <w:t>142.9</w:t>
                  </w:r>
                </w:p>
              </w:tc>
              <w:tc>
                <w:tcPr>
                  <w:tcW w:w="1249" w:type="pct"/>
                </w:tcPr>
                <w:p w14:paraId="370F3018" w14:textId="77777777" w:rsidR="00EA3852" w:rsidRDefault="00EA3852" w:rsidP="00EA3852">
                  <w:pPr>
                    <w:pStyle w:val="TableBodyText"/>
                  </w:pPr>
                  <w:r>
                    <w:t>41.8</w:t>
                  </w:r>
                </w:p>
              </w:tc>
              <w:tc>
                <w:tcPr>
                  <w:tcW w:w="1249" w:type="pct"/>
                </w:tcPr>
                <w:p w14:paraId="5CB4E76D" w14:textId="77777777" w:rsidR="00EA3852" w:rsidRDefault="00EA3852" w:rsidP="00EA3852">
                  <w:pPr>
                    <w:pStyle w:val="TableBodyText"/>
                    <w:ind w:right="28"/>
                  </w:pPr>
                  <w:r>
                    <w:t>38</w:t>
                  </w:r>
                  <w:r w:rsidRPr="007B338C">
                    <w:t>.0</w:t>
                  </w:r>
                </w:p>
              </w:tc>
            </w:tr>
            <w:tr w:rsidR="00EA3852" w14:paraId="08678C25" w14:textId="77777777" w:rsidTr="00CC0374">
              <w:tc>
                <w:tcPr>
                  <w:tcW w:w="1253" w:type="pct"/>
                </w:tcPr>
                <w:p w14:paraId="7EAFE50A" w14:textId="77777777" w:rsidR="00EA3852" w:rsidRDefault="00EA3852" w:rsidP="00EA3852">
                  <w:pPr>
                    <w:pStyle w:val="TableBodyText"/>
                    <w:jc w:val="left"/>
                  </w:pPr>
                  <w:r>
                    <w:t>Cigarettes (1 packet)</w:t>
                  </w:r>
                </w:p>
              </w:tc>
              <w:tc>
                <w:tcPr>
                  <w:tcW w:w="1250" w:type="pct"/>
                </w:tcPr>
                <w:p w14:paraId="3CF2BD93" w14:textId="77777777" w:rsidR="00EA3852" w:rsidRDefault="00EA3852" w:rsidP="00EA3852">
                  <w:pPr>
                    <w:pStyle w:val="TableBodyText"/>
                  </w:pPr>
                  <w:r w:rsidRPr="00B953AB">
                    <w:t>51.0</w:t>
                  </w:r>
                </w:p>
              </w:tc>
              <w:tc>
                <w:tcPr>
                  <w:tcW w:w="1249" w:type="pct"/>
                </w:tcPr>
                <w:p w14:paraId="475F7D81" w14:textId="77777777" w:rsidR="00EA3852" w:rsidRPr="00445DD9" w:rsidRDefault="00EA3852" w:rsidP="00EA3852">
                  <w:pPr>
                    <w:pStyle w:val="TableBodyText"/>
                  </w:pPr>
                  <w:r>
                    <w:t>37.4</w:t>
                  </w:r>
                </w:p>
              </w:tc>
              <w:tc>
                <w:tcPr>
                  <w:tcW w:w="1249" w:type="pct"/>
                </w:tcPr>
                <w:p w14:paraId="355E942F" w14:textId="77777777" w:rsidR="00EA3852" w:rsidRDefault="00EA3852" w:rsidP="00EA3852">
                  <w:pPr>
                    <w:pStyle w:val="TableBodyText"/>
                    <w:ind w:right="28"/>
                  </w:pPr>
                  <w:r w:rsidRPr="00445DD9">
                    <w:t>92.5</w:t>
                  </w:r>
                </w:p>
              </w:tc>
            </w:tr>
            <w:tr w:rsidR="00EA3852" w14:paraId="6506D190" w14:textId="77777777" w:rsidTr="00CC0374">
              <w:tc>
                <w:tcPr>
                  <w:tcW w:w="1253" w:type="pct"/>
                </w:tcPr>
                <w:p w14:paraId="07781C58" w14:textId="77777777" w:rsidR="00EA3852" w:rsidRDefault="00EA3852" w:rsidP="00EA3852">
                  <w:pPr>
                    <w:pStyle w:val="TableBodyText"/>
                    <w:jc w:val="left"/>
                  </w:pPr>
                  <w:r>
                    <w:t>Antibiotics</w:t>
                  </w:r>
                </w:p>
              </w:tc>
              <w:tc>
                <w:tcPr>
                  <w:tcW w:w="1250" w:type="pct"/>
                </w:tcPr>
                <w:p w14:paraId="25E41896" w14:textId="6C516C7D" w:rsidR="00EA3852" w:rsidRPr="00731B3F" w:rsidRDefault="006E4948" w:rsidP="00EA3852">
                  <w:pPr>
                    <w:pStyle w:val="TableBodyText"/>
                    <w:rPr>
                      <w:szCs w:val="18"/>
                    </w:rPr>
                  </w:pPr>
                  <w:r>
                    <w:rPr>
                      <w:rFonts w:cs="Arial"/>
                      <w:szCs w:val="18"/>
                    </w:rPr>
                    <w:t>na</w:t>
                  </w:r>
                </w:p>
              </w:tc>
              <w:tc>
                <w:tcPr>
                  <w:tcW w:w="1249" w:type="pct"/>
                </w:tcPr>
                <w:p w14:paraId="3A900A4F" w14:textId="77777777" w:rsidR="00EA3852" w:rsidRDefault="00EA3852" w:rsidP="00EA3852">
                  <w:pPr>
                    <w:pStyle w:val="TableBodyText"/>
                  </w:pPr>
                  <w:r>
                    <w:t>18.0</w:t>
                  </w:r>
                </w:p>
              </w:tc>
              <w:tc>
                <w:tcPr>
                  <w:tcW w:w="1249" w:type="pct"/>
                </w:tcPr>
                <w:p w14:paraId="42E84E0B" w14:textId="77777777" w:rsidR="00EA3852" w:rsidRPr="00445DD9" w:rsidRDefault="00EA3852" w:rsidP="00EA3852">
                  <w:pPr>
                    <w:pStyle w:val="TableBodyText"/>
                    <w:ind w:right="28"/>
                  </w:pPr>
                  <w:r>
                    <w:t>8.6</w:t>
                  </w:r>
                </w:p>
              </w:tc>
            </w:tr>
            <w:tr w:rsidR="00EA3852" w14:paraId="78682E74" w14:textId="77777777" w:rsidTr="0087142C">
              <w:tc>
                <w:tcPr>
                  <w:tcW w:w="1253" w:type="pct"/>
                </w:tcPr>
                <w:p w14:paraId="51A26BC9" w14:textId="77777777" w:rsidR="00EA3852" w:rsidRDefault="00EA3852" w:rsidP="00EA3852">
                  <w:pPr>
                    <w:pStyle w:val="TableBodyText"/>
                    <w:jc w:val="left"/>
                  </w:pPr>
                  <w:r>
                    <w:t>Bread (a loaf)</w:t>
                  </w:r>
                </w:p>
              </w:tc>
              <w:tc>
                <w:tcPr>
                  <w:tcW w:w="1250" w:type="pct"/>
                </w:tcPr>
                <w:p w14:paraId="5F0DDC21" w14:textId="77777777" w:rsidR="00EA3852" w:rsidRDefault="00EA3852" w:rsidP="00EA3852">
                  <w:pPr>
                    <w:pStyle w:val="TableBodyText"/>
                  </w:pPr>
                  <w:r w:rsidRPr="00B953AB">
                    <w:t>20.4</w:t>
                  </w:r>
                </w:p>
              </w:tc>
              <w:tc>
                <w:tcPr>
                  <w:tcW w:w="1249" w:type="pct"/>
                </w:tcPr>
                <w:p w14:paraId="31C2BD39" w14:textId="77777777" w:rsidR="00EA3852" w:rsidRPr="00BF5AD0" w:rsidRDefault="00EA3852" w:rsidP="00EA3852">
                  <w:pPr>
                    <w:pStyle w:val="TableBodyText"/>
                  </w:pPr>
                  <w:r>
                    <w:t>7.7</w:t>
                  </w:r>
                </w:p>
              </w:tc>
              <w:tc>
                <w:tcPr>
                  <w:tcW w:w="1249" w:type="pct"/>
                </w:tcPr>
                <w:p w14:paraId="16E20861" w14:textId="77777777" w:rsidR="00EA3852" w:rsidRDefault="00EA3852" w:rsidP="00EA3852">
                  <w:pPr>
                    <w:pStyle w:val="TableBodyText"/>
                    <w:ind w:right="28"/>
                  </w:pPr>
                  <w:r w:rsidRPr="00BF5AD0">
                    <w:t>5.5</w:t>
                  </w:r>
                </w:p>
              </w:tc>
            </w:tr>
            <w:tr w:rsidR="00EA3852" w14:paraId="000C5044" w14:textId="77777777" w:rsidTr="0087142C">
              <w:tc>
                <w:tcPr>
                  <w:tcW w:w="1253" w:type="pct"/>
                  <w:tcBorders>
                    <w:bottom w:val="single" w:sz="4" w:space="0" w:color="BFBFBF"/>
                  </w:tcBorders>
                </w:tcPr>
                <w:p w14:paraId="4FCB0157" w14:textId="77777777" w:rsidR="00EA3852" w:rsidRDefault="00EA3852" w:rsidP="00EA3852">
                  <w:pPr>
                    <w:pStyle w:val="TableBodyText"/>
                    <w:jc w:val="left"/>
                  </w:pPr>
                  <w:r>
                    <w:t>Milk (1 litre)</w:t>
                  </w:r>
                </w:p>
              </w:tc>
              <w:tc>
                <w:tcPr>
                  <w:tcW w:w="1250" w:type="pct"/>
                  <w:tcBorders>
                    <w:bottom w:val="single" w:sz="4" w:space="0" w:color="BFBFBF"/>
                  </w:tcBorders>
                </w:tcPr>
                <w:p w14:paraId="39FF4158" w14:textId="77777777" w:rsidR="00EA3852" w:rsidRDefault="00EA3852" w:rsidP="00EA3852">
                  <w:pPr>
                    <w:pStyle w:val="TableBodyText"/>
                  </w:pPr>
                  <w:r w:rsidRPr="00B953AB">
                    <w:t>30.6</w:t>
                  </w:r>
                </w:p>
              </w:tc>
              <w:tc>
                <w:tcPr>
                  <w:tcW w:w="1249" w:type="pct"/>
                  <w:tcBorders>
                    <w:bottom w:val="single" w:sz="4" w:space="0" w:color="BFBFBF"/>
                  </w:tcBorders>
                </w:tcPr>
                <w:p w14:paraId="107AA58A" w14:textId="77777777" w:rsidR="00EA3852" w:rsidRPr="00BF5AD0" w:rsidRDefault="00EA3852" w:rsidP="00EA3852">
                  <w:pPr>
                    <w:pStyle w:val="TableBodyText"/>
                  </w:pPr>
                  <w:r>
                    <w:t>4.7</w:t>
                  </w:r>
                </w:p>
              </w:tc>
              <w:tc>
                <w:tcPr>
                  <w:tcW w:w="1249" w:type="pct"/>
                  <w:tcBorders>
                    <w:bottom w:val="single" w:sz="4" w:space="0" w:color="BFBFBF"/>
                  </w:tcBorders>
                </w:tcPr>
                <w:p w14:paraId="4C2D4712" w14:textId="77777777" w:rsidR="00EA3852" w:rsidRDefault="00EA3852" w:rsidP="00EA3852">
                  <w:pPr>
                    <w:pStyle w:val="TableBodyText"/>
                    <w:ind w:right="28"/>
                  </w:pPr>
                  <w:r w:rsidRPr="00BF5AD0">
                    <w:t>2.2</w:t>
                  </w:r>
                </w:p>
              </w:tc>
            </w:tr>
          </w:tbl>
          <w:p w14:paraId="4DFCBC02" w14:textId="77777777" w:rsidR="002B2A31" w:rsidRDefault="002B2A31" w:rsidP="00CC0374">
            <w:pPr>
              <w:pStyle w:val="Note"/>
            </w:pPr>
            <w:r w:rsidRPr="00CA69BA">
              <w:rPr>
                <w:rStyle w:val="NoteLabel"/>
                <w:sz w:val="16"/>
                <w:szCs w:val="16"/>
              </w:rPr>
              <w:t>a</w:t>
            </w:r>
            <w:r w:rsidRPr="00CA69BA">
              <w:rPr>
                <w:rStyle w:val="NoteChar"/>
                <w:sz w:val="16"/>
                <w:szCs w:val="16"/>
              </w:rPr>
              <w:t xml:space="preserve"> Calculated as the ratio of the average price of a good as a proportion of the average weekly earnings (before tax and including superannuation) multiplied by the average working week length. For 2000, the price of most goods is the unweighted average across the eight capital.</w:t>
            </w:r>
          </w:p>
          <w:p w14:paraId="73C584B2" w14:textId="48A03AF1" w:rsidR="002B2A31" w:rsidRPr="00EC571E" w:rsidRDefault="00680608" w:rsidP="00CC0374">
            <w:pPr>
              <w:pStyle w:val="Box"/>
              <w:rPr>
                <w:b/>
                <w:sz w:val="22"/>
                <w:szCs w:val="22"/>
              </w:rPr>
            </w:pPr>
            <w:r>
              <w:rPr>
                <w:b/>
                <w:sz w:val="22"/>
                <w:szCs w:val="22"/>
              </w:rPr>
              <w:t>B</w:t>
            </w:r>
            <w:r w:rsidR="002B2A31" w:rsidRPr="00EC571E">
              <w:rPr>
                <w:b/>
                <w:sz w:val="22"/>
                <w:szCs w:val="22"/>
              </w:rPr>
              <w:t xml:space="preserve">ut more recently, only some </w:t>
            </w:r>
            <w:r w:rsidR="000B5318">
              <w:rPr>
                <w:b/>
                <w:sz w:val="22"/>
                <w:szCs w:val="22"/>
              </w:rPr>
              <w:t>products</w:t>
            </w:r>
            <w:r w:rsidR="002B2A31" w:rsidRPr="00EC571E">
              <w:rPr>
                <w:b/>
                <w:sz w:val="22"/>
                <w:szCs w:val="22"/>
              </w:rPr>
              <w:t xml:space="preserve"> have fallen in labour </w:t>
            </w:r>
            <w:r w:rsidR="00505E15">
              <w:rPr>
                <w:b/>
                <w:sz w:val="22"/>
                <w:szCs w:val="22"/>
              </w:rPr>
              <w:t xml:space="preserve">time </w:t>
            </w:r>
            <w:r w:rsidR="002B2A31" w:rsidRPr="00EC571E">
              <w:rPr>
                <w:b/>
                <w:sz w:val="22"/>
                <w:szCs w:val="22"/>
              </w:rPr>
              <w:t>cost</w:t>
            </w:r>
          </w:p>
          <w:p w14:paraId="025BBF2B" w14:textId="77777777" w:rsidR="002B2A31" w:rsidRDefault="00CF6C5A" w:rsidP="00CC7834">
            <w:pPr>
              <w:pStyle w:val="Box"/>
              <w:jc w:val="center"/>
            </w:pPr>
            <w:r>
              <w:rPr>
                <w:noProof/>
              </w:rPr>
              <w:drawing>
                <wp:inline distT="0" distB="0" distL="0" distR="0" wp14:anchorId="455E5396" wp14:editId="7CB12B50">
                  <wp:extent cx="2564032" cy="2280420"/>
                  <wp:effectExtent l="0" t="0" r="0" b="0"/>
                  <wp:docPr id="9" name="Picture 9" descr="Box 1 figure LHS: This chart displays an index of the amount of time the average employee would have to work in order to buy different goods and services between 2000 and 2019. An increase in the index indicates the employee would need to work for more time than in the past in order to purchase a good while a decrease in the index would indicate the opposite. The goods considered are 'Food and non-alcoholic beverages', 'Clothing and footwear', 'Rents', 'Child care' and 'Transport'. For all these goods, the amount of time a worker needs to work in order to afford them has fallen, though it fell the most for 'Clothing and footwear' and fell the least for 'Chil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5869" cy="2290948"/>
                          </a:xfrm>
                          <a:prstGeom prst="rect">
                            <a:avLst/>
                          </a:prstGeom>
                          <a:noFill/>
                        </pic:spPr>
                      </pic:pic>
                    </a:graphicData>
                  </a:graphic>
                </wp:inline>
              </w:drawing>
            </w:r>
            <w:r>
              <w:rPr>
                <w:noProof/>
              </w:rPr>
              <w:drawing>
                <wp:inline distT="0" distB="0" distL="0" distR="0" wp14:anchorId="1F57FBD5" wp14:editId="6867D6C9">
                  <wp:extent cx="2578100" cy="2221050"/>
                  <wp:effectExtent l="0" t="0" r="0" b="0"/>
                  <wp:docPr id="10" name="Picture 10" descr="Box 1 figure RHS: This chart displays the same information as the left hand side chart but with a different set of goods. The goods considered are 'Alcohol and tobacco', 'Utilities', 'Health' and 'Education'. For all these goods, the amount of time a worker needs to work in order to afford them has increased, though it increased the most for 'Utilities' and rose the least for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6750" cy="2254347"/>
                          </a:xfrm>
                          <a:prstGeom prst="rect">
                            <a:avLst/>
                          </a:prstGeom>
                          <a:noFill/>
                        </pic:spPr>
                      </pic:pic>
                    </a:graphicData>
                  </a:graphic>
                </wp:inline>
              </w:drawing>
            </w:r>
          </w:p>
          <w:p w14:paraId="7B80970C" w14:textId="6B03801C" w:rsidR="00D10DB2" w:rsidRPr="0000713E" w:rsidRDefault="0000713E" w:rsidP="0000713E">
            <w:pPr>
              <w:pStyle w:val="Box"/>
            </w:pPr>
            <w:r w:rsidRPr="0000713E">
              <w:t>The above figures show the effect of policy as well as broader economic trends on the living standards of Australians. Tax policy has been the primary contributor to the rising cost of alcohol and tobacco (PBO 2015; Scollo and Bayly 2019). In terms of economic trends, goods such as clothing and footwear, and food and beverages, have f</w:t>
            </w:r>
            <w:r w:rsidR="00EE3695">
              <w:t>allen in price more than labour-</w:t>
            </w:r>
            <w:r w:rsidRPr="0000713E">
              <w:t>intensive service industries such as health care and higher education. This arguably reflects Baumol’s ‘cost disease’, which describes the challenge of reducing relative cost in service sectors, compared with the ‘goods’ sector of the economy which is often more amenable to automation and capital deepening (Baumol 2013).</w:t>
            </w:r>
          </w:p>
        </w:tc>
      </w:tr>
      <w:tr w:rsidR="002B2A31" w14:paraId="0C4DA53F" w14:textId="77777777" w:rsidTr="00CC0374">
        <w:tc>
          <w:tcPr>
            <w:tcW w:w="5000" w:type="pct"/>
            <w:tcBorders>
              <w:top w:val="nil"/>
              <w:left w:val="nil"/>
              <w:bottom w:val="nil"/>
              <w:right w:val="nil"/>
            </w:tcBorders>
            <w:shd w:val="clear" w:color="auto" w:fill="F2F2F2"/>
          </w:tcPr>
          <w:p w14:paraId="32309194" w14:textId="27DCFCB9" w:rsidR="002B2A31" w:rsidRDefault="002B2A31" w:rsidP="0005505A">
            <w:pPr>
              <w:pStyle w:val="BoxSource"/>
            </w:pPr>
            <w:r>
              <w:rPr>
                <w:i/>
              </w:rPr>
              <w:t>Sources</w:t>
            </w:r>
            <w:r w:rsidRPr="00167F06">
              <w:t>:</w:t>
            </w:r>
            <w:r>
              <w:t xml:space="preserve"> </w:t>
            </w:r>
            <w:r w:rsidRPr="0012694B">
              <w:t>Commission estimates using ABS (</w:t>
            </w:r>
            <w:r>
              <w:t xml:space="preserve">2019, </w:t>
            </w:r>
            <w:r w:rsidRPr="0096575E">
              <w:rPr>
                <w:i/>
              </w:rPr>
              <w:t>Consumer Price Index, Australia, Sep 2019</w:t>
            </w:r>
            <w:r>
              <w:t xml:space="preserve">, Cat. no. 6401.0; 2001, </w:t>
            </w:r>
            <w:r w:rsidRPr="003454DD">
              <w:rPr>
                <w:i/>
              </w:rPr>
              <w:t>Year Book Australia, 2001</w:t>
            </w:r>
            <w:r>
              <w:t>, Cat. no. </w:t>
            </w:r>
            <w:r w:rsidRPr="00CC3566">
              <w:t>1301.0</w:t>
            </w:r>
            <w:r>
              <w:t xml:space="preserve">) for prices of goods in 1901 and 2019, and for earnings in 2019, and Ville and Withers </w:t>
            </w:r>
            <w:r w:rsidRPr="008777D2">
              <w:rPr>
                <w:rFonts w:cs="Arial"/>
                <w:szCs w:val="24"/>
              </w:rPr>
              <w:t>(2015, pp. 561–569)</w:t>
            </w:r>
            <w:r>
              <w:t xml:space="preserve"> for earnings and a combination of </w:t>
            </w:r>
            <w:r w:rsidR="00505E15" w:rsidRPr="00505E15">
              <w:t>Bergeaud</w:t>
            </w:r>
            <w:r w:rsidR="00505E15">
              <w:t xml:space="preserve"> </w:t>
            </w:r>
            <w:r>
              <w:t xml:space="preserve">et al. </w:t>
            </w:r>
            <w:r w:rsidRPr="00011A62">
              <w:rPr>
                <w:rFonts w:cs="Arial"/>
              </w:rPr>
              <w:t>(2016)</w:t>
            </w:r>
            <w:r>
              <w:t xml:space="preserve">, Ville and Withers </w:t>
            </w:r>
            <w:r w:rsidRPr="008777D2">
              <w:rPr>
                <w:rFonts w:cs="Arial"/>
                <w:szCs w:val="24"/>
              </w:rPr>
              <w:t>(2015, pp. 561–569)</w:t>
            </w:r>
            <w:r>
              <w:t xml:space="preserve"> and the Conference Board </w:t>
            </w:r>
            <w:r w:rsidRPr="003C71F8">
              <w:rPr>
                <w:rFonts w:cs="Arial"/>
              </w:rPr>
              <w:t>(2018)</w:t>
            </w:r>
            <w:r>
              <w:t xml:space="preserve"> for hours worked in 1901, and for wage growth since 2000, ABS (2019, </w:t>
            </w:r>
            <w:r w:rsidRPr="00507077">
              <w:rPr>
                <w:i/>
              </w:rPr>
              <w:t>Australian System of National Accounts, 2018</w:t>
            </w:r>
            <w:r w:rsidRPr="00507077">
              <w:rPr>
                <w:i/>
              </w:rPr>
              <w:noBreakHyphen/>
              <w:t>19</w:t>
            </w:r>
            <w:r>
              <w:t xml:space="preserve">, Cat. no. 5204.0, table 1; 2019, </w:t>
            </w:r>
            <w:r w:rsidRPr="00507077">
              <w:rPr>
                <w:i/>
              </w:rPr>
              <w:t xml:space="preserve">Estimates of Industry Multifactor </w:t>
            </w:r>
            <w:r>
              <w:rPr>
                <w:i/>
              </w:rPr>
              <w:t>Productivity, 2018</w:t>
            </w:r>
            <w:r w:rsidRPr="00507077">
              <w:rPr>
                <w:i/>
              </w:rPr>
              <w:noBreakHyphen/>
              <w:t>1</w:t>
            </w:r>
            <w:r>
              <w:rPr>
                <w:i/>
              </w:rPr>
              <w:t>9</w:t>
            </w:r>
            <w:r>
              <w:t>, Cat. no. </w:t>
            </w:r>
            <w:r w:rsidRPr="00AB4966">
              <w:t>5260.0.55.002, tables</w:t>
            </w:r>
            <w:r>
              <w:t> </w:t>
            </w:r>
            <w:r w:rsidRPr="00AB4966">
              <w:t>1–19</w:t>
            </w:r>
            <w:r>
              <w:t>).</w:t>
            </w:r>
          </w:p>
        </w:tc>
      </w:tr>
      <w:tr w:rsidR="002B2A31" w14:paraId="556FFDFC" w14:textId="77777777" w:rsidTr="00CC0374">
        <w:tc>
          <w:tcPr>
            <w:tcW w:w="5000" w:type="pct"/>
            <w:tcBorders>
              <w:top w:val="nil"/>
              <w:left w:val="nil"/>
              <w:bottom w:val="single" w:sz="6" w:space="0" w:color="78A22F"/>
              <w:right w:val="nil"/>
            </w:tcBorders>
            <w:shd w:val="clear" w:color="auto" w:fill="F2F2F2"/>
          </w:tcPr>
          <w:p w14:paraId="19C92A7F" w14:textId="77777777" w:rsidR="002B2A31" w:rsidRDefault="002B2A31" w:rsidP="00CC0374">
            <w:pPr>
              <w:pStyle w:val="Box"/>
              <w:spacing w:before="0" w:line="120" w:lineRule="exact"/>
            </w:pPr>
          </w:p>
        </w:tc>
      </w:tr>
      <w:tr w:rsidR="002B2A31" w:rsidRPr="000863A5" w14:paraId="0982A79A" w14:textId="77777777" w:rsidTr="00CC0374">
        <w:tc>
          <w:tcPr>
            <w:tcW w:w="5000" w:type="pct"/>
            <w:tcBorders>
              <w:top w:val="single" w:sz="6" w:space="0" w:color="78A22F"/>
              <w:left w:val="nil"/>
              <w:bottom w:val="nil"/>
              <w:right w:val="nil"/>
            </w:tcBorders>
          </w:tcPr>
          <w:p w14:paraId="446FA10F" w14:textId="77777777" w:rsidR="002B2A31" w:rsidRPr="00626D32" w:rsidRDefault="002B2A31" w:rsidP="00CC0374">
            <w:pPr>
              <w:pStyle w:val="BoxSpaceBelow"/>
            </w:pPr>
          </w:p>
        </w:tc>
      </w:tr>
    </w:tbl>
    <w:p w14:paraId="4B10BBB8" w14:textId="77777777" w:rsidR="002B2A31" w:rsidRDefault="002B2A31" w:rsidP="002B2A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47CB1D5A" w14:textId="77777777" w:rsidTr="00CC0374">
        <w:trPr>
          <w:tblHeader/>
        </w:trPr>
        <w:tc>
          <w:tcPr>
            <w:tcW w:w="5000" w:type="pct"/>
            <w:tcBorders>
              <w:top w:val="single" w:sz="6" w:space="0" w:color="78A22F"/>
              <w:left w:val="nil"/>
              <w:bottom w:val="nil"/>
              <w:right w:val="nil"/>
            </w:tcBorders>
            <w:shd w:val="clear" w:color="auto" w:fill="F2F2F2"/>
          </w:tcPr>
          <w:p w14:paraId="5BFE59E2" w14:textId="6F83E085" w:rsidR="002B2A31" w:rsidRDefault="002B2A31" w:rsidP="00D03661">
            <w:pPr>
              <w:pStyle w:val="BoxTitle"/>
            </w:pPr>
            <w:r>
              <w:rPr>
                <w:b w:val="0"/>
              </w:rPr>
              <w:t xml:space="preserve">Box </w:t>
            </w:r>
            <w:r w:rsidR="00A73986">
              <w:rPr>
                <w:b w:val="0"/>
                <w:noProof/>
              </w:rPr>
              <w:t>2</w:t>
            </w:r>
            <w:r>
              <w:tab/>
              <w:t xml:space="preserve">Productivity: A </w:t>
            </w:r>
            <w:r w:rsidR="00D03661">
              <w:t>p</w:t>
            </w:r>
            <w:r>
              <w:t>rimer</w:t>
            </w:r>
          </w:p>
        </w:tc>
      </w:tr>
      <w:tr w:rsidR="002B2A31" w14:paraId="3A438C58" w14:textId="77777777" w:rsidTr="00CC0374">
        <w:tc>
          <w:tcPr>
            <w:tcW w:w="5000" w:type="pct"/>
            <w:tcBorders>
              <w:top w:val="nil"/>
              <w:left w:val="nil"/>
              <w:bottom w:val="nil"/>
              <w:right w:val="nil"/>
            </w:tcBorders>
            <w:shd w:val="clear" w:color="auto" w:fill="F2F2F2"/>
          </w:tcPr>
          <w:p w14:paraId="5631CEE6" w14:textId="77777777" w:rsidR="002B2A31" w:rsidRPr="00201648" w:rsidRDefault="002B2A31" w:rsidP="00CC0374">
            <w:pPr>
              <w:pStyle w:val="Box"/>
              <w:rPr>
                <w:i/>
              </w:rPr>
            </w:pPr>
            <w:r w:rsidRPr="00201648">
              <w:rPr>
                <w:i/>
              </w:rPr>
              <w:t>What is productivity?</w:t>
            </w:r>
          </w:p>
          <w:p w14:paraId="4FDB3927" w14:textId="77777777" w:rsidR="002B2A31" w:rsidRDefault="002B2A31" w:rsidP="00CC0374">
            <w:pPr>
              <w:pStyle w:val="Box"/>
            </w:pPr>
            <w:r w:rsidRPr="002840B5">
              <w:t>Productivity is a measure of the rate at which output of goods and services are produced per unit of input (labour, capital, raw materials, etc.). It is calculated as the ratio of the quantity of output produced to some measure of the quantity of inputs used.</w:t>
            </w:r>
          </w:p>
          <w:p w14:paraId="282C60B7" w14:textId="77777777" w:rsidR="002B2A31" w:rsidRDefault="002B2A31" w:rsidP="00CC0374">
            <w:pPr>
              <w:pStyle w:val="Box"/>
            </w:pPr>
            <w:r>
              <w:t>Many factors can affect productivity growth. These include technological improvements, economies of scale and scope, workforce skills, management practices, changes in other inputs (such as capital), competitive pressures and the stage of the business cycle.</w:t>
            </w:r>
          </w:p>
          <w:p w14:paraId="49871443" w14:textId="77777777" w:rsidR="002B2A31" w:rsidRPr="00201648" w:rsidRDefault="002B2A31" w:rsidP="00CC0374">
            <w:pPr>
              <w:pStyle w:val="Box"/>
              <w:rPr>
                <w:i/>
              </w:rPr>
            </w:pPr>
            <w:r w:rsidRPr="00201648">
              <w:rPr>
                <w:i/>
              </w:rPr>
              <w:t>What are the main measures?</w:t>
            </w:r>
          </w:p>
          <w:p w14:paraId="5E2128A0" w14:textId="77777777" w:rsidR="002B2A31" w:rsidRDefault="002B2A31" w:rsidP="00CC0374">
            <w:pPr>
              <w:pStyle w:val="Box"/>
            </w:pPr>
            <w:r>
              <w:t>Labour productivity is the ratio of output to hours worked. Over the long term, wages generally grow in step with labour productivity and as such it is a key determinant of income growth.</w:t>
            </w:r>
          </w:p>
          <w:p w14:paraId="39207D9C" w14:textId="77777777" w:rsidR="002B2A31" w:rsidRDefault="002B2A31" w:rsidP="00CC0374">
            <w:pPr>
              <w:pStyle w:val="Box"/>
            </w:pPr>
            <w:r>
              <w:t>Multifactor productivity (MFP) is the ratio of output to combined input of labour and capital. It is generally considered to be a better measure of technological change and efficiency improvements than labour productivity.</w:t>
            </w:r>
          </w:p>
          <w:p w14:paraId="2E7F8A56" w14:textId="77777777" w:rsidR="002B2A31" w:rsidRDefault="002B2A31" w:rsidP="00CC0374">
            <w:pPr>
              <w:pStyle w:val="Box"/>
            </w:pPr>
            <w:r>
              <w:t>Usually, the growth in labour productivity exceeds the growth in multifactor productivity. The difference between the two is the contribution from ‘capital deepening’. That is, the accumulation of more and better capital equipment over time helps to make workers more productive.</w:t>
            </w:r>
          </w:p>
          <w:p w14:paraId="6DEAD5B6" w14:textId="77777777" w:rsidR="002B2A31" w:rsidRDefault="002B2A31" w:rsidP="00CC0374">
            <w:pPr>
              <w:pStyle w:val="Box"/>
            </w:pPr>
            <w:r w:rsidRPr="00201648">
              <w:rPr>
                <w:i/>
              </w:rPr>
              <w:t>What parts of the economy are we measuring</w:t>
            </w:r>
            <w:r>
              <w:t>?</w:t>
            </w:r>
          </w:p>
          <w:p w14:paraId="6515AA77" w14:textId="77777777" w:rsidR="002B2A31" w:rsidRDefault="002B2A31" w:rsidP="00CC0374">
            <w:pPr>
              <w:pStyle w:val="Box"/>
            </w:pPr>
            <w:r w:rsidRPr="002840B5">
              <w:t>The most accurate estimates of productivity are for those industries where prices are set in markets</w:t>
            </w:r>
            <w:r>
              <w:t xml:space="preserve"> </w:t>
            </w:r>
            <w:r w:rsidRPr="002840B5">
              <w:t xml:space="preserve">— </w:t>
            </w:r>
            <w:r>
              <w:t xml:space="preserve">known as </w:t>
            </w:r>
            <w:r w:rsidRPr="002840B5">
              <w:t xml:space="preserve">the </w:t>
            </w:r>
            <w:r>
              <w:t>‘</w:t>
            </w:r>
            <w:r w:rsidRPr="002840B5">
              <w:t>market sector</w:t>
            </w:r>
            <w:r>
              <w:t>’</w:t>
            </w:r>
            <w:r w:rsidRPr="002840B5">
              <w:t xml:space="preserve"> — and where it is therefore easier to </w:t>
            </w:r>
            <w:r>
              <w:t>measure</w:t>
            </w:r>
            <w:r w:rsidRPr="002840B5">
              <w:t xml:space="preserve"> output</w:t>
            </w:r>
            <w:r>
              <w:t xml:space="preserve"> (in terms of real industry gross value added)</w:t>
            </w:r>
            <w:r w:rsidRPr="002840B5">
              <w:t>. This publication provides estimates for the two market sectors used by the Australian Bureau of Statistics (ABS) — the 12 and 16 industry sectors — the latter distinguished by the fact that less historical data are available.</w:t>
            </w:r>
            <w:r>
              <w:t xml:space="preserve"> Both labour productivity and multifactor productivity measures are available.</w:t>
            </w:r>
          </w:p>
          <w:p w14:paraId="0B39811C" w14:textId="120B0CD7" w:rsidR="002B2A31" w:rsidRDefault="002B2A31" w:rsidP="00CC0374">
            <w:pPr>
              <w:pStyle w:val="Box"/>
            </w:pPr>
            <w:r>
              <w:t>Labour productivity can also be measured for the whole economy (in terms of real GDP per hour worked). Labour productivity measured in this way contributes to growth in liv</w:t>
            </w:r>
            <w:r w:rsidR="00481E07">
              <w:t>ing standards (commonly measured</w:t>
            </w:r>
            <w:r>
              <w:t xml:space="preserve"> as GDP per capita), but is a poorer indicator of technological change and efficiency improvement because of the difficulty measuring output in health, education and public administration. </w:t>
            </w:r>
          </w:p>
          <w:p w14:paraId="381AB589" w14:textId="77777777" w:rsidR="002B2A31" w:rsidRPr="00201648" w:rsidRDefault="002B2A31" w:rsidP="00CC0374">
            <w:pPr>
              <w:pStyle w:val="Box"/>
              <w:rPr>
                <w:i/>
              </w:rPr>
            </w:pPr>
            <w:r w:rsidRPr="00201648">
              <w:rPr>
                <w:i/>
              </w:rPr>
              <w:t>How can productivity be compared across countries?</w:t>
            </w:r>
          </w:p>
          <w:p w14:paraId="73B3229B" w14:textId="77777777" w:rsidR="002B2A31" w:rsidRDefault="002B2A31" w:rsidP="00CC0374">
            <w:pPr>
              <w:pStyle w:val="Box"/>
            </w:pPr>
            <w:r>
              <w:t xml:space="preserve">While productivity growth rates can be compared readily across countries, productivity level comparisons require estimates of relative price levels across countries. International comparisons of labour productivity levels in this </w:t>
            </w:r>
            <w:r>
              <w:rPr>
                <w:i/>
              </w:rPr>
              <w:t>Insights Paper</w:t>
            </w:r>
            <w:r>
              <w:t xml:space="preserve"> reflect conversion to US dollars per hour worked based on current year purchasing power parity. International comparisons of multifactor productivity levels require further assumptions about fair rates of return to capital and are not widely published.</w:t>
            </w:r>
          </w:p>
        </w:tc>
      </w:tr>
      <w:tr w:rsidR="002B2A31" w14:paraId="62508863" w14:textId="77777777" w:rsidTr="00CC0374">
        <w:tc>
          <w:tcPr>
            <w:tcW w:w="5000" w:type="pct"/>
            <w:tcBorders>
              <w:top w:val="nil"/>
              <w:left w:val="nil"/>
              <w:bottom w:val="single" w:sz="6" w:space="0" w:color="78A22F"/>
              <w:right w:val="nil"/>
            </w:tcBorders>
            <w:shd w:val="clear" w:color="auto" w:fill="F2F2F2"/>
          </w:tcPr>
          <w:p w14:paraId="4C6BE582" w14:textId="77777777" w:rsidR="002B2A31" w:rsidRDefault="002B2A31" w:rsidP="00CC0374">
            <w:pPr>
              <w:pStyle w:val="Box"/>
              <w:spacing w:before="0" w:line="120" w:lineRule="exact"/>
            </w:pPr>
          </w:p>
        </w:tc>
      </w:tr>
      <w:tr w:rsidR="002B2A31" w:rsidRPr="000863A5" w14:paraId="303E2FD5" w14:textId="77777777" w:rsidTr="00CC0374">
        <w:tc>
          <w:tcPr>
            <w:tcW w:w="5000" w:type="pct"/>
            <w:tcBorders>
              <w:top w:val="single" w:sz="6" w:space="0" w:color="78A22F"/>
              <w:left w:val="nil"/>
              <w:bottom w:val="nil"/>
              <w:right w:val="nil"/>
            </w:tcBorders>
          </w:tcPr>
          <w:p w14:paraId="468D27D7" w14:textId="77777777" w:rsidR="002B2A31" w:rsidRPr="00626D32" w:rsidRDefault="002B2A31" w:rsidP="00CC0374">
            <w:pPr>
              <w:pStyle w:val="BoxSpaceBelow"/>
            </w:pPr>
          </w:p>
        </w:tc>
      </w:tr>
    </w:tbl>
    <w:p w14:paraId="5CBDD837" w14:textId="2B02B320" w:rsidR="002B2A31" w:rsidRDefault="00A73986" w:rsidP="003F777C">
      <w:pPr>
        <w:pStyle w:val="Heading2"/>
      </w:pPr>
      <w:bookmarkStart w:id="14" w:name="_Toc31978955"/>
      <w:r>
        <w:rPr>
          <w:noProof/>
        </w:rPr>
        <w:lastRenderedPageBreak/>
        <w:t>1</w:t>
      </w:r>
      <w:r w:rsidR="003F777C">
        <w:tab/>
      </w:r>
      <w:r w:rsidR="002B2A31">
        <w:t>A strong labour market has supported continued economic growth</w:t>
      </w:r>
      <w:bookmarkEnd w:id="14"/>
    </w:p>
    <w:p w14:paraId="7A1CAE03" w14:textId="77777777" w:rsidR="002B2A31" w:rsidRDefault="002B2A31" w:rsidP="002B2A31">
      <w:pPr>
        <w:pStyle w:val="Heading3"/>
        <w:spacing w:before="280"/>
      </w:pPr>
      <w:r>
        <w:t>Output growth, while weak, continues Australia’s recession</w:t>
      </w:r>
      <w:r>
        <w:noBreakHyphen/>
        <w:t>free streak</w:t>
      </w:r>
    </w:p>
    <w:p w14:paraId="394CA8D8" w14:textId="36A5944C" w:rsidR="002B2A31" w:rsidRDefault="002B2A31" w:rsidP="002B2A31">
      <w:pPr>
        <w:pStyle w:val="BodyText"/>
      </w:pPr>
      <w:r>
        <w:t>The Australian economy slowed in 2018</w:t>
      </w:r>
      <w:r>
        <w:noBreakHyphen/>
        <w:t>19. Economy</w:t>
      </w:r>
      <w:r>
        <w:noBreakHyphen/>
        <w:t>wide growth in</w:t>
      </w:r>
      <w:r w:rsidDel="00F23029">
        <w:t xml:space="preserve"> </w:t>
      </w:r>
      <w:r>
        <w:t>output of goods and services, measured as real gross domestic product (GDP), was 2 per cent, its slowest pace in a decade. Output per person, measured as real GDP per capita, a commonly used measure of living standards, grew by only 0.4 per cent. Market sector output growth, measured as real gross valued</w:t>
      </w:r>
      <w:r>
        <w:noBreakHyphen/>
        <w:t xml:space="preserve">added (GVA), </w:t>
      </w:r>
      <w:r w:rsidR="00481E07">
        <w:t>was</w:t>
      </w:r>
      <w:r>
        <w:t xml:space="preserve"> 1.3 per cent</w:t>
      </w:r>
      <w:r w:rsidR="00481E07">
        <w:t>,</w:t>
      </w:r>
      <w:r>
        <w:t xml:space="preserve"> the slowest pace since records began in 1994</w:t>
      </w:r>
      <w:r>
        <w:noBreakHyphen/>
        <w:t xml:space="preserve">95 </w:t>
      </w:r>
      <w:r w:rsidRPr="00123BD4">
        <w:rPr>
          <w:szCs w:val="24"/>
        </w:rPr>
        <w:t>(ABS 2019b)</w:t>
      </w:r>
      <w:r>
        <w:t>.</w:t>
      </w:r>
    </w:p>
    <w:p w14:paraId="4CF634C5" w14:textId="19C63192" w:rsidR="002B2A31" w:rsidRPr="009C65A3" w:rsidRDefault="002B2A31" w:rsidP="002B2A31">
      <w:pPr>
        <w:pStyle w:val="BodyText"/>
      </w:pPr>
      <w:r>
        <w:t xml:space="preserve">A number of industries detracted from overall growth in output this year. Drought conditions and rainfall deficiencies through much of New South Wales, South Australia and southern Queensland saw agricultural output contract for the second consecutive year. </w:t>
      </w:r>
      <w:r w:rsidRPr="009C65A3">
        <w:t>C</w:t>
      </w:r>
      <w:r w:rsidRPr="00201648">
        <w:t>onstruction</w:t>
      </w:r>
      <w:r w:rsidRPr="009C65A3">
        <w:t xml:space="preserve"> and </w:t>
      </w:r>
      <w:r w:rsidRPr="00201648">
        <w:t>manufacturing</w:t>
      </w:r>
      <w:r w:rsidRPr="009C65A3">
        <w:t xml:space="preserve"> </w:t>
      </w:r>
      <w:r>
        <w:t>also</w:t>
      </w:r>
      <w:r w:rsidRPr="009C65A3">
        <w:t xml:space="preserve"> experienced decreases in </w:t>
      </w:r>
      <w:r>
        <w:t>GVA</w:t>
      </w:r>
      <w:r w:rsidRPr="009C65A3">
        <w:t xml:space="preserve"> of 3.4 and 1.5 per cent respectively. These figures hide significant heterogeneity within industries — for example, </w:t>
      </w:r>
      <w:r w:rsidRPr="00201648">
        <w:t>heavy and civil engineering</w:t>
      </w:r>
      <w:r w:rsidRPr="009C65A3">
        <w:t xml:space="preserve"> construction experienced a</w:t>
      </w:r>
      <w:r>
        <w:t>n</w:t>
      </w:r>
      <w:r w:rsidRPr="009C65A3">
        <w:t xml:space="preserve"> 8.8 per cent fall in </w:t>
      </w:r>
      <w:r>
        <w:t>GVA</w:t>
      </w:r>
      <w:r w:rsidRPr="009C65A3">
        <w:t xml:space="preserve">, while </w:t>
      </w:r>
      <w:r w:rsidRPr="00201648">
        <w:t>building construction</w:t>
      </w:r>
      <w:r w:rsidRPr="009C65A3">
        <w:t xml:space="preserve"> increased 0.4 per</w:t>
      </w:r>
      <w:r>
        <w:t> </w:t>
      </w:r>
      <w:r w:rsidRPr="009C65A3">
        <w:t>cent</w:t>
      </w:r>
      <w:r>
        <w:t xml:space="preserve"> </w:t>
      </w:r>
      <w:r w:rsidRPr="00DF4F40">
        <w:rPr>
          <w:szCs w:val="24"/>
        </w:rPr>
        <w:t>(ABS 2019c)</w:t>
      </w:r>
      <w:r w:rsidRPr="009C65A3">
        <w:t>.</w:t>
      </w:r>
    </w:p>
    <w:p w14:paraId="1C533C4A" w14:textId="2D4A9C90" w:rsidR="002B2A31" w:rsidRPr="006025FD" w:rsidRDefault="002B2A31" w:rsidP="002B2A31">
      <w:pPr>
        <w:pStyle w:val="BodyText"/>
      </w:pPr>
      <w:r>
        <w:t xml:space="preserve">On the other hand, some industries continued to grow strongly. Mining GVA grew 6.1 per cent due to an increase in gas extraction and export as liquefied natural gas, with output ramping up at the Wheatstone and Ichthys projects off the Western Australian coast </w:t>
      </w:r>
      <w:r w:rsidRPr="00014056">
        <w:rPr>
          <w:szCs w:val="24"/>
        </w:rPr>
        <w:t>(Office of the Chief Economist 2019, p. 61)</w:t>
      </w:r>
      <w:r>
        <w:t>. Outside the market sector, the health, aged care and social assistance industry’s GVA grew by 7.4 per cent due to strong growth in public expenditure.</w:t>
      </w:r>
    </w:p>
    <w:p w14:paraId="403CAABD" w14:textId="425C22B1" w:rsidR="002B2A31" w:rsidRDefault="002B2A31" w:rsidP="002B2A31">
      <w:pPr>
        <w:pStyle w:val="BodyText"/>
      </w:pPr>
      <w:r>
        <w:t>Overall, Australia has now extended its uninterrupted period of GDP growth to 28 consecutive financial years — with Australians not experiencing a recession since the 1990</w:t>
      </w:r>
      <w:r>
        <w:noBreakHyphen/>
        <w:t xml:space="preserve">91 financial year, before almost 40 per cent of </w:t>
      </w:r>
      <w:r w:rsidR="00481E07">
        <w:t>the population</w:t>
      </w:r>
      <w:r>
        <w:t xml:space="preserve"> were born.</w:t>
      </w:r>
      <w:r>
        <w:rPr>
          <w:rStyle w:val="FootnoteReference"/>
        </w:rPr>
        <w:footnoteReference w:id="1"/>
      </w:r>
      <w:r>
        <w:t xml:space="preserve"> </w:t>
      </w:r>
    </w:p>
    <w:p w14:paraId="3EA038CC" w14:textId="03AB3F8C" w:rsidR="005224B9" w:rsidRPr="005224B9" w:rsidRDefault="005224B9" w:rsidP="005224B9">
      <w:pPr>
        <w:rPr>
          <w:szCs w:val="20"/>
        </w:rPr>
      </w:pPr>
      <w:r>
        <w:br w:type="page"/>
      </w:r>
    </w:p>
    <w:p w14:paraId="726EF5EA" w14:textId="77777777" w:rsidR="002B2A31" w:rsidRDefault="002B2A31" w:rsidP="002B2A31">
      <w:pPr>
        <w:pStyle w:val="Heading3"/>
      </w:pPr>
      <w:r>
        <w:lastRenderedPageBreak/>
        <w:t>Output growth has been driven by a strong labour market …</w:t>
      </w:r>
    </w:p>
    <w:p w14:paraId="25DD095F" w14:textId="58157B2E" w:rsidR="002B2A31" w:rsidRDefault="002B2A31" w:rsidP="002B2A31">
      <w:pPr>
        <w:pStyle w:val="BodyText"/>
      </w:pPr>
      <w:r>
        <w:t>The main driver of output growth was that more Australians were working. Total hours worked in the market sector grew by 1.5 per cent</w:t>
      </w:r>
      <w:r w:rsidRPr="0082101E">
        <w:t xml:space="preserve"> </w:t>
      </w:r>
      <w:r>
        <w:t xml:space="preserve">(figure 1), in line with </w:t>
      </w:r>
      <w:r w:rsidR="00F72621">
        <w:t>population growth</w:t>
      </w:r>
      <w:r>
        <w:t>. This reflected an increase in the participation rate</w:t>
      </w:r>
      <w:r>
        <w:rPr>
          <w:rStyle w:val="FootnoteReference"/>
        </w:rPr>
        <w:footnoteReference w:id="2"/>
      </w:r>
      <w:r>
        <w:t xml:space="preserve"> of 0.2 percentage points to 65.7 per cent and a decline in the unemployment rate by 0.4 percentage points to 5.1 per cent, offset by a small decline in average hours worked </w:t>
      </w:r>
      <w:r w:rsidRPr="00516D55">
        <w:rPr>
          <w:szCs w:val="24"/>
        </w:rPr>
        <w:t>(ABS 2019f)</w:t>
      </w:r>
      <w:r>
        <w:t xml:space="preserve">. </w:t>
      </w:r>
    </w:p>
    <w:p w14:paraId="2BBD42A0" w14:textId="77777777" w:rsidR="002B2A31" w:rsidRDefault="002B2A31" w:rsidP="002B2A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630CF171" w14:textId="77777777" w:rsidTr="00CC0374">
        <w:trPr>
          <w:tblHeader/>
        </w:trPr>
        <w:tc>
          <w:tcPr>
            <w:tcW w:w="5000" w:type="pct"/>
            <w:tcBorders>
              <w:top w:val="single" w:sz="6" w:space="0" w:color="78A22F"/>
              <w:left w:val="nil"/>
              <w:bottom w:val="nil"/>
              <w:right w:val="nil"/>
            </w:tcBorders>
            <w:shd w:val="clear" w:color="auto" w:fill="auto"/>
          </w:tcPr>
          <w:p w14:paraId="16B1C80C" w14:textId="4C83E309" w:rsidR="002B2A31" w:rsidRDefault="002B2A31" w:rsidP="00CC0374">
            <w:pPr>
              <w:pStyle w:val="FigureTitle"/>
            </w:pPr>
            <w:r w:rsidRPr="00784A05">
              <w:rPr>
                <w:b w:val="0"/>
              </w:rPr>
              <w:t xml:space="preserve">Figure </w:t>
            </w:r>
            <w:r w:rsidR="00A73986">
              <w:rPr>
                <w:b w:val="0"/>
                <w:noProof/>
              </w:rPr>
              <w:t>1</w:t>
            </w:r>
            <w:r>
              <w:tab/>
              <w:t>Output</w:t>
            </w:r>
            <w:r w:rsidRPr="00DC357B">
              <w:t xml:space="preserve"> continued to grow due to growth in inputs …</w:t>
            </w:r>
          </w:p>
          <w:p w14:paraId="3D54389F" w14:textId="78F4BBDB" w:rsidR="002B2A31" w:rsidRPr="00176D3F" w:rsidRDefault="002B2A31" w:rsidP="00385D55">
            <w:pPr>
              <w:pStyle w:val="Subtitle"/>
            </w:pPr>
            <w:r>
              <w:t>Hours worked</w:t>
            </w:r>
            <w:r w:rsidR="00385D55" w:rsidRPr="00385D55">
              <w:rPr>
                <w:rStyle w:val="NoteLabel"/>
              </w:rPr>
              <w:t>a</w:t>
            </w:r>
            <w:r>
              <w:t>, GVA</w:t>
            </w:r>
            <w:r w:rsidR="00385D55">
              <w:rPr>
                <w:rStyle w:val="NoteLabel"/>
              </w:rPr>
              <w:t>b</w:t>
            </w:r>
            <w:r>
              <w:t xml:space="preserve"> and contributions to labour productivity from </w:t>
            </w:r>
            <w:r w:rsidRPr="00DC357B">
              <w:t>capital</w:t>
            </w:r>
            <w:r>
              <w:noBreakHyphen/>
            </w:r>
            <w:r w:rsidRPr="00DC357B">
              <w:t>deepening and MFP</w:t>
            </w:r>
            <w:r>
              <w:rPr>
                <w:rStyle w:val="NoteLabel"/>
              </w:rPr>
              <w:t xml:space="preserve"> </w:t>
            </w:r>
            <w:r w:rsidRPr="005A4BAB">
              <w:rPr>
                <w:rStyle w:val="SubtitleChar"/>
              </w:rPr>
              <w:t>in the market sector</w:t>
            </w:r>
            <w:r>
              <w:rPr>
                <w:rStyle w:val="SubtitleChar"/>
              </w:rPr>
              <w:t>, 2018</w:t>
            </w:r>
            <w:r>
              <w:rPr>
                <w:rStyle w:val="SubtitleChar"/>
              </w:rPr>
              <w:noBreakHyphen/>
              <w:t>19</w:t>
            </w:r>
          </w:p>
        </w:tc>
      </w:tr>
      <w:tr w:rsidR="002B2A31" w14:paraId="3474A029" w14:textId="77777777" w:rsidTr="00CC037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4"/>
            </w:tblGrid>
            <w:tr w:rsidR="002B2A31" w:rsidRPr="00B1465D" w14:paraId="08196034" w14:textId="77777777" w:rsidTr="00CC0374">
              <w:trPr>
                <w:tblHeader/>
                <w:jc w:val="center"/>
              </w:trPr>
              <w:tc>
                <w:tcPr>
                  <w:tcW w:w="8504" w:type="dxa"/>
                  <w:tcBorders>
                    <w:top w:val="nil"/>
                    <w:bottom w:val="nil"/>
                  </w:tcBorders>
                </w:tcPr>
                <w:p w14:paraId="02977969" w14:textId="72DD3B88" w:rsidR="002B2A31" w:rsidRPr="00B1465D" w:rsidRDefault="00D03661" w:rsidP="00CC0374">
                  <w:pPr>
                    <w:pStyle w:val="Figure"/>
                    <w:spacing w:before="60" w:after="60"/>
                    <w:rPr>
                      <w:rFonts w:ascii="Arial" w:hAnsi="Arial" w:cs="Arial"/>
                      <w:sz w:val="18"/>
                      <w:szCs w:val="18"/>
                    </w:rPr>
                  </w:pPr>
                  <w:r>
                    <w:rPr>
                      <w:rFonts w:ascii="Arial" w:hAnsi="Arial" w:cs="Arial"/>
                      <w:noProof/>
                      <w:sz w:val="18"/>
                      <w:szCs w:val="18"/>
                    </w:rPr>
                    <w:drawing>
                      <wp:inline distT="0" distB="0" distL="0" distR="0" wp14:anchorId="3F89D87E" wp14:editId="69B81BB5">
                        <wp:extent cx="5034462" cy="2690446"/>
                        <wp:effectExtent l="0" t="0" r="0" b="0"/>
                        <wp:docPr id="2" name="Picture 2" descr="This chart breaks down the growth in Gross Value Added (1.3%) into the growth in hours (1.5%), the contribution from capital-deepening (0.2%) and multifactor productivity growth (-0.4)." title="Output continues to grow due to growth in inpu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1679" cy="2694303"/>
                                </a:xfrm>
                                <a:prstGeom prst="rect">
                                  <a:avLst/>
                                </a:prstGeom>
                                <a:noFill/>
                              </pic:spPr>
                            </pic:pic>
                          </a:graphicData>
                        </a:graphic>
                      </wp:inline>
                    </w:drawing>
                  </w:r>
                </w:p>
              </w:tc>
            </w:tr>
          </w:tbl>
          <w:p w14:paraId="508C6111" w14:textId="77777777" w:rsidR="002B2A31" w:rsidRDefault="002B2A31" w:rsidP="00CC0374">
            <w:pPr>
              <w:pStyle w:val="Figure"/>
            </w:pPr>
          </w:p>
        </w:tc>
      </w:tr>
      <w:tr w:rsidR="002B2A31" w:rsidRPr="00176D3F" w14:paraId="6980E5FB" w14:textId="77777777" w:rsidTr="00CC0374">
        <w:tc>
          <w:tcPr>
            <w:tcW w:w="5000" w:type="pct"/>
            <w:tcBorders>
              <w:top w:val="nil"/>
              <w:left w:val="nil"/>
              <w:bottom w:val="nil"/>
              <w:right w:val="nil"/>
            </w:tcBorders>
            <w:shd w:val="clear" w:color="auto" w:fill="auto"/>
          </w:tcPr>
          <w:p w14:paraId="79310B06" w14:textId="2797FD85" w:rsidR="002B2A31" w:rsidRPr="00176D3F" w:rsidRDefault="00385D55" w:rsidP="008817E0">
            <w:pPr>
              <w:pStyle w:val="Note"/>
            </w:pPr>
            <w:r>
              <w:rPr>
                <w:b/>
                <w:position w:val="6"/>
              </w:rPr>
              <w:t xml:space="preserve">a </w:t>
            </w:r>
            <w:r w:rsidR="001068E1">
              <w:t xml:space="preserve">The ABS published data is rounded to only one decimal place, which would make hours, capital-deepening and MFP not add to GVA. To avoid this issue, for visual purposes in this graphic, the Commission chose to round hours worked down to 1.5 rather than </w:t>
            </w:r>
            <w:r w:rsidR="00C75129">
              <w:t>use the</w:t>
            </w:r>
            <w:r w:rsidR="001068E1">
              <w:t xml:space="preserve"> 1.6</w:t>
            </w:r>
            <w:r w:rsidR="00C75129">
              <w:t xml:space="preserve"> published figure</w:t>
            </w:r>
            <w:r w:rsidR="001068E1">
              <w:t xml:space="preserve">. </w:t>
            </w:r>
            <w:r>
              <w:rPr>
                <w:b/>
                <w:position w:val="6"/>
              </w:rPr>
              <w:t>b</w:t>
            </w:r>
            <w:r w:rsidR="00D64387">
              <w:t xml:space="preserve"> GVA = gross value added.</w:t>
            </w:r>
            <w:r w:rsidR="002B2A31">
              <w:t xml:space="preserve"> The contribution from c</w:t>
            </w:r>
            <w:r w:rsidR="002B2A31" w:rsidRPr="00DC357B">
              <w:t>apital</w:t>
            </w:r>
            <w:r w:rsidR="002B2A31" w:rsidRPr="00DC357B">
              <w:noBreakHyphen/>
              <w:t xml:space="preserve">deepening is calculated as the difference between labour productivity growth and </w:t>
            </w:r>
            <w:r w:rsidR="002B2A31">
              <w:t>multifactor</w:t>
            </w:r>
            <w:r w:rsidR="00D64387">
              <w:t xml:space="preserve"> productivity growth.</w:t>
            </w:r>
            <w:r w:rsidR="002B2A31" w:rsidRPr="00DC357B">
              <w:t xml:space="preserve"> MFP = </w:t>
            </w:r>
            <w:r w:rsidR="002B2A31">
              <w:t>multifactor</w:t>
            </w:r>
            <w:r w:rsidR="002B2A31" w:rsidRPr="00DC357B">
              <w:t xml:space="preserve"> productivity growth.</w:t>
            </w:r>
            <w:r>
              <w:t xml:space="preserve"> </w:t>
            </w:r>
          </w:p>
        </w:tc>
      </w:tr>
      <w:tr w:rsidR="002B2A31" w:rsidRPr="00176D3F" w14:paraId="55B62FD0" w14:textId="77777777" w:rsidTr="00CC0374">
        <w:tc>
          <w:tcPr>
            <w:tcW w:w="5000" w:type="pct"/>
            <w:tcBorders>
              <w:top w:val="nil"/>
              <w:left w:val="nil"/>
              <w:bottom w:val="nil"/>
              <w:right w:val="nil"/>
            </w:tcBorders>
            <w:shd w:val="clear" w:color="auto" w:fill="auto"/>
          </w:tcPr>
          <w:p w14:paraId="1103B151" w14:textId="77777777" w:rsidR="002B2A31" w:rsidRPr="00176D3F" w:rsidRDefault="002B2A31" w:rsidP="00CC0374">
            <w:pPr>
              <w:pStyle w:val="Source"/>
            </w:pPr>
            <w:r>
              <w:rPr>
                <w:i/>
              </w:rPr>
              <w:t>S</w:t>
            </w:r>
            <w:r w:rsidRPr="00784A05">
              <w:rPr>
                <w:i/>
              </w:rPr>
              <w:t>ource</w:t>
            </w:r>
            <w:r w:rsidRPr="00176D3F">
              <w:t xml:space="preserve">: </w:t>
            </w:r>
            <w:r>
              <w:t xml:space="preserve">ABS (2019, </w:t>
            </w:r>
            <w:r w:rsidRPr="008D5FC0">
              <w:rPr>
                <w:i/>
              </w:rPr>
              <w:t>Australian System of National Accounts, 2018</w:t>
            </w:r>
            <w:r>
              <w:rPr>
                <w:i/>
              </w:rPr>
              <w:noBreakHyphen/>
            </w:r>
            <w:r w:rsidRPr="008D5FC0">
              <w:rPr>
                <w:i/>
              </w:rPr>
              <w:t>19</w:t>
            </w:r>
            <w:r>
              <w:t>, Cat. no. </w:t>
            </w:r>
            <w:r w:rsidRPr="008D5FC0">
              <w:t>5204.0</w:t>
            </w:r>
            <w:r>
              <w:t>, table 13).</w:t>
            </w:r>
          </w:p>
        </w:tc>
      </w:tr>
      <w:tr w:rsidR="002B2A31" w14:paraId="646D0CDC" w14:textId="77777777" w:rsidTr="00CC0374">
        <w:tc>
          <w:tcPr>
            <w:tcW w:w="5000" w:type="pct"/>
            <w:tcBorders>
              <w:top w:val="nil"/>
              <w:left w:val="nil"/>
              <w:bottom w:val="single" w:sz="6" w:space="0" w:color="78A22F"/>
              <w:right w:val="nil"/>
            </w:tcBorders>
            <w:shd w:val="clear" w:color="auto" w:fill="auto"/>
          </w:tcPr>
          <w:p w14:paraId="49553207" w14:textId="77777777" w:rsidR="002B2A31" w:rsidRDefault="002B2A31" w:rsidP="00CC0374">
            <w:pPr>
              <w:pStyle w:val="Figurespace"/>
            </w:pPr>
          </w:p>
        </w:tc>
      </w:tr>
      <w:tr w:rsidR="002B2A31" w:rsidRPr="000863A5" w14:paraId="18BF52F6" w14:textId="77777777" w:rsidTr="00CC0374">
        <w:tc>
          <w:tcPr>
            <w:tcW w:w="5000" w:type="pct"/>
            <w:tcBorders>
              <w:top w:val="single" w:sz="6" w:space="0" w:color="78A22F"/>
              <w:left w:val="nil"/>
              <w:bottom w:val="nil"/>
              <w:right w:val="nil"/>
            </w:tcBorders>
          </w:tcPr>
          <w:p w14:paraId="4693375A" w14:textId="77777777" w:rsidR="002B2A31" w:rsidRPr="00626D32" w:rsidRDefault="002B2A31" w:rsidP="00CC0374">
            <w:pPr>
              <w:pStyle w:val="BoxSpaceBelow"/>
            </w:pPr>
          </w:p>
        </w:tc>
      </w:tr>
    </w:tbl>
    <w:p w14:paraId="7EDE63FB" w14:textId="77777777" w:rsidR="002B2A31" w:rsidRDefault="002B2A31" w:rsidP="002B2A31">
      <w:pPr>
        <w:pStyle w:val="Heading3"/>
      </w:pPr>
      <w:r>
        <w:t>… while investment remains subdued</w:t>
      </w:r>
    </w:p>
    <w:p w14:paraId="34AE925D" w14:textId="6793FEC2" w:rsidR="002B2A31" w:rsidRDefault="002B2A31" w:rsidP="002B2A31">
      <w:pPr>
        <w:pStyle w:val="BodyText"/>
      </w:pPr>
      <w:r>
        <w:t>Capital services grew only slightly faster than hours worked in 2018</w:t>
      </w:r>
      <w:r>
        <w:noBreakHyphen/>
        <w:t>19. That is, the amount of capital available per worker increased and the effect of this capital deepening was to contribute about 0.2 percentage points to market sector output (figure 1). This only partly unwound the unusual ‘capital</w:t>
      </w:r>
      <w:r>
        <w:noBreakHyphen/>
        <w:t xml:space="preserve">shallowing’ observed in the previous year </w:t>
      </w:r>
      <w:r w:rsidRPr="00581FDC">
        <w:rPr>
          <w:szCs w:val="24"/>
        </w:rPr>
        <w:t>(PC 2019)</w:t>
      </w:r>
      <w:r>
        <w:t xml:space="preserve">, </w:t>
      </w:r>
      <w:r w:rsidR="003C39E0">
        <w:t>with</w:t>
      </w:r>
      <w:r>
        <w:t xml:space="preserve"> the level of capital per hour worked remain</w:t>
      </w:r>
      <w:r w:rsidR="003C39E0">
        <w:t>ing</w:t>
      </w:r>
      <w:r>
        <w:t xml:space="preserve"> lower </w:t>
      </w:r>
      <w:r w:rsidR="00A73769">
        <w:t>than in</w:t>
      </w:r>
      <w:r>
        <w:t xml:space="preserve"> 2016</w:t>
      </w:r>
      <w:r>
        <w:noBreakHyphen/>
        <w:t>17.</w:t>
      </w:r>
    </w:p>
    <w:p w14:paraId="2831CF21" w14:textId="6CECCAB2" w:rsidR="002B2A31" w:rsidRDefault="002B2A31" w:rsidP="002B2A31">
      <w:pPr>
        <w:pStyle w:val="BodyText"/>
      </w:pPr>
      <w:r>
        <w:lastRenderedPageBreak/>
        <w:t>Investment remains relatively weak by historical standards, which partly reflects the end of the mining investment boom (figure 2). The mining boom saw a massive investment in expansion of iron ore and coal facilities as well as the</w:t>
      </w:r>
      <w:r w:rsidRPr="0093751C">
        <w:t xml:space="preserve"> development of liquefied natural gas facilities </w:t>
      </w:r>
      <w:r>
        <w:t xml:space="preserve">and </w:t>
      </w:r>
      <w:r w:rsidRPr="0093751C">
        <w:t>new natural gas fields on both the east and west coasts</w:t>
      </w:r>
      <w:r>
        <w:t xml:space="preserve">. </w:t>
      </w:r>
      <w:r w:rsidRPr="0093751C">
        <w:t xml:space="preserve">Overall, real mining investment grew </w:t>
      </w:r>
      <w:r>
        <w:t>from about 2 per cent of GDP in 2003</w:t>
      </w:r>
      <w:r>
        <w:noBreakHyphen/>
        <w:t xml:space="preserve">04 to a peak of 9 per cent of GDP </w:t>
      </w:r>
      <w:r w:rsidRPr="0093751C">
        <w:t>in 2012</w:t>
      </w:r>
      <w:r>
        <w:noBreakHyphen/>
      </w:r>
      <w:r w:rsidRPr="0093751C">
        <w:t>13</w:t>
      </w:r>
      <w:r>
        <w:t>, but has since fallen to 3 per cent of GDP (figure 3)</w:t>
      </w:r>
      <w:r w:rsidRPr="0093751C">
        <w:t>.</w:t>
      </w:r>
      <w:r>
        <w:t xml:space="preserve"> A high exchange rate during this period acted to ‘crowd out’ investment in other trade</w:t>
      </w:r>
      <w:r>
        <w:noBreakHyphen/>
        <w:t xml:space="preserve">exposed sectors, such as manufacturing </w:t>
      </w:r>
      <w:r w:rsidRPr="004B0A4D">
        <w:rPr>
          <w:szCs w:val="24"/>
        </w:rPr>
        <w:t>(Tulip 2014)</w:t>
      </w:r>
      <w:r>
        <w:t>.</w:t>
      </w:r>
    </w:p>
    <w:p w14:paraId="19E3FA8F" w14:textId="77777777" w:rsidR="002B2A31" w:rsidRDefault="002B2A31" w:rsidP="002B2A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3374FA2F" w14:textId="77777777" w:rsidTr="00CC0374">
        <w:trPr>
          <w:tblHeader/>
        </w:trPr>
        <w:tc>
          <w:tcPr>
            <w:tcW w:w="5000" w:type="pct"/>
            <w:tcBorders>
              <w:top w:val="single" w:sz="6" w:space="0" w:color="78A22F"/>
              <w:left w:val="nil"/>
              <w:bottom w:val="nil"/>
              <w:right w:val="nil"/>
            </w:tcBorders>
            <w:shd w:val="clear" w:color="auto" w:fill="auto"/>
          </w:tcPr>
          <w:p w14:paraId="5A10040F" w14:textId="4CEFEBBC" w:rsidR="002B2A31" w:rsidRDefault="002B2A31" w:rsidP="00CC0374">
            <w:pPr>
              <w:pStyle w:val="FigureTitle"/>
            </w:pPr>
            <w:r w:rsidRPr="00784A05">
              <w:rPr>
                <w:b w:val="0"/>
              </w:rPr>
              <w:t xml:space="preserve">Figure </w:t>
            </w:r>
            <w:r w:rsidR="00A73986">
              <w:rPr>
                <w:b w:val="0"/>
                <w:noProof/>
              </w:rPr>
              <w:t>2</w:t>
            </w:r>
            <w:r>
              <w:tab/>
              <w:t xml:space="preserve"> … led by strong labour markets …</w:t>
            </w:r>
          </w:p>
          <w:p w14:paraId="3378918F" w14:textId="546AF479" w:rsidR="002B2A31" w:rsidRPr="00176D3F" w:rsidRDefault="002B2A31" w:rsidP="00CC0374">
            <w:pPr>
              <w:pStyle w:val="Subtitle"/>
            </w:pPr>
            <w:r>
              <w:t>Five</w:t>
            </w:r>
            <w:r>
              <w:noBreakHyphen/>
              <w:t>year rolling average of growth in hours worked and MFP and the contribution from capital</w:t>
            </w:r>
            <w:r>
              <w:noBreakHyphen/>
              <w:t>deepening</w:t>
            </w:r>
            <w:r>
              <w:rPr>
                <w:rStyle w:val="NoteLabel"/>
              </w:rPr>
              <w:t>a</w:t>
            </w:r>
          </w:p>
        </w:tc>
      </w:tr>
      <w:tr w:rsidR="002B2A31" w14:paraId="7CCA002D" w14:textId="77777777" w:rsidTr="00CC037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B2A31" w:rsidRPr="00B1465D" w14:paraId="2DE5A99B" w14:textId="77777777" w:rsidTr="00CC0374">
              <w:trPr>
                <w:tblHeader/>
                <w:jc w:val="center"/>
              </w:trPr>
              <w:tc>
                <w:tcPr>
                  <w:tcW w:w="5000" w:type="pct"/>
                  <w:tcBorders>
                    <w:top w:val="nil"/>
                    <w:bottom w:val="nil"/>
                  </w:tcBorders>
                </w:tcPr>
                <w:p w14:paraId="29AEB1BF" w14:textId="77777777" w:rsidR="002B2A31" w:rsidRPr="00B1465D" w:rsidRDefault="002B2A31" w:rsidP="00CC0374">
                  <w:pPr>
                    <w:pStyle w:val="Figure"/>
                    <w:spacing w:before="60" w:after="60"/>
                    <w:rPr>
                      <w:rFonts w:ascii="Arial" w:hAnsi="Arial" w:cs="Arial"/>
                      <w:sz w:val="18"/>
                      <w:szCs w:val="18"/>
                    </w:rPr>
                  </w:pPr>
                  <w:r>
                    <w:rPr>
                      <w:rFonts w:ascii="Arial" w:hAnsi="Arial" w:cs="Arial"/>
                      <w:noProof/>
                      <w:sz w:val="18"/>
                      <w:szCs w:val="18"/>
                    </w:rPr>
                    <w:drawing>
                      <wp:inline distT="0" distB="0" distL="0" distR="0" wp14:anchorId="1704A869" wp14:editId="28BD9538">
                        <wp:extent cx="5310554" cy="2831755"/>
                        <wp:effectExtent l="0" t="0" r="4445" b="6985"/>
                        <wp:docPr id="19" name="Picture 19" descr="This chart decomposes the five year rolling average growth in Gross Value Added between 2000 and 2018 into growth in hours, the contribution from capital-deepening and the growth in multifactor productivity. It can be seen that in the years beginning the century, multifactor productivity growth contributed very strongly to Gross Value Added growth, while during the years of the Mining Investment Boom (roughly 2009 to 2012) multifactor productivity fell while hours growth and capital-deepening both were quite large. In recent years capital-deepening has slowed while multifactor productivity growth has picked up but not to peaks in the early century. " title="... led by strong labour mark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12934" cy="2833024"/>
                                </a:xfrm>
                                <a:prstGeom prst="rect">
                                  <a:avLst/>
                                </a:prstGeom>
                                <a:noFill/>
                              </pic:spPr>
                            </pic:pic>
                          </a:graphicData>
                        </a:graphic>
                      </wp:inline>
                    </w:drawing>
                  </w:r>
                </w:p>
              </w:tc>
            </w:tr>
          </w:tbl>
          <w:p w14:paraId="5EA86225" w14:textId="77777777" w:rsidR="002B2A31" w:rsidRDefault="002B2A31" w:rsidP="00CC0374">
            <w:pPr>
              <w:pStyle w:val="Figure"/>
            </w:pPr>
          </w:p>
        </w:tc>
      </w:tr>
      <w:tr w:rsidR="002B2A31" w:rsidRPr="00176D3F" w14:paraId="7BEB1B3D" w14:textId="77777777" w:rsidTr="00CC0374">
        <w:tc>
          <w:tcPr>
            <w:tcW w:w="5000" w:type="pct"/>
            <w:tcBorders>
              <w:top w:val="nil"/>
              <w:left w:val="nil"/>
              <w:bottom w:val="nil"/>
              <w:right w:val="nil"/>
            </w:tcBorders>
            <w:shd w:val="clear" w:color="auto" w:fill="auto"/>
          </w:tcPr>
          <w:p w14:paraId="6C75BD46" w14:textId="77777777" w:rsidR="002B2A31" w:rsidRPr="00176D3F" w:rsidRDefault="002B2A31" w:rsidP="00CC0374">
            <w:pPr>
              <w:pStyle w:val="Note"/>
            </w:pPr>
            <w:r>
              <w:rPr>
                <w:rStyle w:val="NoteLabel"/>
              </w:rPr>
              <w:t>a</w:t>
            </w:r>
            <w:r>
              <w:t xml:space="preserve"> GVA = Gross</w:t>
            </w:r>
            <w:r>
              <w:noBreakHyphen/>
              <w:t>value added. MFP = multifactor productivity. Capital</w:t>
            </w:r>
            <w:r>
              <w:noBreakHyphen/>
              <w:t>deepening is calculated as the difference between labour productivity growth and multifactor productivity growth. Average growth is the geometric average.</w:t>
            </w:r>
          </w:p>
        </w:tc>
      </w:tr>
      <w:tr w:rsidR="002B2A31" w:rsidRPr="00176D3F" w14:paraId="400D7CA2" w14:textId="77777777" w:rsidTr="00CC0374">
        <w:tc>
          <w:tcPr>
            <w:tcW w:w="5000" w:type="pct"/>
            <w:tcBorders>
              <w:top w:val="nil"/>
              <w:left w:val="nil"/>
              <w:bottom w:val="nil"/>
              <w:right w:val="nil"/>
            </w:tcBorders>
            <w:shd w:val="clear" w:color="auto" w:fill="auto"/>
          </w:tcPr>
          <w:p w14:paraId="0580FA42" w14:textId="77777777" w:rsidR="002B2A31" w:rsidRPr="00176D3F" w:rsidRDefault="002B2A31" w:rsidP="00CC0374">
            <w:pPr>
              <w:pStyle w:val="Source"/>
            </w:pPr>
            <w:r>
              <w:rPr>
                <w:i/>
              </w:rPr>
              <w:t>S</w:t>
            </w:r>
            <w:r w:rsidRPr="00784A05">
              <w:rPr>
                <w:i/>
              </w:rPr>
              <w:t>ource</w:t>
            </w:r>
            <w:r w:rsidRPr="00176D3F">
              <w:t xml:space="preserve">: </w:t>
            </w:r>
            <w:r>
              <w:t xml:space="preserve">ABS (2019, </w:t>
            </w:r>
            <w:r>
              <w:rPr>
                <w:i/>
              </w:rPr>
              <w:t>Australian System of National Accounts, 2018</w:t>
            </w:r>
            <w:r>
              <w:rPr>
                <w:i/>
              </w:rPr>
              <w:noBreakHyphen/>
              <w:t>19</w:t>
            </w:r>
            <w:r>
              <w:t>, Cat. no. 5204.0, table 13).</w:t>
            </w:r>
          </w:p>
        </w:tc>
      </w:tr>
      <w:tr w:rsidR="002B2A31" w14:paraId="3F2CE0F6" w14:textId="77777777" w:rsidTr="00CC0374">
        <w:tc>
          <w:tcPr>
            <w:tcW w:w="5000" w:type="pct"/>
            <w:tcBorders>
              <w:top w:val="nil"/>
              <w:left w:val="nil"/>
              <w:bottom w:val="single" w:sz="6" w:space="0" w:color="78A22F"/>
              <w:right w:val="nil"/>
            </w:tcBorders>
            <w:shd w:val="clear" w:color="auto" w:fill="auto"/>
          </w:tcPr>
          <w:p w14:paraId="607337B4" w14:textId="77777777" w:rsidR="002B2A31" w:rsidRDefault="002B2A31" w:rsidP="00CC0374">
            <w:pPr>
              <w:pStyle w:val="Figurespace"/>
            </w:pPr>
          </w:p>
        </w:tc>
      </w:tr>
      <w:tr w:rsidR="002B2A31" w:rsidRPr="000863A5" w14:paraId="3A0C70DD" w14:textId="77777777" w:rsidTr="00CC0374">
        <w:tc>
          <w:tcPr>
            <w:tcW w:w="5000" w:type="pct"/>
            <w:tcBorders>
              <w:top w:val="single" w:sz="6" w:space="0" w:color="78A22F"/>
              <w:left w:val="nil"/>
              <w:bottom w:val="nil"/>
              <w:right w:val="nil"/>
            </w:tcBorders>
          </w:tcPr>
          <w:p w14:paraId="37BF1EC6" w14:textId="77777777" w:rsidR="002B2A31" w:rsidRPr="00626D32" w:rsidRDefault="002B2A31" w:rsidP="00CC0374">
            <w:pPr>
              <w:pStyle w:val="BoxSpaceBelow"/>
            </w:pPr>
          </w:p>
        </w:tc>
      </w:tr>
    </w:tbl>
    <w:p w14:paraId="0A52AD73" w14:textId="16018352" w:rsidR="002B2A31" w:rsidRDefault="002B2A31" w:rsidP="002B2A31">
      <w:pPr>
        <w:pStyle w:val="BodyText"/>
      </w:pPr>
      <w:r>
        <w:t>Outside the mining industry, however, investment has been trending lower as a share of GDP over the past two decades (figure 3).</w:t>
      </w:r>
      <w:r w:rsidRPr="001516EF">
        <w:t xml:space="preserve"> </w:t>
      </w:r>
      <w:r>
        <w:t xml:space="preserve">This underlying pattern of declining investment as a share of GDP is in step with patterns evident in advanced economies generally </w:t>
      </w:r>
      <w:r w:rsidRPr="00085BE3">
        <w:rPr>
          <w:szCs w:val="24"/>
        </w:rPr>
        <w:t>(Lowe 2013)</w:t>
      </w:r>
      <w:r>
        <w:t>. Weakness in business confidence following the global financial crisis may have contributed, but structural forces are also at play.</w:t>
      </w:r>
    </w:p>
    <w:p w14:paraId="20D4BC1E" w14:textId="0B4D2325" w:rsidR="002B2A31" w:rsidRDefault="002B2A31" w:rsidP="002B2A31">
      <w:pPr>
        <w:pStyle w:val="BodyText"/>
      </w:pPr>
      <w:r>
        <w:t>The secular shift to a service</w:t>
      </w:r>
      <w:r>
        <w:noBreakHyphen/>
        <w:t xml:space="preserve">driven economy means a lower rate of investment in physical capital may be necessary in future. Instead, intangible investment — which is only partially </w:t>
      </w:r>
      <w:r>
        <w:lastRenderedPageBreak/>
        <w:t>measured in the national accounts — is likely to play a stronger role.</w:t>
      </w:r>
      <w:r>
        <w:rPr>
          <w:rStyle w:val="FootnoteReference"/>
        </w:rPr>
        <w:footnoteReference w:id="3"/>
      </w:r>
      <w:r>
        <w:t xml:space="preserve"> Outside the mining sector there has been little growth in real investment in machinery and equipment o</w:t>
      </w:r>
      <w:r w:rsidR="00177E1C">
        <w:t>r</w:t>
      </w:r>
      <w:r>
        <w:t xml:space="preserve"> buildings and structures, but</w:t>
      </w:r>
      <w:r w:rsidR="00AE7169">
        <w:t xml:space="preserve"> measured</w:t>
      </w:r>
      <w:r>
        <w:t xml:space="preserve"> investment in intellectual property has grown by about 5 per cent per year </w:t>
      </w:r>
      <w:r w:rsidR="0087142C">
        <w:t>—</w:t>
      </w:r>
      <w:r>
        <w:t xml:space="preserve"> led by strong growth in computer software </w:t>
      </w:r>
      <w:r w:rsidRPr="00D172E8">
        <w:rPr>
          <w:szCs w:val="24"/>
        </w:rPr>
        <w:t>(Lowe 2018b)</w:t>
      </w:r>
      <w:r>
        <w:t>. The accompanying need for complementary investments such as reorganising work practices and retraining staff, are almost certainly large, but</w:t>
      </w:r>
      <w:r w:rsidR="007C1CC8">
        <w:t xml:space="preserve"> are</w:t>
      </w:r>
      <w:r>
        <w:t xml:space="preserve"> not measured </w:t>
      </w:r>
      <w:r w:rsidRPr="00F545AD">
        <w:rPr>
          <w:szCs w:val="24"/>
        </w:rPr>
        <w:t>(OECD 2013)</w:t>
      </w:r>
      <w:r>
        <w:t>. Best estimates for the United Sta</w:t>
      </w:r>
      <w:r w:rsidR="00177E1C">
        <w:t xml:space="preserve">tes and United Kingdom are </w:t>
      </w:r>
      <w:r>
        <w:t xml:space="preserve">intangible investment is now larger than tangible investment </w:t>
      </w:r>
      <w:r w:rsidRPr="00F545AD">
        <w:rPr>
          <w:szCs w:val="24"/>
        </w:rPr>
        <w:t>(Corrado, Hulten and Sichel 2009)</w:t>
      </w:r>
      <w:r>
        <w:t>.</w:t>
      </w:r>
      <w:r>
        <w:rPr>
          <w:rStyle w:val="FootnoteReference"/>
        </w:rPr>
        <w:footnoteReference w:id="4"/>
      </w:r>
      <w:r>
        <w:t xml:space="preserve"> </w:t>
      </w:r>
    </w:p>
    <w:p w14:paraId="1C418C3D" w14:textId="77777777" w:rsidR="002B2A31" w:rsidRDefault="002B2A31" w:rsidP="002B2A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1975A8FD" w14:textId="77777777" w:rsidTr="00CC0374">
        <w:trPr>
          <w:tblHeader/>
        </w:trPr>
        <w:tc>
          <w:tcPr>
            <w:tcW w:w="5000" w:type="pct"/>
            <w:tcBorders>
              <w:top w:val="single" w:sz="6" w:space="0" w:color="78A22F"/>
              <w:left w:val="nil"/>
              <w:bottom w:val="nil"/>
              <w:right w:val="nil"/>
            </w:tcBorders>
            <w:shd w:val="clear" w:color="auto" w:fill="auto"/>
          </w:tcPr>
          <w:p w14:paraId="19ADC2A0" w14:textId="7054B3F3" w:rsidR="002B2A31" w:rsidRPr="0087142C" w:rsidRDefault="002B2A31" w:rsidP="00CC0374">
            <w:pPr>
              <w:pStyle w:val="FigureTitle"/>
              <w:rPr>
                <w:spacing w:val="-4"/>
              </w:rPr>
            </w:pPr>
            <w:r w:rsidRPr="00784A05">
              <w:rPr>
                <w:b w:val="0"/>
              </w:rPr>
              <w:t xml:space="preserve">Figure </w:t>
            </w:r>
            <w:r w:rsidR="00A73986">
              <w:rPr>
                <w:b w:val="0"/>
                <w:noProof/>
              </w:rPr>
              <w:t>3</w:t>
            </w:r>
            <w:r>
              <w:tab/>
            </w:r>
            <w:r w:rsidRPr="0087142C">
              <w:rPr>
                <w:spacing w:val="-4"/>
              </w:rPr>
              <w:t>… while investment has remained weak since the mining boom</w:t>
            </w:r>
          </w:p>
          <w:p w14:paraId="3A102C06" w14:textId="77777777" w:rsidR="002B2A31" w:rsidRPr="0087142C" w:rsidRDefault="002B2A31" w:rsidP="00CC0374">
            <w:pPr>
              <w:pStyle w:val="Subtitle"/>
              <w:rPr>
                <w:spacing w:val="-4"/>
              </w:rPr>
            </w:pPr>
            <w:r w:rsidRPr="0087142C">
              <w:rPr>
                <w:spacing w:val="-4"/>
              </w:rPr>
              <w:t>Ratios of total investment, mining investment and non</w:t>
            </w:r>
            <w:r w:rsidRPr="0087142C">
              <w:rPr>
                <w:spacing w:val="-4"/>
              </w:rPr>
              <w:noBreakHyphen/>
              <w:t>mining investment to GDP</w:t>
            </w:r>
            <w:r w:rsidRPr="0087142C">
              <w:rPr>
                <w:rStyle w:val="NoteLabel"/>
                <w:spacing w:val="-4"/>
                <w:position w:val="8"/>
              </w:rPr>
              <w:t>a</w:t>
            </w:r>
          </w:p>
        </w:tc>
      </w:tr>
      <w:tr w:rsidR="002B2A31" w14:paraId="2FA3220E" w14:textId="77777777" w:rsidTr="00CC037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B2A31" w:rsidRPr="00B1465D" w14:paraId="35F2CD92" w14:textId="77777777" w:rsidTr="00CC0374">
              <w:trPr>
                <w:tblHeader/>
                <w:jc w:val="center"/>
              </w:trPr>
              <w:tc>
                <w:tcPr>
                  <w:tcW w:w="5000" w:type="pct"/>
                  <w:tcBorders>
                    <w:top w:val="nil"/>
                    <w:bottom w:val="nil"/>
                  </w:tcBorders>
                </w:tcPr>
                <w:p w14:paraId="51E0BE56" w14:textId="788A9B9D" w:rsidR="002B2A31" w:rsidRPr="00B1465D" w:rsidRDefault="005310C7" w:rsidP="00CC0374">
                  <w:pPr>
                    <w:pStyle w:val="Figure"/>
                    <w:spacing w:before="60" w:after="60"/>
                    <w:rPr>
                      <w:rFonts w:ascii="Arial" w:hAnsi="Arial" w:cs="Arial"/>
                      <w:sz w:val="18"/>
                      <w:szCs w:val="18"/>
                    </w:rPr>
                  </w:pPr>
                  <w:r w:rsidRPr="005310C7">
                    <w:rPr>
                      <w:rFonts w:ascii="Arial" w:hAnsi="Arial" w:cs="Arial"/>
                      <w:noProof/>
                      <w:sz w:val="18"/>
                      <w:szCs w:val="18"/>
                    </w:rPr>
                    <w:drawing>
                      <wp:inline distT="0" distB="0" distL="0" distR="0" wp14:anchorId="4F783CFA" wp14:editId="35324143">
                        <wp:extent cx="5400000" cy="3477071"/>
                        <wp:effectExtent l="0" t="0" r="0" b="9525"/>
                        <wp:docPr id="1" name="Picture 1" descr="Figure 3: This chart shows the ratios of mining, non-mining and total investment to GDP between 2000 to 2019. It be seen that building up to a peak in 2013, mining investment crowded out non-mining investment. Non-mining investment has improved since then but total investment remains subd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000" cy="3477071"/>
                                </a:xfrm>
                                <a:prstGeom prst="rect">
                                  <a:avLst/>
                                </a:prstGeom>
                                <a:noFill/>
                                <a:ln>
                                  <a:noFill/>
                                </a:ln>
                              </pic:spPr>
                            </pic:pic>
                          </a:graphicData>
                        </a:graphic>
                      </wp:inline>
                    </w:drawing>
                  </w:r>
                </w:p>
              </w:tc>
            </w:tr>
          </w:tbl>
          <w:p w14:paraId="3EC53C32" w14:textId="77777777" w:rsidR="002B2A31" w:rsidRDefault="002B2A31" w:rsidP="00CC0374">
            <w:pPr>
              <w:pStyle w:val="Figure"/>
            </w:pPr>
          </w:p>
        </w:tc>
      </w:tr>
      <w:tr w:rsidR="002B2A31" w:rsidRPr="00176D3F" w14:paraId="5D18CD80" w14:textId="77777777" w:rsidTr="00CC0374">
        <w:tc>
          <w:tcPr>
            <w:tcW w:w="5000" w:type="pct"/>
            <w:tcBorders>
              <w:top w:val="nil"/>
              <w:left w:val="nil"/>
              <w:bottom w:val="nil"/>
              <w:right w:val="nil"/>
            </w:tcBorders>
            <w:shd w:val="clear" w:color="auto" w:fill="auto"/>
          </w:tcPr>
          <w:p w14:paraId="205E4F66" w14:textId="77777777" w:rsidR="002B2A31" w:rsidRPr="00176D3F" w:rsidRDefault="002B2A31" w:rsidP="00CC0374">
            <w:pPr>
              <w:pStyle w:val="Note"/>
            </w:pPr>
            <w:r>
              <w:rPr>
                <w:rStyle w:val="NoteLabel"/>
              </w:rPr>
              <w:t>a</w:t>
            </w:r>
            <w:r>
              <w:t xml:space="preserve"> Gross fixed capital formation in mining and all industries in each financial year in current prices as a proportion of GDP in current prices.</w:t>
            </w:r>
          </w:p>
        </w:tc>
      </w:tr>
      <w:tr w:rsidR="002B2A31" w:rsidRPr="00176D3F" w14:paraId="144B3AEC" w14:textId="77777777" w:rsidTr="00CC0374">
        <w:tc>
          <w:tcPr>
            <w:tcW w:w="5000" w:type="pct"/>
            <w:tcBorders>
              <w:top w:val="nil"/>
              <w:left w:val="nil"/>
              <w:bottom w:val="nil"/>
              <w:right w:val="nil"/>
            </w:tcBorders>
            <w:shd w:val="clear" w:color="auto" w:fill="auto"/>
          </w:tcPr>
          <w:p w14:paraId="1B90925A" w14:textId="77777777" w:rsidR="002B2A31" w:rsidRPr="00176D3F" w:rsidRDefault="002B2A31" w:rsidP="00CC0374">
            <w:pPr>
              <w:pStyle w:val="Source"/>
            </w:pPr>
            <w:r>
              <w:rPr>
                <w:i/>
              </w:rPr>
              <w:t>S</w:t>
            </w:r>
            <w:r w:rsidRPr="00784A05">
              <w:rPr>
                <w:i/>
              </w:rPr>
              <w:t>ource</w:t>
            </w:r>
            <w:r w:rsidRPr="00176D3F">
              <w:t xml:space="preserve">: </w:t>
            </w:r>
            <w:r>
              <w:t xml:space="preserve">ABS (2019, </w:t>
            </w:r>
            <w:r>
              <w:rPr>
                <w:i/>
              </w:rPr>
              <w:t>Australian System of National Accounts, 2018</w:t>
            </w:r>
            <w:r>
              <w:rPr>
                <w:i/>
              </w:rPr>
              <w:noBreakHyphen/>
              <w:t>19</w:t>
            </w:r>
            <w:r>
              <w:t>, Cat. no. 5204.0, tables 1 and 64).</w:t>
            </w:r>
          </w:p>
        </w:tc>
      </w:tr>
      <w:tr w:rsidR="002B2A31" w14:paraId="606BD853" w14:textId="77777777" w:rsidTr="00CC0374">
        <w:tc>
          <w:tcPr>
            <w:tcW w:w="5000" w:type="pct"/>
            <w:tcBorders>
              <w:top w:val="nil"/>
              <w:left w:val="nil"/>
              <w:bottom w:val="single" w:sz="6" w:space="0" w:color="78A22F"/>
              <w:right w:val="nil"/>
            </w:tcBorders>
            <w:shd w:val="clear" w:color="auto" w:fill="auto"/>
          </w:tcPr>
          <w:p w14:paraId="25203A5D" w14:textId="77777777" w:rsidR="002B2A31" w:rsidRDefault="002B2A31" w:rsidP="00CC0374">
            <w:pPr>
              <w:pStyle w:val="Figurespace"/>
            </w:pPr>
          </w:p>
        </w:tc>
      </w:tr>
      <w:tr w:rsidR="002B2A31" w:rsidRPr="000863A5" w14:paraId="33EEEA50" w14:textId="77777777" w:rsidTr="00CC0374">
        <w:tc>
          <w:tcPr>
            <w:tcW w:w="5000" w:type="pct"/>
            <w:tcBorders>
              <w:top w:val="single" w:sz="6" w:space="0" w:color="78A22F"/>
              <w:left w:val="nil"/>
              <w:bottom w:val="nil"/>
              <w:right w:val="nil"/>
            </w:tcBorders>
          </w:tcPr>
          <w:p w14:paraId="2456E07D" w14:textId="77777777" w:rsidR="002B2A31" w:rsidRPr="00626D32" w:rsidRDefault="002B2A31" w:rsidP="00CC0374">
            <w:pPr>
              <w:pStyle w:val="BoxSpaceBelow"/>
            </w:pPr>
          </w:p>
        </w:tc>
      </w:tr>
    </w:tbl>
    <w:p w14:paraId="032442CF" w14:textId="27502AAE" w:rsidR="002B2A31" w:rsidRDefault="002B2A31" w:rsidP="002B2A31">
      <w:pPr>
        <w:pStyle w:val="Heading3"/>
      </w:pPr>
      <w:r>
        <w:lastRenderedPageBreak/>
        <w:t>Labour productivity declined this year, with poor outcom</w:t>
      </w:r>
      <w:r w:rsidR="008969C2">
        <w:t>es across a range of industries</w:t>
      </w:r>
    </w:p>
    <w:p w14:paraId="2123B526" w14:textId="2CA2C7B0" w:rsidR="002B2A31" w:rsidRDefault="002B2A31" w:rsidP="002B2A31">
      <w:pPr>
        <w:pStyle w:val="BodyText"/>
      </w:pPr>
      <w:r>
        <w:t>Slower growth in output this year was driven by falling productivity. Labour productivity — the amount of output produced with one hour of labour — in the market sector declined 0.2 per cent. Further, multifactor productivity — the amount of output for a given amount of labour and capital — in the market sector fell for the first time since 2011, declining by 0.4 per cent (figure 1</w:t>
      </w:r>
      <w:r w:rsidR="00D21661">
        <w:t xml:space="preserve"> above</w:t>
      </w:r>
      <w:r>
        <w:t xml:space="preserve">). </w:t>
      </w:r>
    </w:p>
    <w:p w14:paraId="71E94440" w14:textId="77777777" w:rsidR="002B2A31" w:rsidRDefault="002B2A31" w:rsidP="002B2A31">
      <w:pPr>
        <w:pStyle w:val="BodyText"/>
      </w:pPr>
      <w:r>
        <w:t>Although labour productivity fell across the market sector as a whole, outcomes varied by industry (figure 4). The largest fall in productivity occurred in the drought</w:t>
      </w:r>
      <w:r>
        <w:noBreakHyphen/>
        <w:t>affected agricultural sector. Six out of the 16 market sector industries increased their productivity, with the largest increase in arts and recreation (an industry that usually underperforms).</w:t>
      </w:r>
    </w:p>
    <w:p w14:paraId="1CEC4D1A" w14:textId="36B9D4EC" w:rsidR="002B2A31" w:rsidRDefault="002B2A31" w:rsidP="002B2A31">
      <w:pPr>
        <w:pStyle w:val="BodyText"/>
      </w:pPr>
      <w:r>
        <w:t>Mining productivity fell 2.0 per cent in 2018</w:t>
      </w:r>
      <w:r>
        <w:noBreakHyphen/>
        <w:t xml:space="preserve">19. This breaks a trend of impressive productivity growth over the past five years as </w:t>
      </w:r>
      <w:r w:rsidR="00D21661">
        <w:t>output</w:t>
      </w:r>
      <w:r>
        <w:t xml:space="preserve"> capacity came on stream following </w:t>
      </w:r>
      <w:r w:rsidR="00D21661">
        <w:t>the recent</w:t>
      </w:r>
      <w:r>
        <w:t xml:space="preserve"> period of heavy investment.</w:t>
      </w:r>
      <w:r>
        <w:rPr>
          <w:rStyle w:val="FootnoteReference"/>
        </w:rPr>
        <w:footnoteReference w:id="5"/>
      </w:r>
      <w:r>
        <w:t xml:space="preserve"> </w:t>
      </w:r>
    </w:p>
    <w:p w14:paraId="3056B00B" w14:textId="276870DF" w:rsidR="002B2A31" w:rsidRDefault="002B2A31" w:rsidP="002B2A31">
      <w:pPr>
        <w:pStyle w:val="BodyText"/>
      </w:pPr>
      <w:r>
        <w:t>Outcomes in multifactor productivity were also highly dispersed across industries (figure 5). The most noticeable difference between the labour productivity and multifactor productivity statistics was that while mining labour productivity fell, it had the strongest multifactor productivity growth of any industry in 2018</w:t>
      </w:r>
      <w:r>
        <w:noBreakHyphen/>
        <w:t xml:space="preserve">19. This reflects the strong growth in hours worked in the mining industry (about 8.2 per cent), which lead to a slight capital shallowing despite the use of capital services actually increasing (about 1 per cent) </w:t>
      </w:r>
      <w:r w:rsidRPr="00123BD4">
        <w:rPr>
          <w:szCs w:val="24"/>
        </w:rPr>
        <w:t>(ABS </w:t>
      </w:r>
      <w:r w:rsidRPr="00CA52DD">
        <w:rPr>
          <w:szCs w:val="24"/>
        </w:rPr>
        <w:t>2019d)</w:t>
      </w:r>
      <w:r>
        <w:t>.</w:t>
      </w:r>
    </w:p>
    <w:p w14:paraId="08AC686C" w14:textId="77777777" w:rsidR="002B2A31" w:rsidRDefault="002B2A31" w:rsidP="002B2A31">
      <w:pPr>
        <w:pStyle w:val="BodyText"/>
        <w:sectPr w:rsidR="002B2A31" w:rsidSect="00E906AF">
          <w:headerReference w:type="even" r:id="rId24"/>
          <w:headerReference w:type="default" r:id="rId25"/>
          <w:footerReference w:type="even" r:id="rId26"/>
          <w:footerReference w:type="default" r:id="rId27"/>
          <w:type w:val="oddPage"/>
          <w:pgSz w:w="11907" w:h="16840" w:code="9"/>
          <w:pgMar w:top="1758" w:right="1304" w:bottom="1247" w:left="1814" w:header="1701" w:footer="397" w:gutter="0"/>
          <w:pgNumType w:start="1" w:chapSep="period"/>
          <w:cols w:space="720"/>
        </w:sectPr>
      </w:pPr>
    </w:p>
    <w:p w14:paraId="592EA337" w14:textId="77777777" w:rsidR="002B2A31" w:rsidRPr="000C6A66" w:rsidRDefault="002B2A31" w:rsidP="000C6A66">
      <w:pPr>
        <w:pStyle w:val="BoxSpaceBelow"/>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13608"/>
      </w:tblGrid>
      <w:tr w:rsidR="002B2A31" w14:paraId="7BA76CF3" w14:textId="77777777" w:rsidTr="00CC0374">
        <w:trPr>
          <w:tblHeader/>
        </w:trPr>
        <w:tc>
          <w:tcPr>
            <w:tcW w:w="5000" w:type="pct"/>
            <w:tcBorders>
              <w:top w:val="single" w:sz="6" w:space="0" w:color="78A22F"/>
              <w:left w:val="nil"/>
              <w:bottom w:val="nil"/>
              <w:right w:val="nil"/>
            </w:tcBorders>
            <w:shd w:val="clear" w:color="auto" w:fill="auto"/>
          </w:tcPr>
          <w:p w14:paraId="6D3866B8" w14:textId="06CF7AA9" w:rsidR="002B2A31" w:rsidRDefault="002B2A31" w:rsidP="00CC0374">
            <w:pPr>
              <w:pStyle w:val="FigureTitle"/>
            </w:pPr>
            <w:r w:rsidRPr="00784A05">
              <w:rPr>
                <w:b w:val="0"/>
              </w:rPr>
              <w:t xml:space="preserve">Figure </w:t>
            </w:r>
            <w:r w:rsidR="00A73986">
              <w:rPr>
                <w:b w:val="0"/>
                <w:noProof/>
              </w:rPr>
              <w:t>4</w:t>
            </w:r>
            <w:r>
              <w:tab/>
            </w:r>
            <w:r w:rsidRPr="00513910">
              <w:t>A highly uneven</w:t>
            </w:r>
            <w:r>
              <w:t xml:space="preserve"> labour</w:t>
            </w:r>
            <w:r w:rsidRPr="00513910">
              <w:t xml:space="preserve"> productivity performance</w:t>
            </w:r>
            <w:r>
              <w:t xml:space="preserve"> …</w:t>
            </w:r>
          </w:p>
          <w:p w14:paraId="27C996B5" w14:textId="77777777" w:rsidR="002B2A31" w:rsidRPr="00176D3F" w:rsidRDefault="002B2A31" w:rsidP="00CC0374">
            <w:pPr>
              <w:pStyle w:val="Subtitle"/>
            </w:pPr>
            <w:r>
              <w:t>Labour productivity growth in market industries in 2018</w:t>
            </w:r>
            <w:r>
              <w:noBreakHyphen/>
              <w:t>19 and the past five years</w:t>
            </w:r>
          </w:p>
        </w:tc>
      </w:tr>
      <w:tr w:rsidR="002B2A31" w14:paraId="46F3A365" w14:textId="77777777" w:rsidTr="00CC0374">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13324"/>
            </w:tblGrid>
            <w:tr w:rsidR="002B2A31" w:rsidRPr="00B1465D" w14:paraId="16F5EEBF" w14:textId="77777777" w:rsidTr="00CC0374">
              <w:trPr>
                <w:tblHeader/>
                <w:jc w:val="center"/>
              </w:trPr>
              <w:tc>
                <w:tcPr>
                  <w:tcW w:w="13324" w:type="dxa"/>
                  <w:tcBorders>
                    <w:top w:val="nil"/>
                    <w:bottom w:val="nil"/>
                  </w:tcBorders>
                </w:tcPr>
                <w:p w14:paraId="610BA641" w14:textId="717E81EA" w:rsidR="002B2A31" w:rsidRPr="00B1465D" w:rsidRDefault="00150DA2" w:rsidP="00CC0374">
                  <w:pPr>
                    <w:pStyle w:val="Figure"/>
                    <w:spacing w:before="60" w:after="60"/>
                    <w:rPr>
                      <w:rFonts w:ascii="Arial" w:hAnsi="Arial" w:cs="Arial"/>
                      <w:sz w:val="18"/>
                      <w:szCs w:val="18"/>
                    </w:rPr>
                  </w:pPr>
                  <w:r w:rsidRPr="00150DA2">
                    <w:rPr>
                      <w:rFonts w:ascii="Arial" w:hAnsi="Arial" w:cs="Arial"/>
                      <w:noProof/>
                      <w:sz w:val="18"/>
                      <w:szCs w:val="18"/>
                    </w:rPr>
                    <w:drawing>
                      <wp:inline distT="0" distB="0" distL="0" distR="0" wp14:anchorId="177A3F91" wp14:editId="47E54C5B">
                        <wp:extent cx="8316000" cy="4094865"/>
                        <wp:effectExtent l="0" t="0" r="0" b="1270"/>
                        <wp:docPr id="20" name="Picture 20" descr="This chart displays the multifactor productivity growth in different industries in the most recent year and the average over the past five years. Although productivity fell across the whole market sector (by 0.2%), several industries had substantial productivity growth, such as Arts and Recreation (4.9%). On the other hand, some industries had larger productivity fall than the market sector-wide average, such as Agriculture, Forestry and Fishing, whose labour productivity fell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316000" cy="4094865"/>
                                </a:xfrm>
                                <a:prstGeom prst="rect">
                                  <a:avLst/>
                                </a:prstGeom>
                                <a:noFill/>
                                <a:ln>
                                  <a:noFill/>
                                </a:ln>
                              </pic:spPr>
                            </pic:pic>
                          </a:graphicData>
                        </a:graphic>
                      </wp:inline>
                    </w:drawing>
                  </w:r>
                </w:p>
              </w:tc>
            </w:tr>
          </w:tbl>
          <w:p w14:paraId="73D4D4C6" w14:textId="77777777" w:rsidR="002B2A31" w:rsidRDefault="002B2A31" w:rsidP="00CC0374">
            <w:pPr>
              <w:pStyle w:val="Figure"/>
            </w:pPr>
          </w:p>
        </w:tc>
      </w:tr>
      <w:tr w:rsidR="002B2A31" w:rsidRPr="00176D3F" w14:paraId="4CD18007" w14:textId="77777777" w:rsidTr="00CC0374">
        <w:tc>
          <w:tcPr>
            <w:tcW w:w="5000" w:type="pct"/>
            <w:tcBorders>
              <w:top w:val="nil"/>
              <w:left w:val="nil"/>
              <w:bottom w:val="nil"/>
              <w:right w:val="nil"/>
            </w:tcBorders>
            <w:shd w:val="clear" w:color="auto" w:fill="auto"/>
          </w:tcPr>
          <w:p w14:paraId="0BD03016" w14:textId="77777777" w:rsidR="002B2A31" w:rsidRPr="00176D3F" w:rsidRDefault="002B2A31" w:rsidP="00CC0374">
            <w:pPr>
              <w:pStyle w:val="Source"/>
            </w:pPr>
            <w:r>
              <w:rPr>
                <w:i/>
              </w:rPr>
              <w:t>S</w:t>
            </w:r>
            <w:r w:rsidRPr="00784A05">
              <w:rPr>
                <w:i/>
              </w:rPr>
              <w:t>ource</w:t>
            </w:r>
            <w:r w:rsidRPr="00176D3F">
              <w:t xml:space="preserve">: </w:t>
            </w:r>
            <w:r>
              <w:t xml:space="preserve">ABS (2019, </w:t>
            </w:r>
            <w:r>
              <w:rPr>
                <w:i/>
              </w:rPr>
              <w:t>Australian System of National Accounts, 2018</w:t>
            </w:r>
            <w:r>
              <w:rPr>
                <w:i/>
              </w:rPr>
              <w:noBreakHyphen/>
              <w:t>19</w:t>
            </w:r>
            <w:r>
              <w:t>, Cat. no. 5204.0, table 15).</w:t>
            </w:r>
          </w:p>
        </w:tc>
      </w:tr>
      <w:tr w:rsidR="002B2A31" w14:paraId="7AE213ED" w14:textId="77777777" w:rsidTr="00CC0374">
        <w:tc>
          <w:tcPr>
            <w:tcW w:w="5000" w:type="pct"/>
            <w:tcBorders>
              <w:top w:val="nil"/>
              <w:left w:val="nil"/>
              <w:bottom w:val="single" w:sz="6" w:space="0" w:color="78A22F"/>
              <w:right w:val="nil"/>
            </w:tcBorders>
            <w:shd w:val="clear" w:color="auto" w:fill="auto"/>
          </w:tcPr>
          <w:p w14:paraId="1C2963B0" w14:textId="77777777" w:rsidR="002B2A31" w:rsidRDefault="002B2A31" w:rsidP="00CC0374">
            <w:pPr>
              <w:pStyle w:val="Figurespace"/>
            </w:pPr>
          </w:p>
        </w:tc>
      </w:tr>
      <w:tr w:rsidR="002B2A31" w:rsidRPr="000863A5" w14:paraId="3F03844A" w14:textId="77777777" w:rsidTr="00CC0374">
        <w:tc>
          <w:tcPr>
            <w:tcW w:w="5000" w:type="pct"/>
            <w:tcBorders>
              <w:top w:val="single" w:sz="6" w:space="0" w:color="78A22F"/>
              <w:left w:val="nil"/>
              <w:bottom w:val="nil"/>
              <w:right w:val="nil"/>
            </w:tcBorders>
          </w:tcPr>
          <w:p w14:paraId="4E2365C1" w14:textId="77777777" w:rsidR="002B2A31" w:rsidRPr="00626D32" w:rsidRDefault="002B2A31" w:rsidP="00CC0374">
            <w:pPr>
              <w:pStyle w:val="BoxSpaceBelow"/>
            </w:pPr>
          </w:p>
        </w:tc>
      </w:tr>
    </w:tbl>
    <w:p w14:paraId="04F6E94C" w14:textId="77777777" w:rsidR="002B2A31" w:rsidRDefault="002B2A31" w:rsidP="002B2A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13608"/>
      </w:tblGrid>
      <w:tr w:rsidR="002B2A31" w14:paraId="4B5A5795" w14:textId="77777777" w:rsidTr="00CC0374">
        <w:trPr>
          <w:tblHeader/>
        </w:trPr>
        <w:tc>
          <w:tcPr>
            <w:tcW w:w="5000" w:type="pct"/>
            <w:tcBorders>
              <w:top w:val="single" w:sz="6" w:space="0" w:color="78A22F"/>
              <w:left w:val="nil"/>
              <w:bottom w:val="nil"/>
              <w:right w:val="nil"/>
            </w:tcBorders>
            <w:shd w:val="clear" w:color="auto" w:fill="auto"/>
          </w:tcPr>
          <w:p w14:paraId="0F60B6FE" w14:textId="6F11309A" w:rsidR="002B2A31" w:rsidRDefault="002B2A31" w:rsidP="00CC0374">
            <w:pPr>
              <w:pStyle w:val="FigureTitle"/>
            </w:pPr>
            <w:r w:rsidRPr="00784A05">
              <w:rPr>
                <w:b w:val="0"/>
              </w:rPr>
              <w:t xml:space="preserve">Figure </w:t>
            </w:r>
            <w:r w:rsidR="00A73986">
              <w:rPr>
                <w:b w:val="0"/>
                <w:noProof/>
              </w:rPr>
              <w:t>5</w:t>
            </w:r>
            <w:r>
              <w:tab/>
              <w:t>… and a similar unevenness in multifactor productivity</w:t>
            </w:r>
          </w:p>
          <w:p w14:paraId="0C58F276" w14:textId="307B4247" w:rsidR="002B2A31" w:rsidRPr="00176D3F" w:rsidRDefault="002B2A31" w:rsidP="00CC0374">
            <w:pPr>
              <w:pStyle w:val="Subtitle"/>
            </w:pPr>
            <w:r>
              <w:t>Multifactor</w:t>
            </w:r>
            <w:r w:rsidRPr="00744B62">
              <w:t xml:space="preserve"> productivity growth in market industries i</w:t>
            </w:r>
            <w:r w:rsidR="000B5318">
              <w:t>n 2018</w:t>
            </w:r>
            <w:r w:rsidR="000B5318">
              <w:noBreakHyphen/>
            </w:r>
            <w:r w:rsidRPr="00744B62">
              <w:t>19 and the past five years</w:t>
            </w:r>
          </w:p>
        </w:tc>
      </w:tr>
      <w:tr w:rsidR="002B2A31" w14:paraId="53023C0A" w14:textId="77777777" w:rsidTr="00CC0374">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13324"/>
            </w:tblGrid>
            <w:tr w:rsidR="002B2A31" w:rsidRPr="00B1465D" w14:paraId="75018190" w14:textId="77777777" w:rsidTr="00FB4814">
              <w:trPr>
                <w:tblHeader/>
                <w:jc w:val="center"/>
              </w:trPr>
              <w:tc>
                <w:tcPr>
                  <w:tcW w:w="13324" w:type="dxa"/>
                  <w:tcBorders>
                    <w:top w:val="nil"/>
                    <w:bottom w:val="nil"/>
                  </w:tcBorders>
                </w:tcPr>
                <w:p w14:paraId="63DECA3D" w14:textId="7EA0BCAF" w:rsidR="002B2A31" w:rsidRPr="00B1465D" w:rsidRDefault="005310C7" w:rsidP="00CC0374">
                  <w:pPr>
                    <w:pStyle w:val="Figure"/>
                    <w:spacing w:before="60" w:after="60"/>
                    <w:rPr>
                      <w:rFonts w:ascii="Arial" w:hAnsi="Arial" w:cs="Arial"/>
                      <w:sz w:val="18"/>
                      <w:szCs w:val="18"/>
                    </w:rPr>
                  </w:pPr>
                  <w:r w:rsidRPr="005310C7">
                    <w:rPr>
                      <w:rFonts w:ascii="Arial" w:hAnsi="Arial" w:cs="Arial"/>
                      <w:noProof/>
                      <w:sz w:val="18"/>
                      <w:szCs w:val="18"/>
                    </w:rPr>
                    <w:drawing>
                      <wp:inline distT="0" distB="0" distL="0" distR="0" wp14:anchorId="56911A2B" wp14:editId="63AA9DB4">
                        <wp:extent cx="8316000" cy="4255741"/>
                        <wp:effectExtent l="0" t="0" r="0" b="0"/>
                        <wp:docPr id="5" name="Picture 5" descr="This chart displays the multifactor productivity growth in different industries in the most recent year and the average over the past five years. Although productivity fell across the whole market sector (by 0.35%), several industries had substantial productivity growth, such as Mining (3.81%). On the other hand, some industries had larger productivity fall than the market sector-wide average, such as Agriculture, Forestry and Fishing, whose labour productivity fell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316000" cy="4255741"/>
                                </a:xfrm>
                                <a:prstGeom prst="rect">
                                  <a:avLst/>
                                </a:prstGeom>
                                <a:noFill/>
                                <a:ln>
                                  <a:noFill/>
                                </a:ln>
                              </pic:spPr>
                            </pic:pic>
                          </a:graphicData>
                        </a:graphic>
                      </wp:inline>
                    </w:drawing>
                  </w:r>
                </w:p>
              </w:tc>
            </w:tr>
          </w:tbl>
          <w:p w14:paraId="55D477BC" w14:textId="77777777" w:rsidR="002B2A31" w:rsidRDefault="002B2A31" w:rsidP="00CC0374">
            <w:pPr>
              <w:pStyle w:val="Figure"/>
            </w:pPr>
          </w:p>
        </w:tc>
      </w:tr>
      <w:tr w:rsidR="002B2A31" w:rsidRPr="00176D3F" w14:paraId="2A1967CA" w14:textId="77777777" w:rsidTr="00CC0374">
        <w:tc>
          <w:tcPr>
            <w:tcW w:w="5000" w:type="pct"/>
            <w:tcBorders>
              <w:top w:val="nil"/>
              <w:left w:val="nil"/>
              <w:bottom w:val="nil"/>
              <w:right w:val="nil"/>
            </w:tcBorders>
            <w:shd w:val="clear" w:color="auto" w:fill="auto"/>
          </w:tcPr>
          <w:p w14:paraId="17C6362F" w14:textId="77777777" w:rsidR="002B2A31" w:rsidRPr="00176D3F" w:rsidRDefault="002B2A31" w:rsidP="00CC0374">
            <w:pPr>
              <w:pStyle w:val="Source"/>
            </w:pPr>
            <w:r>
              <w:rPr>
                <w:i/>
              </w:rPr>
              <w:t>S</w:t>
            </w:r>
            <w:r w:rsidRPr="00784A05">
              <w:rPr>
                <w:i/>
              </w:rPr>
              <w:t>ource</w:t>
            </w:r>
            <w:r w:rsidRPr="00176D3F">
              <w:t xml:space="preserve">: </w:t>
            </w:r>
            <w:r>
              <w:t xml:space="preserve">ABS (2019, </w:t>
            </w:r>
            <w:r w:rsidRPr="002143D5">
              <w:rPr>
                <w:i/>
              </w:rPr>
              <w:t xml:space="preserve">Estimates of Industry Multifactor </w:t>
            </w:r>
            <w:r>
              <w:rPr>
                <w:i/>
              </w:rPr>
              <w:t>Productivity, 2018</w:t>
            </w:r>
            <w:r>
              <w:rPr>
                <w:i/>
              </w:rPr>
              <w:noBreakHyphen/>
              <w:t>19</w:t>
            </w:r>
            <w:r>
              <w:t>, Cat. no. </w:t>
            </w:r>
            <w:r w:rsidRPr="002143D5">
              <w:t>5260.0.55.002</w:t>
            </w:r>
            <w:r>
              <w:t>, tables 1–19).</w:t>
            </w:r>
          </w:p>
        </w:tc>
      </w:tr>
      <w:tr w:rsidR="002B2A31" w14:paraId="08875C2F" w14:textId="77777777" w:rsidTr="00CC0374">
        <w:tc>
          <w:tcPr>
            <w:tcW w:w="5000" w:type="pct"/>
            <w:tcBorders>
              <w:top w:val="nil"/>
              <w:left w:val="nil"/>
              <w:bottom w:val="single" w:sz="6" w:space="0" w:color="78A22F"/>
              <w:right w:val="nil"/>
            </w:tcBorders>
            <w:shd w:val="clear" w:color="auto" w:fill="auto"/>
          </w:tcPr>
          <w:p w14:paraId="2BAF8B7F" w14:textId="77777777" w:rsidR="002B2A31" w:rsidRDefault="002B2A31" w:rsidP="00CC0374">
            <w:pPr>
              <w:pStyle w:val="Figurespace"/>
            </w:pPr>
          </w:p>
        </w:tc>
      </w:tr>
      <w:tr w:rsidR="002B2A31" w:rsidRPr="000863A5" w14:paraId="25A3CA2A" w14:textId="77777777" w:rsidTr="00CC0374">
        <w:tc>
          <w:tcPr>
            <w:tcW w:w="5000" w:type="pct"/>
            <w:tcBorders>
              <w:top w:val="single" w:sz="6" w:space="0" w:color="78A22F"/>
              <w:left w:val="nil"/>
              <w:bottom w:val="nil"/>
              <w:right w:val="nil"/>
            </w:tcBorders>
          </w:tcPr>
          <w:p w14:paraId="4BE830C5" w14:textId="77777777" w:rsidR="002B2A31" w:rsidRPr="00626D32" w:rsidRDefault="002B2A31" w:rsidP="00CC0374">
            <w:pPr>
              <w:pStyle w:val="BoxSpaceBelow"/>
            </w:pPr>
          </w:p>
        </w:tc>
      </w:tr>
    </w:tbl>
    <w:p w14:paraId="178F6382" w14:textId="77777777" w:rsidR="002B2A31" w:rsidRDefault="002B2A31" w:rsidP="002B2A31">
      <w:pPr>
        <w:pStyle w:val="BodyText"/>
        <w:sectPr w:rsidR="002B2A31" w:rsidSect="006B0A4B">
          <w:headerReference w:type="even" r:id="rId30"/>
          <w:headerReference w:type="default" r:id="rId31"/>
          <w:footerReference w:type="even" r:id="rId32"/>
          <w:footerReference w:type="default" r:id="rId33"/>
          <w:pgSz w:w="16840" w:h="11907" w:orient="landscape" w:code="9"/>
          <w:pgMar w:top="1814" w:right="1985" w:bottom="1304" w:left="1247" w:header="1701" w:footer="397" w:gutter="0"/>
          <w:pgNumType w:chapSep="period"/>
          <w:cols w:space="720"/>
          <w:docGrid w:linePitch="326"/>
        </w:sectPr>
      </w:pPr>
    </w:p>
    <w:p w14:paraId="3E8AF1A6" w14:textId="6ED1BB8F" w:rsidR="003F777C" w:rsidRPr="003F777C" w:rsidRDefault="00A73986" w:rsidP="00BB70E4">
      <w:pPr>
        <w:pStyle w:val="Heading2"/>
        <w:spacing w:before="120"/>
      </w:pPr>
      <w:bookmarkStart w:id="16" w:name="_Toc31978956"/>
      <w:r>
        <w:rPr>
          <w:noProof/>
        </w:rPr>
        <w:lastRenderedPageBreak/>
        <w:t>2</w:t>
      </w:r>
      <w:r w:rsidR="003F777C">
        <w:tab/>
      </w:r>
      <w:r w:rsidR="002B2A31">
        <w:t>The productivity slowdown</w:t>
      </w:r>
      <w:bookmarkEnd w:id="16"/>
    </w:p>
    <w:p w14:paraId="78439A6F" w14:textId="4A0FC886" w:rsidR="002B2A31" w:rsidRDefault="002B2A31" w:rsidP="002B2A31">
      <w:pPr>
        <w:pStyle w:val="BodyText"/>
      </w:pPr>
      <w:r>
        <w:t>Australia’s recent weak productivity performance is part of a widespread slowdown since about 2005 seen across most of the developed world (figure 6).</w:t>
      </w:r>
      <w:r>
        <w:rPr>
          <w:rStyle w:val="FootnoteReference"/>
        </w:rPr>
        <w:footnoteReference w:id="6"/>
      </w:r>
      <w:r>
        <w:t xml:space="preserve"> That said, although Australia’s productivity growth has slowed, the slowdown has been less severe </w:t>
      </w:r>
      <w:r w:rsidR="001F15DD">
        <w:t>than in</w:t>
      </w:r>
      <w:r>
        <w:t xml:space="preserve"> many other nations. In Australia’s case, the slowdown in labour productivity is mainly due to slowing multifactor productivity growth (table </w:t>
      </w:r>
      <w:r w:rsidR="005170E2">
        <w:t>3</w:t>
      </w:r>
      <w:r>
        <w:t>).</w:t>
      </w:r>
    </w:p>
    <w:p w14:paraId="548896EC" w14:textId="0536D813" w:rsidR="002B2A31" w:rsidRDefault="002B2A31" w:rsidP="002B2A31">
      <w:pPr>
        <w:pStyle w:val="BodyText"/>
      </w:pPr>
      <w:r>
        <w:t xml:space="preserve">Although there are many </w:t>
      </w:r>
      <w:r w:rsidR="001F15DD">
        <w:t>theories</w:t>
      </w:r>
      <w:r>
        <w:t xml:space="preserve"> for why productivity growth has slowed, there is little consensus</w:t>
      </w:r>
      <w:r w:rsidR="00146ACD">
        <w:t xml:space="preserve"> in</w:t>
      </w:r>
      <w:r>
        <w:t xml:space="preserve"> the economics profession (box 3). </w:t>
      </w:r>
    </w:p>
    <w:p w14:paraId="1712CCA7" w14:textId="77777777" w:rsidR="002B2A31" w:rsidRDefault="002B2A31" w:rsidP="002B2A3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B2A31" w14:paraId="6B5F1DEC" w14:textId="77777777" w:rsidTr="00BB70E4">
        <w:tc>
          <w:tcPr>
            <w:tcW w:w="5000" w:type="pct"/>
            <w:tcBorders>
              <w:top w:val="single" w:sz="6" w:space="0" w:color="78A22F"/>
              <w:left w:val="nil"/>
              <w:bottom w:val="nil"/>
              <w:right w:val="nil"/>
            </w:tcBorders>
            <w:shd w:val="clear" w:color="auto" w:fill="auto"/>
          </w:tcPr>
          <w:p w14:paraId="4741F23E" w14:textId="1F1ED25D" w:rsidR="002B2A31" w:rsidRDefault="002B2A31" w:rsidP="00CC0374">
            <w:pPr>
              <w:pStyle w:val="TableTitle"/>
            </w:pPr>
            <w:r>
              <w:rPr>
                <w:b w:val="0"/>
              </w:rPr>
              <w:t xml:space="preserve">Table </w:t>
            </w:r>
            <w:r w:rsidR="005170E2">
              <w:rPr>
                <w:b w:val="0"/>
              </w:rPr>
              <w:t>3</w:t>
            </w:r>
            <w:r w:rsidR="00B02350">
              <w:tab/>
              <w:t>The productivity</w:t>
            </w:r>
            <w:r>
              <w:t xml:space="preserve"> decline is </w:t>
            </w:r>
            <w:r w:rsidR="00B02350">
              <w:t xml:space="preserve">mostly </w:t>
            </w:r>
            <w:r>
              <w:t>due to a slowdown in multifactor productivity</w:t>
            </w:r>
          </w:p>
          <w:p w14:paraId="47F70A9E" w14:textId="77777777" w:rsidR="002B2A31" w:rsidRPr="00784A05" w:rsidRDefault="002B2A31" w:rsidP="00CC0374">
            <w:pPr>
              <w:pStyle w:val="Subtitle"/>
            </w:pPr>
            <w:r>
              <w:t>Average growth rates and contributions</w:t>
            </w:r>
            <w:r>
              <w:rPr>
                <w:rStyle w:val="NoteLabel"/>
              </w:rPr>
              <w:t>a</w:t>
            </w:r>
            <w:r>
              <w:t xml:space="preserve"> of labour productivity, multifactor productivity and capital</w:t>
            </w:r>
            <w:r>
              <w:noBreakHyphen/>
              <w:t>deepening in the market sector</w:t>
            </w:r>
          </w:p>
        </w:tc>
      </w:tr>
      <w:tr w:rsidR="002B2A31" w14:paraId="7D7D111D" w14:textId="77777777" w:rsidTr="00BB70E4">
        <w:trPr>
          <w:trHeight w:val="1464"/>
        </w:trPr>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2B2A31" w14:paraId="7A2EC7CE" w14:textId="77777777" w:rsidTr="00BB70E4">
              <w:trPr>
                <w:tblHeader/>
              </w:trPr>
              <w:tc>
                <w:tcPr>
                  <w:tcW w:w="1251" w:type="pct"/>
                  <w:tcBorders>
                    <w:top w:val="single" w:sz="6" w:space="0" w:color="BFBFBF"/>
                    <w:bottom w:val="single" w:sz="6" w:space="0" w:color="BFBFBF"/>
                  </w:tcBorders>
                  <w:shd w:val="clear" w:color="auto" w:fill="auto"/>
                  <w:tcMar>
                    <w:top w:w="28" w:type="dxa"/>
                  </w:tcMar>
                </w:tcPr>
                <w:p w14:paraId="3B0BCE5C" w14:textId="77777777" w:rsidR="002B2A31" w:rsidRDefault="002B2A31" w:rsidP="00CC0374">
                  <w:pPr>
                    <w:pStyle w:val="TableColumnHeading"/>
                    <w:jc w:val="left"/>
                  </w:pPr>
                </w:p>
              </w:tc>
              <w:tc>
                <w:tcPr>
                  <w:tcW w:w="1250" w:type="pct"/>
                  <w:tcBorders>
                    <w:top w:val="single" w:sz="6" w:space="0" w:color="BFBFBF"/>
                    <w:bottom w:val="single" w:sz="6" w:space="0" w:color="BFBFBF"/>
                  </w:tcBorders>
                </w:tcPr>
                <w:p w14:paraId="4EF8815A" w14:textId="77777777" w:rsidR="002B2A31" w:rsidRDefault="002B2A31" w:rsidP="00CC0374">
                  <w:pPr>
                    <w:pStyle w:val="TableColumnHeading"/>
                  </w:pPr>
                  <w:r>
                    <w:t>1994</w:t>
                  </w:r>
                  <w:r>
                    <w:noBreakHyphen/>
                    <w:t>95 to 2004</w:t>
                  </w:r>
                  <w:r>
                    <w:noBreakHyphen/>
                    <w:t>05</w:t>
                  </w:r>
                </w:p>
              </w:tc>
              <w:tc>
                <w:tcPr>
                  <w:tcW w:w="1250" w:type="pct"/>
                  <w:tcBorders>
                    <w:top w:val="single" w:sz="6" w:space="0" w:color="BFBFBF"/>
                    <w:bottom w:val="single" w:sz="6" w:space="0" w:color="BFBFBF"/>
                  </w:tcBorders>
                  <w:shd w:val="clear" w:color="auto" w:fill="auto"/>
                  <w:tcMar>
                    <w:top w:w="28" w:type="dxa"/>
                  </w:tcMar>
                </w:tcPr>
                <w:p w14:paraId="2E87430C" w14:textId="77777777" w:rsidR="002B2A31" w:rsidRDefault="002B2A31" w:rsidP="00CC0374">
                  <w:pPr>
                    <w:pStyle w:val="TableColumnHeading"/>
                  </w:pPr>
                  <w:r>
                    <w:t>2004</w:t>
                  </w:r>
                  <w:r>
                    <w:noBreakHyphen/>
                    <w:t>05 to 2018</w:t>
                  </w:r>
                  <w:r>
                    <w:noBreakHyphen/>
                    <w:t>19</w:t>
                  </w:r>
                </w:p>
              </w:tc>
              <w:tc>
                <w:tcPr>
                  <w:tcW w:w="1249" w:type="pct"/>
                  <w:tcBorders>
                    <w:top w:val="single" w:sz="6" w:space="0" w:color="BFBFBF"/>
                    <w:bottom w:val="single" w:sz="6" w:space="0" w:color="BFBFBF"/>
                  </w:tcBorders>
                  <w:shd w:val="clear" w:color="auto" w:fill="auto"/>
                  <w:tcMar>
                    <w:top w:w="28" w:type="dxa"/>
                  </w:tcMar>
                </w:tcPr>
                <w:p w14:paraId="1623E5AC" w14:textId="77777777" w:rsidR="002B2A31" w:rsidRDefault="002B2A31" w:rsidP="00CC0374">
                  <w:pPr>
                    <w:pStyle w:val="TableColumnHeading"/>
                    <w:ind w:right="28"/>
                  </w:pPr>
                  <w:r>
                    <w:t>Difference</w:t>
                  </w:r>
                </w:p>
              </w:tc>
            </w:tr>
            <w:tr w:rsidR="002B2A31" w14:paraId="3CB11BB1" w14:textId="77777777" w:rsidTr="00BB70E4">
              <w:tc>
                <w:tcPr>
                  <w:tcW w:w="1251" w:type="pct"/>
                  <w:tcBorders>
                    <w:top w:val="single" w:sz="6" w:space="0" w:color="BFBFBF"/>
                  </w:tcBorders>
                </w:tcPr>
                <w:p w14:paraId="6FB41F3F" w14:textId="77777777" w:rsidR="002B2A31" w:rsidRDefault="002B2A31" w:rsidP="00CC0374">
                  <w:pPr>
                    <w:pStyle w:val="TableUnitsRow"/>
                    <w:jc w:val="left"/>
                  </w:pPr>
                </w:p>
              </w:tc>
              <w:tc>
                <w:tcPr>
                  <w:tcW w:w="1250" w:type="pct"/>
                  <w:tcBorders>
                    <w:top w:val="single" w:sz="6" w:space="0" w:color="BFBFBF"/>
                  </w:tcBorders>
                </w:tcPr>
                <w:p w14:paraId="6C1FA600" w14:textId="77777777" w:rsidR="002B2A31" w:rsidRDefault="002B2A31" w:rsidP="00CC0374">
                  <w:pPr>
                    <w:pStyle w:val="TableUnitsRow"/>
                  </w:pPr>
                  <w:r>
                    <w:t>%</w:t>
                  </w:r>
                </w:p>
              </w:tc>
              <w:tc>
                <w:tcPr>
                  <w:tcW w:w="1250" w:type="pct"/>
                  <w:tcBorders>
                    <w:top w:val="single" w:sz="6" w:space="0" w:color="BFBFBF"/>
                  </w:tcBorders>
                </w:tcPr>
                <w:p w14:paraId="1530406B" w14:textId="77777777" w:rsidR="002B2A31" w:rsidRDefault="002B2A31" w:rsidP="00CC0374">
                  <w:pPr>
                    <w:pStyle w:val="TableUnitsRow"/>
                  </w:pPr>
                  <w:r>
                    <w:t>%</w:t>
                  </w:r>
                </w:p>
              </w:tc>
              <w:tc>
                <w:tcPr>
                  <w:tcW w:w="1249" w:type="pct"/>
                  <w:tcBorders>
                    <w:top w:val="single" w:sz="6" w:space="0" w:color="BFBFBF"/>
                  </w:tcBorders>
                </w:tcPr>
                <w:p w14:paraId="77240A6E" w14:textId="77777777" w:rsidR="002B2A31" w:rsidRDefault="002B2A31" w:rsidP="00CC0374">
                  <w:pPr>
                    <w:pStyle w:val="TableUnitsRow"/>
                    <w:ind w:right="28"/>
                  </w:pPr>
                  <w:r>
                    <w:t>%</w:t>
                  </w:r>
                </w:p>
              </w:tc>
            </w:tr>
            <w:tr w:rsidR="002B2A31" w14:paraId="5EA79C7E" w14:textId="77777777" w:rsidTr="00BB70E4">
              <w:tc>
                <w:tcPr>
                  <w:tcW w:w="1251" w:type="pct"/>
                </w:tcPr>
                <w:p w14:paraId="71802758" w14:textId="0A418ECC" w:rsidR="002B2A31" w:rsidRDefault="002B2A31" w:rsidP="00B02350">
                  <w:pPr>
                    <w:pStyle w:val="TableBodyText"/>
                    <w:jc w:val="left"/>
                  </w:pPr>
                  <w:r>
                    <w:t xml:space="preserve">Labour </w:t>
                  </w:r>
                  <w:r w:rsidR="00B02350">
                    <w:t>p</w:t>
                  </w:r>
                  <w:r>
                    <w:t>roductivity</w:t>
                  </w:r>
                </w:p>
              </w:tc>
              <w:tc>
                <w:tcPr>
                  <w:tcW w:w="1250" w:type="pct"/>
                  <w:tcBorders>
                    <w:top w:val="nil"/>
                    <w:left w:val="nil"/>
                    <w:bottom w:val="nil"/>
                    <w:right w:val="nil"/>
                  </w:tcBorders>
                  <w:shd w:val="clear" w:color="auto" w:fill="auto"/>
                </w:tcPr>
                <w:p w14:paraId="5C725733" w14:textId="77777777" w:rsidR="002B2A31" w:rsidRPr="00BE4D73" w:rsidRDefault="002B2A31" w:rsidP="00BE4D73">
                  <w:pPr>
                    <w:pStyle w:val="TableBodyText"/>
                  </w:pPr>
                  <w:r w:rsidRPr="00BE4D73">
                    <w:t>2.7</w:t>
                  </w:r>
                </w:p>
              </w:tc>
              <w:tc>
                <w:tcPr>
                  <w:tcW w:w="1250" w:type="pct"/>
                  <w:tcBorders>
                    <w:top w:val="nil"/>
                    <w:left w:val="nil"/>
                    <w:bottom w:val="nil"/>
                    <w:right w:val="nil"/>
                  </w:tcBorders>
                  <w:shd w:val="clear" w:color="auto" w:fill="auto"/>
                </w:tcPr>
                <w:p w14:paraId="29881FA9" w14:textId="77777777" w:rsidR="002B2A31" w:rsidRPr="00BE4D73" w:rsidRDefault="002B2A31" w:rsidP="00BE4D73">
                  <w:pPr>
                    <w:pStyle w:val="TableBodyText"/>
                  </w:pPr>
                  <w:r w:rsidRPr="00BE4D73">
                    <w:t>1.6</w:t>
                  </w:r>
                </w:p>
              </w:tc>
              <w:tc>
                <w:tcPr>
                  <w:tcW w:w="1249" w:type="pct"/>
                  <w:tcBorders>
                    <w:top w:val="nil"/>
                    <w:left w:val="nil"/>
                    <w:bottom w:val="nil"/>
                    <w:right w:val="nil"/>
                  </w:tcBorders>
                  <w:shd w:val="clear" w:color="auto" w:fill="auto"/>
                </w:tcPr>
                <w:p w14:paraId="663371F4" w14:textId="77777777" w:rsidR="002B2A31" w:rsidRPr="00874CC6" w:rsidRDefault="002B2A31" w:rsidP="00CC0374">
                  <w:pPr>
                    <w:jc w:val="right"/>
                    <w:rPr>
                      <w:rFonts w:asciiTheme="minorHAnsi" w:hAnsiTheme="minorHAnsi" w:cstheme="minorHAnsi"/>
                      <w:color w:val="000000"/>
                      <w:sz w:val="18"/>
                      <w:szCs w:val="18"/>
                    </w:rPr>
                  </w:pPr>
                  <w:r w:rsidRPr="002E6E46">
                    <w:rPr>
                      <w:rFonts w:asciiTheme="minorHAnsi" w:hAnsiTheme="minorHAnsi" w:cstheme="minorHAnsi"/>
                      <w:color w:val="000000"/>
                      <w:sz w:val="18"/>
                      <w:szCs w:val="18"/>
                    </w:rPr>
                    <w:t>-1.2</w:t>
                  </w:r>
                </w:p>
              </w:tc>
            </w:tr>
            <w:tr w:rsidR="002B2A31" w14:paraId="201301A9" w14:textId="77777777" w:rsidTr="0087142C">
              <w:tc>
                <w:tcPr>
                  <w:tcW w:w="1251" w:type="pct"/>
                </w:tcPr>
                <w:p w14:paraId="5F2B7B78" w14:textId="2576AB67" w:rsidR="002B2A31" w:rsidRDefault="002B2A31" w:rsidP="00B02350">
                  <w:pPr>
                    <w:pStyle w:val="TableBodyText"/>
                    <w:jc w:val="left"/>
                  </w:pPr>
                  <w:r>
                    <w:t xml:space="preserve">Multifactor </w:t>
                  </w:r>
                  <w:r w:rsidR="00B02350">
                    <w:t>p</w:t>
                  </w:r>
                  <w:r>
                    <w:t>roductivity</w:t>
                  </w:r>
                </w:p>
              </w:tc>
              <w:tc>
                <w:tcPr>
                  <w:tcW w:w="1250" w:type="pct"/>
                  <w:tcBorders>
                    <w:top w:val="nil"/>
                    <w:left w:val="nil"/>
                    <w:right w:val="nil"/>
                  </w:tcBorders>
                  <w:shd w:val="clear" w:color="auto" w:fill="auto"/>
                </w:tcPr>
                <w:p w14:paraId="222C8170" w14:textId="77777777" w:rsidR="002B2A31" w:rsidRPr="00874CC6" w:rsidRDefault="002B2A31" w:rsidP="00BE4D73">
                  <w:pPr>
                    <w:pStyle w:val="TableBodyText"/>
                  </w:pPr>
                  <w:r w:rsidRPr="002E6E46">
                    <w:t>1.4</w:t>
                  </w:r>
                </w:p>
              </w:tc>
              <w:tc>
                <w:tcPr>
                  <w:tcW w:w="1250" w:type="pct"/>
                  <w:tcBorders>
                    <w:top w:val="nil"/>
                    <w:left w:val="nil"/>
                    <w:right w:val="nil"/>
                  </w:tcBorders>
                  <w:shd w:val="clear" w:color="auto" w:fill="auto"/>
                </w:tcPr>
                <w:p w14:paraId="206E6D2C" w14:textId="77777777" w:rsidR="002B2A31" w:rsidRPr="00BE4D73" w:rsidRDefault="002B2A31" w:rsidP="000B5318">
                  <w:pPr>
                    <w:pStyle w:val="TableBodyText"/>
                  </w:pPr>
                  <w:r w:rsidRPr="00BE4D73">
                    <w:t>0.4</w:t>
                  </w:r>
                </w:p>
              </w:tc>
              <w:tc>
                <w:tcPr>
                  <w:tcW w:w="1249" w:type="pct"/>
                  <w:tcBorders>
                    <w:top w:val="nil"/>
                    <w:left w:val="nil"/>
                    <w:right w:val="nil"/>
                  </w:tcBorders>
                  <w:shd w:val="clear" w:color="auto" w:fill="auto"/>
                </w:tcPr>
                <w:p w14:paraId="475EEF66" w14:textId="77777777" w:rsidR="002B2A31" w:rsidRPr="00874CC6" w:rsidRDefault="002B2A31" w:rsidP="00CC0374">
                  <w:pPr>
                    <w:jc w:val="right"/>
                    <w:rPr>
                      <w:rFonts w:asciiTheme="minorHAnsi" w:hAnsiTheme="minorHAnsi" w:cstheme="minorHAnsi"/>
                      <w:color w:val="000000"/>
                      <w:sz w:val="18"/>
                      <w:szCs w:val="18"/>
                    </w:rPr>
                  </w:pPr>
                  <w:r w:rsidRPr="002E6E46">
                    <w:rPr>
                      <w:rFonts w:asciiTheme="minorHAnsi" w:hAnsiTheme="minorHAnsi" w:cstheme="minorHAnsi"/>
                      <w:color w:val="000000"/>
                      <w:sz w:val="18"/>
                      <w:szCs w:val="18"/>
                    </w:rPr>
                    <w:t>-1.1</w:t>
                  </w:r>
                </w:p>
              </w:tc>
            </w:tr>
            <w:tr w:rsidR="002B2A31" w14:paraId="28DACE52" w14:textId="77777777" w:rsidTr="0087142C">
              <w:tc>
                <w:tcPr>
                  <w:tcW w:w="1251" w:type="pct"/>
                  <w:tcBorders>
                    <w:bottom w:val="single" w:sz="6" w:space="0" w:color="BFBFBF"/>
                  </w:tcBorders>
                  <w:shd w:val="clear" w:color="auto" w:fill="auto"/>
                </w:tcPr>
                <w:p w14:paraId="14336F90" w14:textId="77777777" w:rsidR="002B2A31" w:rsidRDefault="002B2A31" w:rsidP="00CC0374">
                  <w:pPr>
                    <w:pStyle w:val="TableBodyText"/>
                    <w:jc w:val="left"/>
                  </w:pPr>
                  <w:r>
                    <w:t>Contribution from capital</w:t>
                  </w:r>
                  <w:r>
                    <w:noBreakHyphen/>
                    <w:t>deepening</w:t>
                  </w:r>
                </w:p>
              </w:tc>
              <w:tc>
                <w:tcPr>
                  <w:tcW w:w="1250" w:type="pct"/>
                  <w:tcBorders>
                    <w:top w:val="nil"/>
                    <w:left w:val="nil"/>
                    <w:bottom w:val="single" w:sz="4" w:space="0" w:color="BFBFBF"/>
                    <w:right w:val="nil"/>
                  </w:tcBorders>
                  <w:shd w:val="clear" w:color="auto" w:fill="auto"/>
                </w:tcPr>
                <w:p w14:paraId="144B9F83" w14:textId="77777777" w:rsidR="002B2A31" w:rsidRPr="00BE4D73" w:rsidRDefault="002B2A31" w:rsidP="00BE4D73">
                  <w:pPr>
                    <w:pStyle w:val="TableBodyText"/>
                  </w:pPr>
                  <w:r w:rsidRPr="00BE4D73">
                    <w:t>1.3</w:t>
                  </w:r>
                </w:p>
              </w:tc>
              <w:tc>
                <w:tcPr>
                  <w:tcW w:w="1250" w:type="pct"/>
                  <w:tcBorders>
                    <w:top w:val="nil"/>
                    <w:left w:val="nil"/>
                    <w:bottom w:val="single" w:sz="4" w:space="0" w:color="BFBFBF"/>
                    <w:right w:val="nil"/>
                  </w:tcBorders>
                  <w:shd w:val="clear" w:color="auto" w:fill="auto"/>
                </w:tcPr>
                <w:p w14:paraId="343320E8" w14:textId="77777777" w:rsidR="002B2A31" w:rsidRPr="00BE4D73" w:rsidRDefault="002B2A31" w:rsidP="00BE4D73">
                  <w:pPr>
                    <w:pStyle w:val="TableBodyText"/>
                  </w:pPr>
                  <w:r w:rsidRPr="00BE4D73">
                    <w:t>1.2</w:t>
                  </w:r>
                </w:p>
              </w:tc>
              <w:tc>
                <w:tcPr>
                  <w:tcW w:w="1249" w:type="pct"/>
                  <w:tcBorders>
                    <w:top w:val="nil"/>
                    <w:left w:val="nil"/>
                    <w:bottom w:val="single" w:sz="4" w:space="0" w:color="BFBFBF"/>
                    <w:right w:val="nil"/>
                  </w:tcBorders>
                  <w:shd w:val="clear" w:color="auto" w:fill="auto"/>
                </w:tcPr>
                <w:p w14:paraId="28824697" w14:textId="77777777" w:rsidR="002B2A31" w:rsidRPr="00874CC6" w:rsidRDefault="002B2A31" w:rsidP="00CC0374">
                  <w:pPr>
                    <w:jc w:val="right"/>
                    <w:rPr>
                      <w:rFonts w:asciiTheme="minorHAnsi" w:hAnsiTheme="minorHAnsi" w:cstheme="minorHAnsi"/>
                      <w:color w:val="000000"/>
                      <w:sz w:val="18"/>
                      <w:szCs w:val="18"/>
                    </w:rPr>
                  </w:pPr>
                  <w:r w:rsidRPr="0096073A">
                    <w:rPr>
                      <w:rFonts w:asciiTheme="minorHAnsi" w:hAnsiTheme="minorHAnsi" w:cstheme="minorHAnsi"/>
                      <w:color w:val="000000"/>
                      <w:sz w:val="18"/>
                      <w:szCs w:val="18"/>
                    </w:rPr>
                    <w:t>-0.1</w:t>
                  </w:r>
                </w:p>
              </w:tc>
            </w:tr>
          </w:tbl>
          <w:p w14:paraId="6D29F3DB" w14:textId="77777777" w:rsidR="002B2A31" w:rsidRDefault="002B2A31" w:rsidP="00CC0374">
            <w:pPr>
              <w:pStyle w:val="Box"/>
            </w:pPr>
          </w:p>
        </w:tc>
      </w:tr>
      <w:tr w:rsidR="002B2A31" w14:paraId="10C6A415" w14:textId="77777777" w:rsidTr="00BB70E4">
        <w:tc>
          <w:tcPr>
            <w:tcW w:w="5000" w:type="pct"/>
            <w:tcBorders>
              <w:top w:val="nil"/>
              <w:left w:val="nil"/>
              <w:bottom w:val="nil"/>
              <w:right w:val="nil"/>
            </w:tcBorders>
            <w:shd w:val="clear" w:color="auto" w:fill="auto"/>
          </w:tcPr>
          <w:p w14:paraId="42068FC7" w14:textId="77777777" w:rsidR="002B2A31" w:rsidRDefault="002B2A31" w:rsidP="00CC0374">
            <w:pPr>
              <w:pStyle w:val="Note"/>
              <w:rPr>
                <w:i/>
              </w:rPr>
            </w:pPr>
            <w:r w:rsidRPr="008E77FE">
              <w:rPr>
                <w:rStyle w:val="NoteLabel"/>
              </w:rPr>
              <w:t>a</w:t>
            </w:r>
            <w:r>
              <w:t xml:space="preserve"> The contribution from capital</w:t>
            </w:r>
            <w:r>
              <w:noBreakHyphen/>
              <w:t>deepening was calculated as the difference between labour productivity and multifactor productivity growth. This approach makes the numbers align as closely as possible with headline ABS figures on productivity growth (though the contribution numbers may be different).</w:t>
            </w:r>
          </w:p>
        </w:tc>
      </w:tr>
      <w:tr w:rsidR="002B2A31" w14:paraId="77C8E55A" w14:textId="77777777" w:rsidTr="00BB70E4">
        <w:tc>
          <w:tcPr>
            <w:tcW w:w="5000" w:type="pct"/>
            <w:tcBorders>
              <w:top w:val="nil"/>
              <w:left w:val="nil"/>
              <w:bottom w:val="nil"/>
              <w:right w:val="nil"/>
            </w:tcBorders>
            <w:shd w:val="clear" w:color="auto" w:fill="auto"/>
          </w:tcPr>
          <w:p w14:paraId="2F91647D" w14:textId="77777777" w:rsidR="002B2A31" w:rsidRDefault="002B2A31" w:rsidP="00CC0374">
            <w:pPr>
              <w:pStyle w:val="Source"/>
            </w:pPr>
            <w:r>
              <w:rPr>
                <w:i/>
              </w:rPr>
              <w:t>Source</w:t>
            </w:r>
            <w:r w:rsidRPr="00167F06">
              <w:t xml:space="preserve">: </w:t>
            </w:r>
            <w:r>
              <w:t xml:space="preserve">ABS (2019, </w:t>
            </w:r>
            <w:r>
              <w:rPr>
                <w:i/>
              </w:rPr>
              <w:t>Australian System of National Accounts, 2018</w:t>
            </w:r>
            <w:r>
              <w:rPr>
                <w:i/>
              </w:rPr>
              <w:noBreakHyphen/>
              <w:t>19</w:t>
            </w:r>
            <w:r>
              <w:t>, Cat. no. 5204.0, table 13).</w:t>
            </w:r>
          </w:p>
        </w:tc>
      </w:tr>
      <w:tr w:rsidR="002B2A31" w14:paraId="173A6DF6" w14:textId="77777777" w:rsidTr="00BB70E4">
        <w:tc>
          <w:tcPr>
            <w:tcW w:w="5000" w:type="pct"/>
            <w:tcBorders>
              <w:top w:val="nil"/>
              <w:left w:val="nil"/>
              <w:bottom w:val="single" w:sz="6" w:space="0" w:color="78A22F"/>
              <w:right w:val="nil"/>
            </w:tcBorders>
            <w:shd w:val="clear" w:color="auto" w:fill="auto"/>
          </w:tcPr>
          <w:p w14:paraId="711394A5" w14:textId="77777777" w:rsidR="002B2A31" w:rsidRDefault="002B2A31" w:rsidP="00CC0374">
            <w:pPr>
              <w:pStyle w:val="Box"/>
              <w:spacing w:before="0" w:line="120" w:lineRule="exact"/>
            </w:pPr>
          </w:p>
        </w:tc>
      </w:tr>
      <w:tr w:rsidR="002B2A31" w:rsidRPr="000863A5" w14:paraId="0D17706A" w14:textId="77777777" w:rsidTr="00BB70E4">
        <w:tc>
          <w:tcPr>
            <w:tcW w:w="5000" w:type="pct"/>
            <w:tcBorders>
              <w:top w:val="single" w:sz="6" w:space="0" w:color="78A22F"/>
              <w:left w:val="nil"/>
              <w:bottom w:val="nil"/>
              <w:right w:val="nil"/>
            </w:tcBorders>
          </w:tcPr>
          <w:p w14:paraId="37993F20" w14:textId="77777777" w:rsidR="002B2A31" w:rsidRPr="00626D32" w:rsidRDefault="002B2A31" w:rsidP="00CC0374">
            <w:pPr>
              <w:pStyle w:val="BoxSpaceBelow"/>
            </w:pPr>
          </w:p>
        </w:tc>
      </w:tr>
    </w:tbl>
    <w:p w14:paraId="5740586A" w14:textId="77777777" w:rsidR="002B2A31" w:rsidRDefault="002B2A31" w:rsidP="002B2A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6B248B66" w14:textId="77777777" w:rsidTr="00CC0374">
        <w:trPr>
          <w:tblHeader/>
        </w:trPr>
        <w:tc>
          <w:tcPr>
            <w:tcW w:w="5000" w:type="pct"/>
            <w:tcBorders>
              <w:top w:val="single" w:sz="6" w:space="0" w:color="78A22F"/>
              <w:left w:val="nil"/>
              <w:bottom w:val="nil"/>
              <w:right w:val="nil"/>
            </w:tcBorders>
            <w:shd w:val="clear" w:color="auto" w:fill="auto"/>
          </w:tcPr>
          <w:p w14:paraId="5A8CC667" w14:textId="717A8B24" w:rsidR="002B2A31" w:rsidRDefault="002B2A31" w:rsidP="00CC0374">
            <w:pPr>
              <w:pStyle w:val="FigureTitle"/>
            </w:pPr>
            <w:r w:rsidRPr="00784A05">
              <w:rPr>
                <w:b w:val="0"/>
              </w:rPr>
              <w:t xml:space="preserve">Figure </w:t>
            </w:r>
            <w:r w:rsidR="00A73986">
              <w:rPr>
                <w:b w:val="0"/>
                <w:noProof/>
              </w:rPr>
              <w:t>6</w:t>
            </w:r>
            <w:r>
              <w:tab/>
              <w:t>The productivity slowdown was less severe in Australia</w:t>
            </w:r>
          </w:p>
          <w:p w14:paraId="65A44CD6" w14:textId="77777777" w:rsidR="002B2A31" w:rsidRPr="00176D3F" w:rsidRDefault="002B2A31" w:rsidP="00CC0374">
            <w:pPr>
              <w:pStyle w:val="Subtitle"/>
            </w:pPr>
            <w:r>
              <w:t>Labour productivity growth in OECD countries</w:t>
            </w:r>
            <w:r w:rsidRPr="0082149D">
              <w:rPr>
                <w:rStyle w:val="NoteLabel"/>
              </w:rPr>
              <w:t>a</w:t>
            </w:r>
            <w:r>
              <w:t xml:space="preserve"> (top panel) and the fall in annual productivity growth after 2005 (bottom panel)</w:t>
            </w:r>
          </w:p>
        </w:tc>
      </w:tr>
      <w:tr w:rsidR="002B2A31" w14:paraId="7A4C2F22" w14:textId="77777777" w:rsidTr="00CC0374">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2B2A31" w:rsidRPr="00B1465D" w14:paraId="76CE1A5C" w14:textId="77777777" w:rsidTr="00CC0374">
              <w:trPr>
                <w:trHeight w:val="150"/>
                <w:tblHeader/>
                <w:jc w:val="center"/>
              </w:trPr>
              <w:tc>
                <w:tcPr>
                  <w:tcW w:w="5000" w:type="pct"/>
                  <w:tcBorders>
                    <w:top w:val="nil"/>
                    <w:bottom w:val="nil"/>
                  </w:tcBorders>
                </w:tcPr>
                <w:p w14:paraId="7404CA34" w14:textId="034BAA85" w:rsidR="002B2A31" w:rsidRPr="00B1465D" w:rsidRDefault="005310C7" w:rsidP="003A095E">
                  <w:pPr>
                    <w:pStyle w:val="Figure"/>
                    <w:spacing w:before="60" w:after="0"/>
                    <w:rPr>
                      <w:rFonts w:ascii="Arial" w:hAnsi="Arial" w:cs="Arial"/>
                      <w:sz w:val="18"/>
                      <w:szCs w:val="18"/>
                    </w:rPr>
                  </w:pPr>
                  <w:r w:rsidRPr="005310C7">
                    <w:rPr>
                      <w:rFonts w:ascii="Arial" w:hAnsi="Arial" w:cs="Arial"/>
                      <w:noProof/>
                      <w:sz w:val="18"/>
                      <w:szCs w:val="18"/>
                    </w:rPr>
                    <w:drawing>
                      <wp:inline distT="0" distB="0" distL="0" distR="0" wp14:anchorId="4C9E832D" wp14:editId="781B3B8C">
                        <wp:extent cx="5445125" cy="5484495"/>
                        <wp:effectExtent l="0" t="0" r="0" b="0"/>
                        <wp:docPr id="16" name="Picture 16" descr="This chart shows the labour productivity growth from 1990 to 2005 and from 2005 to 2018 in the 24 original OECD member states. Generally all countries had a significant slowdown in prouductivity in the second period, though Australia had a less severe slowd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45125" cy="5484495"/>
                                </a:xfrm>
                                <a:prstGeom prst="rect">
                                  <a:avLst/>
                                </a:prstGeom>
                                <a:noFill/>
                                <a:ln>
                                  <a:noFill/>
                                </a:ln>
                              </pic:spPr>
                            </pic:pic>
                          </a:graphicData>
                        </a:graphic>
                      </wp:inline>
                    </w:drawing>
                  </w:r>
                </w:p>
              </w:tc>
            </w:tr>
          </w:tbl>
          <w:p w14:paraId="3BF9D424" w14:textId="77777777" w:rsidR="002B2A31" w:rsidRDefault="002B2A31" w:rsidP="00CC0374">
            <w:pPr>
              <w:pStyle w:val="Figure"/>
            </w:pPr>
          </w:p>
        </w:tc>
      </w:tr>
      <w:tr w:rsidR="002B2A31" w:rsidRPr="00176D3F" w14:paraId="74D46366" w14:textId="77777777" w:rsidTr="00CC0374">
        <w:tc>
          <w:tcPr>
            <w:tcW w:w="5000" w:type="pct"/>
            <w:tcBorders>
              <w:top w:val="nil"/>
              <w:left w:val="nil"/>
              <w:bottom w:val="nil"/>
              <w:right w:val="nil"/>
            </w:tcBorders>
            <w:shd w:val="clear" w:color="auto" w:fill="auto"/>
          </w:tcPr>
          <w:p w14:paraId="57B9252F" w14:textId="71E7CDDB" w:rsidR="002B2A31" w:rsidRPr="00176D3F" w:rsidRDefault="002B2A31" w:rsidP="00011EC8">
            <w:pPr>
              <w:pStyle w:val="Note"/>
            </w:pPr>
            <w:r>
              <w:rPr>
                <w:rStyle w:val="NoteLabel"/>
              </w:rPr>
              <w:t>a</w:t>
            </w:r>
            <w:r>
              <w:t xml:space="preserve"> Includes only the 24 longest standing OECD countries, except for Turkey and Austria </w:t>
            </w:r>
            <w:r w:rsidR="00011EC8">
              <w:t>due to</w:t>
            </w:r>
            <w:r>
              <w:t xml:space="preserve"> data </w:t>
            </w:r>
            <w:r w:rsidR="00011EC8">
              <w:t>availability</w:t>
            </w:r>
            <w:r>
              <w:t xml:space="preserve">. FIN = Finland, NOR = Norway, SWE = Sweden, ISL = Israel, JPN = Japan, USA = United States of America, DEU = Germany, AUS = Australia, BEL = Belgium, DNK = Denmark, GRC = Greece, </w:t>
            </w:r>
            <w:r w:rsidR="00505E15">
              <w:t>F</w:t>
            </w:r>
            <w:r>
              <w:t xml:space="preserve">RA = France, PRT = Portugal, CAN = Canada, LUX = Luxembourg, NLD = The Netherlands, NZL = New Zealand, CHE = Chile, ITA = Italy, ESP = Spain. </w:t>
            </w:r>
          </w:p>
        </w:tc>
      </w:tr>
      <w:tr w:rsidR="002B2A31" w:rsidRPr="00176D3F" w14:paraId="09123813" w14:textId="77777777" w:rsidTr="00CC0374">
        <w:tc>
          <w:tcPr>
            <w:tcW w:w="5000" w:type="pct"/>
            <w:tcBorders>
              <w:top w:val="nil"/>
              <w:left w:val="nil"/>
              <w:bottom w:val="nil"/>
              <w:right w:val="nil"/>
            </w:tcBorders>
            <w:shd w:val="clear" w:color="auto" w:fill="auto"/>
          </w:tcPr>
          <w:p w14:paraId="12F62C67" w14:textId="77777777" w:rsidR="002B2A31" w:rsidRPr="00176D3F" w:rsidRDefault="002B2A31" w:rsidP="00CC0374">
            <w:pPr>
              <w:pStyle w:val="Source"/>
            </w:pPr>
            <w:r>
              <w:rPr>
                <w:i/>
              </w:rPr>
              <w:t>S</w:t>
            </w:r>
            <w:r w:rsidRPr="00784A05">
              <w:rPr>
                <w:i/>
              </w:rPr>
              <w:t>ource</w:t>
            </w:r>
            <w:r w:rsidRPr="00176D3F">
              <w:t xml:space="preserve">: </w:t>
            </w:r>
            <w:r>
              <w:t>Commission estimates based on OECD Stat database.</w:t>
            </w:r>
          </w:p>
        </w:tc>
      </w:tr>
      <w:tr w:rsidR="002B2A31" w14:paraId="1823DAF1" w14:textId="77777777" w:rsidTr="00CC0374">
        <w:tc>
          <w:tcPr>
            <w:tcW w:w="5000" w:type="pct"/>
            <w:tcBorders>
              <w:top w:val="nil"/>
              <w:left w:val="nil"/>
              <w:bottom w:val="single" w:sz="6" w:space="0" w:color="78A22F"/>
              <w:right w:val="nil"/>
            </w:tcBorders>
            <w:shd w:val="clear" w:color="auto" w:fill="auto"/>
          </w:tcPr>
          <w:p w14:paraId="1AFDDD6A" w14:textId="77777777" w:rsidR="002B2A31" w:rsidRDefault="002B2A31" w:rsidP="00CC0374">
            <w:pPr>
              <w:pStyle w:val="Figurespace"/>
            </w:pPr>
          </w:p>
        </w:tc>
      </w:tr>
      <w:tr w:rsidR="002B2A31" w:rsidRPr="000863A5" w14:paraId="4CC856A3" w14:textId="77777777" w:rsidTr="00CC0374">
        <w:tc>
          <w:tcPr>
            <w:tcW w:w="5000" w:type="pct"/>
            <w:tcBorders>
              <w:top w:val="single" w:sz="6" w:space="0" w:color="78A22F"/>
              <w:left w:val="nil"/>
              <w:bottom w:val="nil"/>
              <w:right w:val="nil"/>
            </w:tcBorders>
          </w:tcPr>
          <w:p w14:paraId="32930234" w14:textId="77777777" w:rsidR="002B2A31" w:rsidRPr="00626D32" w:rsidRDefault="002B2A31" w:rsidP="00CC0374">
            <w:pPr>
              <w:pStyle w:val="BoxSpaceBelow"/>
            </w:pPr>
          </w:p>
        </w:tc>
      </w:tr>
    </w:tbl>
    <w:p w14:paraId="3CB08B93" w14:textId="77777777" w:rsidR="002B2A31" w:rsidRDefault="002B2A31" w:rsidP="002B2A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5408575A" w14:textId="77777777" w:rsidTr="00CC0374">
        <w:trPr>
          <w:tblHeader/>
        </w:trPr>
        <w:tc>
          <w:tcPr>
            <w:tcW w:w="5000" w:type="pct"/>
            <w:tcBorders>
              <w:top w:val="single" w:sz="6" w:space="0" w:color="78A22F"/>
              <w:left w:val="nil"/>
              <w:bottom w:val="nil"/>
              <w:right w:val="nil"/>
            </w:tcBorders>
            <w:shd w:val="clear" w:color="auto" w:fill="F2F2F2"/>
          </w:tcPr>
          <w:p w14:paraId="5BE75081" w14:textId="3718388E" w:rsidR="002B2A31" w:rsidRDefault="002B2A31" w:rsidP="00CC0374">
            <w:pPr>
              <w:pStyle w:val="BoxTitle"/>
            </w:pPr>
            <w:r>
              <w:rPr>
                <w:b w:val="0"/>
              </w:rPr>
              <w:t xml:space="preserve">Box </w:t>
            </w:r>
            <w:r w:rsidR="00A73986">
              <w:rPr>
                <w:b w:val="0"/>
                <w:noProof/>
              </w:rPr>
              <w:t>3</w:t>
            </w:r>
            <w:r>
              <w:tab/>
              <w:t>Explanations for the global productivity slowdown</w:t>
            </w:r>
          </w:p>
        </w:tc>
      </w:tr>
      <w:tr w:rsidR="002B2A31" w14:paraId="2ABA3E7C" w14:textId="77777777" w:rsidTr="00CC0374">
        <w:tc>
          <w:tcPr>
            <w:tcW w:w="5000" w:type="pct"/>
            <w:tcBorders>
              <w:top w:val="nil"/>
              <w:left w:val="nil"/>
              <w:bottom w:val="nil"/>
              <w:right w:val="nil"/>
            </w:tcBorders>
            <w:shd w:val="clear" w:color="auto" w:fill="F2F2F2"/>
          </w:tcPr>
          <w:p w14:paraId="5F0C0683" w14:textId="55DFDD50" w:rsidR="002B2A31" w:rsidRDefault="002B2A31" w:rsidP="00CC0374">
            <w:pPr>
              <w:pStyle w:val="Box"/>
            </w:pPr>
            <w:r>
              <w:t>In</w:t>
            </w:r>
            <w:r w:rsidR="003449B5">
              <w:t xml:space="preserve"> a</w:t>
            </w:r>
            <w:r>
              <w:t xml:space="preserve"> supporting paper of </w:t>
            </w:r>
            <w:r w:rsidRPr="00B97D44">
              <w:rPr>
                <w:i/>
              </w:rPr>
              <w:t>Shifting the Dial: 5 year productivity review</w:t>
            </w:r>
            <w:r>
              <w:t>, the Commission outlined numerous potential explanations for the global fall in productivity growth:</w:t>
            </w:r>
          </w:p>
          <w:p w14:paraId="6B62C23A" w14:textId="5C7AA7B7" w:rsidR="002B2A31" w:rsidRDefault="002B2A31" w:rsidP="00CC0374">
            <w:pPr>
              <w:pStyle w:val="BoxListBullet"/>
            </w:pPr>
            <w:r>
              <w:rPr>
                <w:i/>
              </w:rPr>
              <w:t>Measurement issues</w:t>
            </w:r>
            <w:r>
              <w:t xml:space="preserve"> — </w:t>
            </w:r>
            <w:r w:rsidR="004B036A">
              <w:t>m</w:t>
            </w:r>
            <w:r>
              <w:t xml:space="preserve">any </w:t>
            </w:r>
            <w:r w:rsidR="002D2276">
              <w:t>information technology</w:t>
            </w:r>
            <w:r>
              <w:t xml:space="preserve"> services have value over and above what is captured in their prices, and have had quality improvements that are also not captured in their prices </w:t>
            </w:r>
            <w:r w:rsidRPr="00D017ED">
              <w:rPr>
                <w:rFonts w:cs="Arial"/>
                <w:szCs w:val="24"/>
              </w:rPr>
              <w:t>(Productivity Commission 2017, pp. 29–30)</w:t>
            </w:r>
            <w:r>
              <w:t>. However, it is unclear whether these are issues would explain the patterns of the slowdown</w:t>
            </w:r>
            <w:r w:rsidR="00596AB2">
              <w:t>,</w:t>
            </w:r>
            <w:r>
              <w:t xml:space="preserve"> as productivity growth has slowed across a number of industries, not just information technology. </w:t>
            </w:r>
          </w:p>
          <w:p w14:paraId="46C227D3" w14:textId="28CCE196" w:rsidR="002B2A31" w:rsidRDefault="002B2A31" w:rsidP="00CC0374">
            <w:pPr>
              <w:pStyle w:val="BoxListBullet"/>
            </w:pPr>
            <w:r>
              <w:rPr>
                <w:i/>
              </w:rPr>
              <w:t xml:space="preserve">Slower diffusion of technology </w:t>
            </w:r>
            <w:r w:rsidRPr="00B97D44">
              <w:t>—</w:t>
            </w:r>
            <w:r>
              <w:t xml:space="preserve"> some studies have suggested that the gap between the most productive and least productive firms in the economy has increased over time </w:t>
            </w:r>
            <w:r w:rsidRPr="00D017ED">
              <w:rPr>
                <w:rFonts w:cs="Arial"/>
                <w:szCs w:val="24"/>
              </w:rPr>
              <w:t>(Andrews, Criscuolo and Gal 2015)</w:t>
            </w:r>
            <w:r>
              <w:t xml:space="preserve">. </w:t>
            </w:r>
            <w:r w:rsidR="00F51762">
              <w:t>However, there are differences in these patterns across countries and limitations with available data sets.</w:t>
            </w:r>
            <w:r w:rsidR="00F51762">
              <w:rPr>
                <w:rStyle w:val="FootnoteReference"/>
              </w:rPr>
              <w:footnoteReference w:id="7"/>
            </w:r>
          </w:p>
          <w:p w14:paraId="217EB421" w14:textId="3F294C9B" w:rsidR="002B2A31" w:rsidRPr="00047CEC" w:rsidRDefault="002B2A31" w:rsidP="00CC0374">
            <w:pPr>
              <w:pStyle w:val="BoxListBullet"/>
            </w:pPr>
            <w:r>
              <w:rPr>
                <w:i/>
              </w:rPr>
              <w:t xml:space="preserve">The effects of globalisation on industry composition — </w:t>
            </w:r>
            <w:r w:rsidRPr="00047CEC">
              <w:t>increasing openness, ease</w:t>
            </w:r>
            <w:r w:rsidR="00130CA6">
              <w:t xml:space="preserve"> of trade</w:t>
            </w:r>
            <w:r w:rsidRPr="00047CEC">
              <w:t xml:space="preserve"> and </w:t>
            </w:r>
            <w:r w:rsidR="00130CA6">
              <w:t xml:space="preserve">trade </w:t>
            </w:r>
            <w:r w:rsidRPr="00047CEC">
              <w:t xml:space="preserve">intensity </w:t>
            </w:r>
            <w:r>
              <w:t>ha</w:t>
            </w:r>
            <w:r w:rsidR="00B97EE1">
              <w:t>ve</w:t>
            </w:r>
            <w:r>
              <w:t>, among other factors, generally led to a reduction in the size of the tradable sector in developed nations and this sector generally has higher productivity than the non</w:t>
            </w:r>
            <w:r>
              <w:noBreakHyphen/>
              <w:t>tradeable sector. However, some studies cast doubt on this</w:t>
            </w:r>
            <w:r w:rsidR="00B97EE1">
              <w:t xml:space="preserve"> — for</w:t>
            </w:r>
            <w:r>
              <w:t xml:space="preserve"> example, Goodridge et al. </w:t>
            </w:r>
            <w:r w:rsidRPr="00F74E85">
              <w:rPr>
                <w:rFonts w:cs="Arial"/>
              </w:rPr>
              <w:t>(2018)</w:t>
            </w:r>
            <w:r>
              <w:t xml:space="preserve"> found that labour reallocation had contributed positively towards productivity in the United Kingdom, rather than reducing it. Further, the evidence presented in this </w:t>
            </w:r>
            <w:r w:rsidRPr="002F77C2">
              <w:rPr>
                <w:i/>
              </w:rPr>
              <w:t xml:space="preserve">Insights Paper </w:t>
            </w:r>
            <w:r>
              <w:t xml:space="preserve">is similar, with reallocation towards mining raising productivity (below). </w:t>
            </w:r>
          </w:p>
          <w:p w14:paraId="14D10DBD" w14:textId="60934353" w:rsidR="002B2A31" w:rsidRPr="00047CEC" w:rsidRDefault="002B2A31" w:rsidP="00CC0374">
            <w:pPr>
              <w:pStyle w:val="BoxListBullet"/>
            </w:pPr>
            <w:r>
              <w:rPr>
                <w:i/>
              </w:rPr>
              <w:t>Investment in knowledge</w:t>
            </w:r>
            <w:r>
              <w:rPr>
                <w:i/>
              </w:rPr>
              <w:noBreakHyphen/>
              <w:t xml:space="preserve">based capital — </w:t>
            </w:r>
            <w:r w:rsidRPr="00F74E85">
              <w:t>technical progress is driven by innovation, which requires investment in different forms of knowledge</w:t>
            </w:r>
            <w:r>
              <w:noBreakHyphen/>
              <w:t>based</w:t>
            </w:r>
            <w:r w:rsidRPr="00F74E85">
              <w:t xml:space="preserve"> capital</w:t>
            </w:r>
            <w:r>
              <w:t xml:space="preserve"> (including R&amp;D, intellectual property etc.)</w:t>
            </w:r>
            <w:r w:rsidRPr="00F74E85">
              <w:t>.</w:t>
            </w:r>
            <w:r>
              <w:rPr>
                <w:i/>
              </w:rPr>
              <w:t xml:space="preserve"> </w:t>
            </w:r>
            <w:r>
              <w:t>Hence, the observed lower rate of knowledge</w:t>
            </w:r>
            <w:r>
              <w:noBreakHyphen/>
              <w:t xml:space="preserve">based capital accumulation may be a contributing factor </w:t>
            </w:r>
            <w:r w:rsidRPr="00F74E85">
              <w:rPr>
                <w:rFonts w:cs="Arial"/>
                <w:szCs w:val="24"/>
              </w:rPr>
              <w:t>(Productivity Commission 2017, p. 36)</w:t>
            </w:r>
            <w:r>
              <w:t xml:space="preserve">. </w:t>
            </w:r>
          </w:p>
          <w:p w14:paraId="3308C488" w14:textId="4D751426" w:rsidR="002B2A31" w:rsidRDefault="002B2A31" w:rsidP="00CC0374">
            <w:pPr>
              <w:pStyle w:val="BoxListBullet"/>
            </w:pPr>
            <w:r>
              <w:rPr>
                <w:i/>
              </w:rPr>
              <w:t>Changes in the nature of technology progress —</w:t>
            </w:r>
            <w:r>
              <w:t xml:space="preserve"> this encompasses many different theories whose common thread is that new technological breakthroughs are either less likely to occur (due to higher cost or fewer opportunities for improvement) or less likely to yield the benefits that previous discoveries did </w:t>
            </w:r>
            <w:r w:rsidRPr="004E43C8">
              <w:rPr>
                <w:rFonts w:cs="Arial"/>
                <w:szCs w:val="24"/>
              </w:rPr>
              <w:t>(Productivity Commission 2017, p. 37)</w:t>
            </w:r>
            <w:r>
              <w:t xml:space="preserve">. </w:t>
            </w:r>
          </w:p>
          <w:p w14:paraId="72686A13" w14:textId="0D04B721" w:rsidR="002B2A31" w:rsidRDefault="002B2A31" w:rsidP="00CC0374">
            <w:pPr>
              <w:pStyle w:val="BoxListBullet"/>
            </w:pPr>
            <w:r w:rsidRPr="00047CEC">
              <w:rPr>
                <w:i/>
              </w:rPr>
              <w:t>Macroeconomic environment</w:t>
            </w:r>
            <w:r>
              <w:t xml:space="preserve"> — the slowdown in productivity growth has coincided with the Global Financial Crisis and its associated macroeconomic effects including a build</w:t>
            </w:r>
            <w:r>
              <w:noBreakHyphen/>
              <w:t xml:space="preserve">up of debt in developed countries (and a ‘savings glut’ in developing countries), a ‘liquidity trap’ as interest rates hit the zero lower bound, and ‘secular stagnation’ </w:t>
            </w:r>
            <w:r w:rsidRPr="00E43E31">
              <w:rPr>
                <w:rFonts w:cs="Arial"/>
                <w:szCs w:val="24"/>
              </w:rPr>
              <w:t>(Productivity Commission 2017, pp. 38–39)</w:t>
            </w:r>
            <w:r>
              <w:t xml:space="preserve">. </w:t>
            </w:r>
          </w:p>
        </w:tc>
      </w:tr>
      <w:tr w:rsidR="002B2A31" w14:paraId="6A7EE1B5" w14:textId="77777777" w:rsidTr="00CC0374">
        <w:tc>
          <w:tcPr>
            <w:tcW w:w="5000" w:type="pct"/>
            <w:tcBorders>
              <w:top w:val="nil"/>
              <w:left w:val="nil"/>
              <w:bottom w:val="single" w:sz="6" w:space="0" w:color="78A22F"/>
              <w:right w:val="nil"/>
            </w:tcBorders>
            <w:shd w:val="clear" w:color="auto" w:fill="F2F2F2"/>
          </w:tcPr>
          <w:p w14:paraId="45FBDDF5" w14:textId="77777777" w:rsidR="002B2A31" w:rsidRDefault="002B2A31" w:rsidP="00CC0374">
            <w:pPr>
              <w:pStyle w:val="Box"/>
              <w:spacing w:before="0" w:line="120" w:lineRule="exact"/>
            </w:pPr>
          </w:p>
        </w:tc>
      </w:tr>
      <w:tr w:rsidR="002B2A31" w:rsidRPr="000863A5" w14:paraId="154B7DFD" w14:textId="77777777" w:rsidTr="00CC0374">
        <w:tc>
          <w:tcPr>
            <w:tcW w:w="5000" w:type="pct"/>
            <w:tcBorders>
              <w:top w:val="single" w:sz="6" w:space="0" w:color="78A22F"/>
              <w:left w:val="nil"/>
              <w:bottom w:val="nil"/>
              <w:right w:val="nil"/>
            </w:tcBorders>
          </w:tcPr>
          <w:p w14:paraId="20A5D790" w14:textId="77777777" w:rsidR="002B2A31" w:rsidRPr="00626D32" w:rsidRDefault="002B2A31" w:rsidP="00CC0374">
            <w:pPr>
              <w:pStyle w:val="BoxSpaceBelow"/>
            </w:pPr>
          </w:p>
        </w:tc>
      </w:tr>
    </w:tbl>
    <w:p w14:paraId="0C2D221D" w14:textId="77777777" w:rsidR="002B2A31" w:rsidRDefault="002B2A31" w:rsidP="002B2A31">
      <w:pPr>
        <w:pStyle w:val="Heading3"/>
      </w:pPr>
      <w:r>
        <w:t>Sectoral aspects of the productivity slowdown</w:t>
      </w:r>
    </w:p>
    <w:p w14:paraId="6B75C53E" w14:textId="3A328732" w:rsidR="00EC3567" w:rsidRDefault="00391BBC" w:rsidP="002B2A31">
      <w:pPr>
        <w:pStyle w:val="BodyText"/>
      </w:pPr>
      <w:r>
        <w:t>I</w:t>
      </w:r>
      <w:r w:rsidR="00245B22">
        <w:t>nvestigation of the contributions of particular industries</w:t>
      </w:r>
      <w:r>
        <w:t xml:space="preserve"> to overall productivity growth over time</w:t>
      </w:r>
      <w:r w:rsidR="00245B22">
        <w:t xml:space="preserve"> can reveal insights </w:t>
      </w:r>
      <w:r w:rsidR="002B2A31">
        <w:t xml:space="preserve">but until now has </w:t>
      </w:r>
      <w:r w:rsidR="002B2A31" w:rsidRPr="00F850A7">
        <w:t>received</w:t>
      </w:r>
      <w:r w:rsidR="002B2A31">
        <w:t xml:space="preserve"> little attention. </w:t>
      </w:r>
    </w:p>
    <w:p w14:paraId="3A8265C9" w14:textId="3D09215E" w:rsidR="002B2A31" w:rsidRPr="00E120D6" w:rsidRDefault="00EC3567" w:rsidP="002B2A31">
      <w:pPr>
        <w:pStyle w:val="BodyText"/>
      </w:pPr>
      <w:r>
        <w:lastRenderedPageBreak/>
        <w:t>Overall, t</w:t>
      </w:r>
      <w:r w:rsidR="002B2A31">
        <w:t>here are a few notable sectorial trends. First, the slowdown in productivity growth that has occurred since 2005 varies significantly across industries (figure 7). Utilities had annual labour productivity growth that was 5.6 percentage points lower after 2005 compared to before 2005, while labour productivity actually grew faster after 2005</w:t>
      </w:r>
      <w:r w:rsidR="008E29ED">
        <w:t xml:space="preserve"> in seven out of the sixteen market sector industries</w:t>
      </w:r>
      <w:r w:rsidR="002B2A31">
        <w:t xml:space="preserve">. </w:t>
      </w:r>
    </w:p>
    <w:p w14:paraId="3787B327" w14:textId="77777777" w:rsidR="002B2A31" w:rsidRDefault="002B2A31" w:rsidP="002B2A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51D2461D" w14:textId="77777777" w:rsidTr="00CC0374">
        <w:trPr>
          <w:tblHeader/>
        </w:trPr>
        <w:tc>
          <w:tcPr>
            <w:tcW w:w="5000" w:type="pct"/>
            <w:tcBorders>
              <w:top w:val="single" w:sz="6" w:space="0" w:color="78A22F"/>
              <w:left w:val="nil"/>
              <w:bottom w:val="nil"/>
              <w:right w:val="nil"/>
            </w:tcBorders>
            <w:shd w:val="clear" w:color="auto" w:fill="auto"/>
          </w:tcPr>
          <w:p w14:paraId="6BF09E8E" w14:textId="1BE0BECF" w:rsidR="002B2A31" w:rsidRDefault="002B2A31" w:rsidP="00CC0374">
            <w:pPr>
              <w:pStyle w:val="FigureTitle"/>
            </w:pPr>
            <w:r w:rsidRPr="00784A05">
              <w:rPr>
                <w:b w:val="0"/>
              </w:rPr>
              <w:t xml:space="preserve">Figure </w:t>
            </w:r>
            <w:r w:rsidR="00A73986">
              <w:rPr>
                <w:b w:val="0"/>
                <w:noProof/>
              </w:rPr>
              <w:t>7</w:t>
            </w:r>
            <w:r>
              <w:tab/>
            </w:r>
            <w:r w:rsidR="00A80B90">
              <w:t>Most</w:t>
            </w:r>
            <w:r>
              <w:t xml:space="preserve"> industries saw a productivity slowdown after 2005 …</w:t>
            </w:r>
          </w:p>
          <w:p w14:paraId="08FFA10E" w14:textId="19C31605" w:rsidR="002B2A31" w:rsidRPr="00176D3F" w:rsidRDefault="002B2A31" w:rsidP="00114BF1">
            <w:pPr>
              <w:pStyle w:val="Subtitle"/>
            </w:pPr>
            <w:r>
              <w:t>Difference in labour productivity growth rates</w:t>
            </w:r>
            <w:r w:rsidR="009D0105">
              <w:t>,</w:t>
            </w:r>
            <w:r>
              <w:t xml:space="preserve"> by industry</w:t>
            </w:r>
            <w:r w:rsidR="009D0105">
              <w:t>,</w:t>
            </w:r>
            <w:r>
              <w:t xml:space="preserve"> for 2004</w:t>
            </w:r>
            <w:r>
              <w:noBreakHyphen/>
              <w:t>05 to 201</w:t>
            </w:r>
            <w:r w:rsidR="00114BF1">
              <w:t>8</w:t>
            </w:r>
            <w:r>
              <w:noBreakHyphen/>
              <w:t>1</w:t>
            </w:r>
            <w:r w:rsidR="00114BF1">
              <w:t>9</w:t>
            </w:r>
            <w:r>
              <w:t xml:space="preserve"> compared to 1974</w:t>
            </w:r>
            <w:r>
              <w:noBreakHyphen/>
              <w:t>75 to 2004</w:t>
            </w:r>
            <w:r>
              <w:noBreakHyphen/>
              <w:t>05</w:t>
            </w:r>
          </w:p>
        </w:tc>
      </w:tr>
      <w:tr w:rsidR="002B2A31" w14:paraId="51B49A49" w14:textId="77777777" w:rsidTr="00CC037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2B2A31" w:rsidRPr="00B1465D" w14:paraId="360897F7" w14:textId="77777777" w:rsidTr="00CC0374">
              <w:trPr>
                <w:tblHeader/>
                <w:jc w:val="center"/>
              </w:trPr>
              <w:tc>
                <w:tcPr>
                  <w:tcW w:w="8504" w:type="dxa"/>
                  <w:tcBorders>
                    <w:top w:val="nil"/>
                    <w:bottom w:val="nil"/>
                  </w:tcBorders>
                </w:tcPr>
                <w:p w14:paraId="0AD8B0F0" w14:textId="77777777" w:rsidR="002B2A31" w:rsidRPr="00B1465D" w:rsidRDefault="002B2A31" w:rsidP="00CC0374">
                  <w:pPr>
                    <w:pStyle w:val="Figure"/>
                    <w:spacing w:before="60" w:after="60"/>
                    <w:rPr>
                      <w:rFonts w:ascii="Arial" w:hAnsi="Arial" w:cs="Arial"/>
                      <w:sz w:val="18"/>
                      <w:szCs w:val="18"/>
                    </w:rPr>
                  </w:pPr>
                  <w:r>
                    <w:rPr>
                      <w:rFonts w:ascii="Arial" w:hAnsi="Arial" w:cs="Arial"/>
                      <w:noProof/>
                      <w:sz w:val="18"/>
                      <w:szCs w:val="18"/>
                    </w:rPr>
                    <w:drawing>
                      <wp:inline distT="0" distB="0" distL="0" distR="0" wp14:anchorId="6BB132A6" wp14:editId="07F108A3">
                        <wp:extent cx="5375798" cy="4091354"/>
                        <wp:effectExtent l="0" t="0" r="0" b="4445"/>
                        <wp:docPr id="31" name="Picture 31" descr="This chart shows the difference in the growth rate of labour productivity in each industry in 2004-05 to 2017-18 compared to the period 1974-75 to 2004-05. Generally most industries experienced a fall in the growth rate of labour productivity, though some industries, such as retail trade, actually experienced faster productivity growth after 2005. " title="A majority of industries saw a productivity slowdown after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85208" cy="4098516"/>
                                </a:xfrm>
                                <a:prstGeom prst="rect">
                                  <a:avLst/>
                                </a:prstGeom>
                                <a:noFill/>
                              </pic:spPr>
                            </pic:pic>
                          </a:graphicData>
                        </a:graphic>
                      </wp:inline>
                    </w:drawing>
                  </w:r>
                </w:p>
              </w:tc>
            </w:tr>
          </w:tbl>
          <w:p w14:paraId="02BAC217" w14:textId="77777777" w:rsidR="002B2A31" w:rsidRDefault="002B2A31" w:rsidP="00CC0374">
            <w:pPr>
              <w:pStyle w:val="Figure"/>
            </w:pPr>
          </w:p>
        </w:tc>
      </w:tr>
      <w:tr w:rsidR="002B2A31" w:rsidRPr="00176D3F" w14:paraId="5F36C734" w14:textId="77777777" w:rsidTr="00CC0374">
        <w:tc>
          <w:tcPr>
            <w:tcW w:w="5000" w:type="pct"/>
            <w:tcBorders>
              <w:top w:val="nil"/>
              <w:left w:val="nil"/>
              <w:bottom w:val="nil"/>
              <w:right w:val="nil"/>
            </w:tcBorders>
            <w:shd w:val="clear" w:color="auto" w:fill="auto"/>
          </w:tcPr>
          <w:p w14:paraId="188FC9A0" w14:textId="27ED4F72" w:rsidR="002B2A31" w:rsidRPr="00176D3F" w:rsidRDefault="002B2A31" w:rsidP="00935921">
            <w:pPr>
              <w:pStyle w:val="Source"/>
            </w:pPr>
            <w:r>
              <w:rPr>
                <w:i/>
              </w:rPr>
              <w:t>S</w:t>
            </w:r>
            <w:r w:rsidRPr="00784A05">
              <w:rPr>
                <w:i/>
              </w:rPr>
              <w:t>ource</w:t>
            </w:r>
            <w:r w:rsidRPr="00176D3F">
              <w:t xml:space="preserve">: </w:t>
            </w:r>
            <w:r>
              <w:t>Commission estimates using data from</w:t>
            </w:r>
            <w:r w:rsidRPr="00167F06">
              <w:t xml:space="preserve"> </w:t>
            </w:r>
            <w:r>
              <w:t>ABS (201</w:t>
            </w:r>
            <w:r w:rsidR="00935921">
              <w:t>9</w:t>
            </w:r>
            <w:r>
              <w:t xml:space="preserve">, </w:t>
            </w:r>
            <w:r w:rsidRPr="002143D5">
              <w:rPr>
                <w:i/>
              </w:rPr>
              <w:t>Estimates of Industry Multifactor Productivity, 201</w:t>
            </w:r>
            <w:r w:rsidR="00935921">
              <w:rPr>
                <w:i/>
              </w:rPr>
              <w:t>8</w:t>
            </w:r>
            <w:r>
              <w:rPr>
                <w:i/>
              </w:rPr>
              <w:noBreakHyphen/>
            </w:r>
            <w:r w:rsidRPr="002143D5">
              <w:rPr>
                <w:i/>
              </w:rPr>
              <w:t>1</w:t>
            </w:r>
            <w:r w:rsidR="00935921">
              <w:rPr>
                <w:i/>
              </w:rPr>
              <w:t>9</w:t>
            </w:r>
            <w:r>
              <w:t>, Cat. no. </w:t>
            </w:r>
            <w:r w:rsidRPr="002143D5">
              <w:t>5260.0.55.002</w:t>
            </w:r>
            <w:r>
              <w:t>, tables 1–19) and unpublished ABS data.</w:t>
            </w:r>
          </w:p>
        </w:tc>
      </w:tr>
      <w:tr w:rsidR="002B2A31" w14:paraId="322C39B9" w14:textId="77777777" w:rsidTr="00CC0374">
        <w:tc>
          <w:tcPr>
            <w:tcW w:w="5000" w:type="pct"/>
            <w:tcBorders>
              <w:top w:val="nil"/>
              <w:left w:val="nil"/>
              <w:bottom w:val="single" w:sz="6" w:space="0" w:color="78A22F"/>
              <w:right w:val="nil"/>
            </w:tcBorders>
            <w:shd w:val="clear" w:color="auto" w:fill="auto"/>
          </w:tcPr>
          <w:p w14:paraId="53850C0D" w14:textId="77777777" w:rsidR="002B2A31" w:rsidRDefault="002B2A31" w:rsidP="00CC0374">
            <w:pPr>
              <w:pStyle w:val="Figurespace"/>
            </w:pPr>
          </w:p>
        </w:tc>
      </w:tr>
      <w:tr w:rsidR="002B2A31" w:rsidRPr="000863A5" w14:paraId="0CDF6EE7" w14:textId="77777777" w:rsidTr="00CC0374">
        <w:tc>
          <w:tcPr>
            <w:tcW w:w="5000" w:type="pct"/>
            <w:tcBorders>
              <w:top w:val="single" w:sz="6" w:space="0" w:color="78A22F"/>
              <w:left w:val="nil"/>
              <w:bottom w:val="nil"/>
              <w:right w:val="nil"/>
            </w:tcBorders>
          </w:tcPr>
          <w:p w14:paraId="65AF305E" w14:textId="77777777" w:rsidR="002B2A31" w:rsidRPr="00626D32" w:rsidRDefault="002B2A31" w:rsidP="00CC0374">
            <w:pPr>
              <w:pStyle w:val="BoxSpaceBelow"/>
            </w:pPr>
          </w:p>
        </w:tc>
      </w:tr>
    </w:tbl>
    <w:p w14:paraId="3D0930D0" w14:textId="3B9F016E" w:rsidR="009D0105" w:rsidRDefault="009D0105" w:rsidP="009D0105">
      <w:pPr>
        <w:pStyle w:val="BodyText"/>
      </w:pPr>
      <w:r>
        <w:t xml:space="preserve">Second, reallocation of labour between industries has become an increasingly important source of growth since 2005 due to the mining boom. While labour productivity fell slightly </w:t>
      </w:r>
      <w:r w:rsidRPr="00D72B8C">
        <w:rPr>
          <w:i/>
        </w:rPr>
        <w:t>within</w:t>
      </w:r>
      <w:r>
        <w:t xml:space="preserve"> the mining industry after 2005 and this </w:t>
      </w:r>
      <w:r w:rsidRPr="00D05CBB">
        <w:t>subtracted</w:t>
      </w:r>
      <w:r>
        <w:t xml:space="preserve"> from labour productivity growth, the movement of labour </w:t>
      </w:r>
      <w:r w:rsidRPr="00D72B8C">
        <w:rPr>
          <w:i/>
        </w:rPr>
        <w:t>between</w:t>
      </w:r>
      <w:r>
        <w:t xml:space="preserve"> industries (into the mining industry, allowing the sector to grow rapidly) </w:t>
      </w:r>
      <w:r w:rsidRPr="00D05CBB">
        <w:t>added</w:t>
      </w:r>
      <w:r>
        <w:t xml:space="preserve"> to labour productivity growth, as mining has a very high level of labour productivity compared with other industries. </w:t>
      </w:r>
      <w:r w:rsidR="005170E2">
        <w:t>So for the mining sector, t</w:t>
      </w:r>
      <w:r>
        <w:t>he beneficial effect of this labour reallocation was larger, resulting in an additional 0.4 percentage points of growth in market sector labour productivity since 2005 (table </w:t>
      </w:r>
      <w:r w:rsidR="005170E2">
        <w:t>4</w:t>
      </w:r>
      <w:r>
        <w:t xml:space="preserve">). However, </w:t>
      </w:r>
      <w:r w:rsidR="005170E2">
        <w:t>across al</w:t>
      </w:r>
      <w:r w:rsidR="00383BFD">
        <w:t>l</w:t>
      </w:r>
      <w:r w:rsidR="005170E2">
        <w:t xml:space="preserve"> </w:t>
      </w:r>
      <w:r w:rsidR="005170E2">
        <w:lastRenderedPageBreak/>
        <w:t xml:space="preserve">industries, </w:t>
      </w:r>
      <w:r>
        <w:t>within</w:t>
      </w:r>
      <w:r>
        <w:noBreakHyphen/>
        <w:t>industry productivity growth was still the more important factor in determining aggregate productivity growth.</w:t>
      </w:r>
    </w:p>
    <w:p w14:paraId="229403C3" w14:textId="7F92AC41" w:rsidR="002B2A31" w:rsidRDefault="002B2A31" w:rsidP="002B2A31">
      <w:pPr>
        <w:pStyle w:val="BodyText"/>
      </w:pPr>
      <w:r>
        <w:t>This finding can be interpreted in either a positive or negative light. The positive perspective is that the Australian economy has shown remarkable flexibility in seizing the opportunities presented by the largest terms of trade boom since Federation. This experience contrasts sharply with that during the earlier, much smaller terms of trade boom of the early 1970s, when adjustment between industries proved more difficult and ultimately fuelled a ‘wage</w:t>
      </w:r>
      <w:r>
        <w:noBreakHyphen/>
        <w:t xml:space="preserve">price spiral’ across the whole economy </w:t>
      </w:r>
      <w:r w:rsidRPr="00516D55">
        <w:rPr>
          <w:szCs w:val="24"/>
        </w:rPr>
        <w:t>(Gruen 2011)</w:t>
      </w:r>
      <w:r>
        <w:t>.</w:t>
      </w:r>
    </w:p>
    <w:p w14:paraId="23611BE5" w14:textId="77777777" w:rsidR="002B2A31" w:rsidRDefault="002B2A31" w:rsidP="002B2A31">
      <w:pPr>
        <w:pStyle w:val="BodyText"/>
      </w:pPr>
      <w:r>
        <w:t>More negatively, the implication is that the slowdown in labour productivity within industries has been even sharper than the market sector aggregates may suggest. The addition to labour productivity growth provided by movement of workers into the mining sector is an unusual, perhaps once</w:t>
      </w:r>
      <w:r>
        <w:noBreakHyphen/>
        <w:t>off, benefit. All else held equal, without the benefits from movement of workers between industries, labour productivity growth in the market sector would have fallen from 2.4 per cent per year over the three decades to 2005 to just 1.3 per cent in the subsequent period.</w:t>
      </w:r>
      <w:r>
        <w:rPr>
          <w:rStyle w:val="FootnoteReference"/>
        </w:rPr>
        <w:footnoteReference w:id="8"/>
      </w:r>
      <w:r>
        <w:t xml:space="preserve"> This slowdown within industries is broadly in line with the average slowdown across OECD countries. That is, the opportunity the mining boom presented to move workers into highly productivity activities explains in part why the labour productivity slowdown in Australia has appeared less severe than in other countries.</w:t>
      </w:r>
    </w:p>
    <w:p w14:paraId="5F77E1AD" w14:textId="77777777" w:rsidR="002B2A31" w:rsidRDefault="002B2A31" w:rsidP="002B2A31">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B2A31" w14:paraId="33918BDC" w14:textId="77777777" w:rsidTr="00CC0374">
        <w:trPr>
          <w:tblHeader/>
        </w:trPr>
        <w:tc>
          <w:tcPr>
            <w:tcW w:w="5000" w:type="pct"/>
            <w:tcBorders>
              <w:top w:val="single" w:sz="6" w:space="0" w:color="78A22F"/>
              <w:left w:val="nil"/>
              <w:bottom w:val="nil"/>
              <w:right w:val="nil"/>
            </w:tcBorders>
            <w:shd w:val="clear" w:color="auto" w:fill="auto"/>
          </w:tcPr>
          <w:p w14:paraId="1519A09D" w14:textId="239DB60A" w:rsidR="002B2A31" w:rsidRDefault="002B2A31" w:rsidP="00CC0374">
            <w:pPr>
              <w:pStyle w:val="TableTitle"/>
            </w:pPr>
            <w:r>
              <w:rPr>
                <w:b w:val="0"/>
              </w:rPr>
              <w:t xml:space="preserve">Table </w:t>
            </w:r>
            <w:r w:rsidR="005170E2">
              <w:rPr>
                <w:b w:val="0"/>
              </w:rPr>
              <w:t>4</w:t>
            </w:r>
            <w:r>
              <w:tab/>
              <w:t>… but labour reallocation</w:t>
            </w:r>
            <w:r w:rsidR="00935921">
              <w:t xml:space="preserve"> between industries</w:t>
            </w:r>
            <w:r>
              <w:t xml:space="preserve"> offset some of the slowdown</w:t>
            </w:r>
          </w:p>
          <w:p w14:paraId="133356B1" w14:textId="12F53944" w:rsidR="002B2A31" w:rsidRPr="00784A05" w:rsidRDefault="002B2A31" w:rsidP="00CC0374">
            <w:pPr>
              <w:pStyle w:val="Subtitle"/>
            </w:pPr>
            <w:r>
              <w:t>Average annual growth in aggregate labour productivity, and the percentage point contribution of within and between</w:t>
            </w:r>
            <w:r w:rsidR="00935921">
              <w:t xml:space="preserve"> industry</w:t>
            </w:r>
            <w:r>
              <w:t xml:space="preserve"> effects to this growth</w:t>
            </w:r>
          </w:p>
        </w:tc>
      </w:tr>
      <w:tr w:rsidR="002B2A31" w14:paraId="61A92032" w14:textId="77777777" w:rsidTr="00CC037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2126"/>
              <w:gridCol w:w="2126"/>
              <w:gridCol w:w="2125"/>
            </w:tblGrid>
            <w:tr w:rsidR="002B2A31" w14:paraId="1894710E" w14:textId="77777777" w:rsidTr="00CC0374">
              <w:trPr>
                <w:tblHeader/>
              </w:trPr>
              <w:tc>
                <w:tcPr>
                  <w:tcW w:w="1251" w:type="pct"/>
                  <w:tcBorders>
                    <w:top w:val="single" w:sz="6" w:space="0" w:color="BFBFBF"/>
                    <w:bottom w:val="single" w:sz="6" w:space="0" w:color="BFBFBF"/>
                  </w:tcBorders>
                  <w:shd w:val="clear" w:color="auto" w:fill="auto"/>
                  <w:tcMar>
                    <w:top w:w="28" w:type="dxa"/>
                  </w:tcMar>
                </w:tcPr>
                <w:p w14:paraId="71AF3C4E" w14:textId="77777777" w:rsidR="002B2A31" w:rsidRDefault="002B2A31" w:rsidP="00CC0374">
                  <w:pPr>
                    <w:pStyle w:val="TableColumnHeading"/>
                    <w:jc w:val="left"/>
                  </w:pPr>
                  <w:r>
                    <w:t>Period of time</w:t>
                  </w:r>
                </w:p>
              </w:tc>
              <w:tc>
                <w:tcPr>
                  <w:tcW w:w="1250" w:type="pct"/>
                  <w:tcBorders>
                    <w:top w:val="single" w:sz="6" w:space="0" w:color="BFBFBF"/>
                    <w:bottom w:val="single" w:sz="6" w:space="0" w:color="BFBFBF"/>
                  </w:tcBorders>
                </w:tcPr>
                <w:p w14:paraId="6AA95DD1" w14:textId="3EC4B073" w:rsidR="002B2A31" w:rsidRDefault="002B2A31" w:rsidP="00D10DB2">
                  <w:pPr>
                    <w:pStyle w:val="TableColumnHeading"/>
                  </w:pPr>
                  <w:r>
                    <w:t>Average growth</w:t>
                  </w:r>
                </w:p>
              </w:tc>
              <w:tc>
                <w:tcPr>
                  <w:tcW w:w="1250" w:type="pct"/>
                  <w:tcBorders>
                    <w:top w:val="single" w:sz="6" w:space="0" w:color="BFBFBF"/>
                    <w:bottom w:val="single" w:sz="6" w:space="0" w:color="BFBFBF"/>
                  </w:tcBorders>
                  <w:shd w:val="clear" w:color="auto" w:fill="auto"/>
                  <w:tcMar>
                    <w:top w:w="28" w:type="dxa"/>
                  </w:tcMar>
                </w:tcPr>
                <w:p w14:paraId="7E8100E6" w14:textId="77777777" w:rsidR="002B2A31" w:rsidRDefault="002B2A31" w:rsidP="00CC0374">
                  <w:pPr>
                    <w:pStyle w:val="TableColumnHeading"/>
                  </w:pPr>
                  <w:r>
                    <w:t>Within effects</w:t>
                  </w:r>
                </w:p>
              </w:tc>
              <w:tc>
                <w:tcPr>
                  <w:tcW w:w="1249" w:type="pct"/>
                  <w:tcBorders>
                    <w:top w:val="single" w:sz="6" w:space="0" w:color="BFBFBF"/>
                    <w:bottom w:val="single" w:sz="6" w:space="0" w:color="BFBFBF"/>
                  </w:tcBorders>
                  <w:shd w:val="clear" w:color="auto" w:fill="auto"/>
                  <w:tcMar>
                    <w:top w:w="28" w:type="dxa"/>
                  </w:tcMar>
                </w:tcPr>
                <w:p w14:paraId="360C7FED" w14:textId="77777777" w:rsidR="002B2A31" w:rsidRDefault="002B2A31" w:rsidP="00CC0374">
                  <w:pPr>
                    <w:pStyle w:val="TableColumnHeading"/>
                    <w:ind w:right="28"/>
                  </w:pPr>
                  <w:r>
                    <w:t>Between effects</w:t>
                  </w:r>
                </w:p>
              </w:tc>
            </w:tr>
            <w:tr w:rsidR="002B2A31" w14:paraId="4BF82B07" w14:textId="77777777" w:rsidTr="00CC0374">
              <w:tc>
                <w:tcPr>
                  <w:tcW w:w="1251" w:type="pct"/>
                  <w:tcBorders>
                    <w:top w:val="single" w:sz="6" w:space="0" w:color="BFBFBF"/>
                  </w:tcBorders>
                </w:tcPr>
                <w:p w14:paraId="11C1E448" w14:textId="77777777" w:rsidR="002B2A31" w:rsidRDefault="002B2A31" w:rsidP="00CC0374">
                  <w:pPr>
                    <w:pStyle w:val="TableUnitsRow"/>
                    <w:jc w:val="left"/>
                  </w:pPr>
                  <w:r>
                    <w:t>Financial years</w:t>
                  </w:r>
                </w:p>
              </w:tc>
              <w:tc>
                <w:tcPr>
                  <w:tcW w:w="1250" w:type="pct"/>
                  <w:tcBorders>
                    <w:top w:val="single" w:sz="6" w:space="0" w:color="BFBFBF"/>
                  </w:tcBorders>
                </w:tcPr>
                <w:p w14:paraId="565F487D" w14:textId="77777777" w:rsidR="002B2A31" w:rsidRDefault="002B2A31" w:rsidP="00CC0374">
                  <w:pPr>
                    <w:pStyle w:val="TableUnitsRow"/>
                  </w:pPr>
                  <w:r>
                    <w:t>per cent</w:t>
                  </w:r>
                </w:p>
              </w:tc>
              <w:tc>
                <w:tcPr>
                  <w:tcW w:w="1250" w:type="pct"/>
                  <w:tcBorders>
                    <w:top w:val="single" w:sz="6" w:space="0" w:color="BFBFBF"/>
                  </w:tcBorders>
                </w:tcPr>
                <w:p w14:paraId="206CD54E" w14:textId="77777777" w:rsidR="002B2A31" w:rsidRDefault="002B2A31" w:rsidP="00CC0374">
                  <w:pPr>
                    <w:pStyle w:val="TableUnitsRow"/>
                  </w:pPr>
                  <w:r>
                    <w:t>percentage points</w:t>
                  </w:r>
                </w:p>
              </w:tc>
              <w:tc>
                <w:tcPr>
                  <w:tcW w:w="1249" w:type="pct"/>
                  <w:tcBorders>
                    <w:top w:val="single" w:sz="6" w:space="0" w:color="BFBFBF"/>
                  </w:tcBorders>
                </w:tcPr>
                <w:p w14:paraId="0A3FC869" w14:textId="77777777" w:rsidR="002B2A31" w:rsidRDefault="002B2A31" w:rsidP="00CC0374">
                  <w:pPr>
                    <w:pStyle w:val="TableUnitsRow"/>
                    <w:ind w:right="28"/>
                  </w:pPr>
                  <w:r>
                    <w:t>percentage points</w:t>
                  </w:r>
                </w:p>
              </w:tc>
            </w:tr>
            <w:tr w:rsidR="002B2A31" w14:paraId="0FED27D9" w14:textId="77777777" w:rsidTr="00CC0374">
              <w:tc>
                <w:tcPr>
                  <w:tcW w:w="1251" w:type="pct"/>
                </w:tcPr>
                <w:p w14:paraId="0A977EF1" w14:textId="77777777" w:rsidR="002B2A31" w:rsidRDefault="002B2A31" w:rsidP="00CC0374">
                  <w:pPr>
                    <w:pStyle w:val="TableBodyText"/>
                    <w:jc w:val="left"/>
                  </w:pPr>
                  <w:r>
                    <w:t>1975 to 2005</w:t>
                  </w:r>
                </w:p>
              </w:tc>
              <w:tc>
                <w:tcPr>
                  <w:tcW w:w="1250" w:type="pct"/>
                </w:tcPr>
                <w:p w14:paraId="70ED9D65" w14:textId="77777777" w:rsidR="002B2A31" w:rsidRDefault="002B2A31" w:rsidP="00CC0374">
                  <w:pPr>
                    <w:pStyle w:val="TableBodyText"/>
                  </w:pPr>
                  <w:r w:rsidRPr="004D5A72">
                    <w:t>2.5</w:t>
                  </w:r>
                </w:p>
              </w:tc>
              <w:tc>
                <w:tcPr>
                  <w:tcW w:w="1250" w:type="pct"/>
                </w:tcPr>
                <w:p w14:paraId="66BC0E38" w14:textId="77777777" w:rsidR="002B2A31" w:rsidRDefault="002B2A31" w:rsidP="00CC0374">
                  <w:pPr>
                    <w:pStyle w:val="TableBodyText"/>
                  </w:pPr>
                  <w:r w:rsidRPr="00557AF5">
                    <w:t>2.4</w:t>
                  </w:r>
                </w:p>
              </w:tc>
              <w:tc>
                <w:tcPr>
                  <w:tcW w:w="1249" w:type="pct"/>
                </w:tcPr>
                <w:p w14:paraId="577A7526" w14:textId="77777777" w:rsidR="002B2A31" w:rsidRDefault="002B2A31" w:rsidP="00CC0374">
                  <w:pPr>
                    <w:pStyle w:val="TableBodyText"/>
                    <w:ind w:right="28"/>
                  </w:pPr>
                  <w:r w:rsidRPr="00557AF5">
                    <w:t>0.1</w:t>
                  </w:r>
                </w:p>
              </w:tc>
            </w:tr>
            <w:tr w:rsidR="002B2A31" w14:paraId="5740B4CC" w14:textId="77777777" w:rsidTr="00CC0374">
              <w:tc>
                <w:tcPr>
                  <w:tcW w:w="1251" w:type="pct"/>
                </w:tcPr>
                <w:p w14:paraId="181E58AC" w14:textId="77777777" w:rsidR="002B2A31" w:rsidRDefault="002B2A31" w:rsidP="00CC0374">
                  <w:pPr>
                    <w:pStyle w:val="TableBodyText"/>
                    <w:jc w:val="left"/>
                  </w:pPr>
                  <w:r>
                    <w:t>2005 to 2018</w:t>
                  </w:r>
                </w:p>
              </w:tc>
              <w:tc>
                <w:tcPr>
                  <w:tcW w:w="1250" w:type="pct"/>
                </w:tcPr>
                <w:p w14:paraId="5F3C71BC" w14:textId="77777777" w:rsidR="002B2A31" w:rsidRDefault="002B2A31" w:rsidP="00CC0374">
                  <w:pPr>
                    <w:pStyle w:val="TableBodyText"/>
                  </w:pPr>
                  <w:r w:rsidRPr="004D5A72">
                    <w:t>1.7</w:t>
                  </w:r>
                </w:p>
              </w:tc>
              <w:tc>
                <w:tcPr>
                  <w:tcW w:w="1250" w:type="pct"/>
                </w:tcPr>
                <w:p w14:paraId="2CE41C6E" w14:textId="77777777" w:rsidR="002B2A31" w:rsidRDefault="002B2A31" w:rsidP="00CC0374">
                  <w:pPr>
                    <w:pStyle w:val="TableBodyText"/>
                  </w:pPr>
                  <w:r w:rsidRPr="00F0574F">
                    <w:t>1.3</w:t>
                  </w:r>
                </w:p>
              </w:tc>
              <w:tc>
                <w:tcPr>
                  <w:tcW w:w="1249" w:type="pct"/>
                </w:tcPr>
                <w:p w14:paraId="4623675A" w14:textId="77777777" w:rsidR="002B2A31" w:rsidRDefault="002B2A31" w:rsidP="00CC0374">
                  <w:pPr>
                    <w:pStyle w:val="TableBodyText"/>
                    <w:ind w:right="28"/>
                  </w:pPr>
                  <w:r w:rsidRPr="00F0574F">
                    <w:t>0.4</w:t>
                  </w:r>
                </w:p>
              </w:tc>
            </w:tr>
            <w:tr w:rsidR="002B2A31" w14:paraId="72AB0E7B" w14:textId="77777777" w:rsidTr="00CC0374">
              <w:tc>
                <w:tcPr>
                  <w:tcW w:w="1251" w:type="pct"/>
                  <w:tcBorders>
                    <w:bottom w:val="single" w:sz="6" w:space="0" w:color="BFBFBF"/>
                  </w:tcBorders>
                  <w:shd w:val="clear" w:color="auto" w:fill="auto"/>
                </w:tcPr>
                <w:p w14:paraId="6864CC6D" w14:textId="77777777" w:rsidR="002B2A31" w:rsidRDefault="002B2A31" w:rsidP="00CC0374">
                  <w:pPr>
                    <w:pStyle w:val="TableBodyText"/>
                    <w:jc w:val="left"/>
                  </w:pPr>
                  <w:r>
                    <w:t>Difference</w:t>
                  </w:r>
                </w:p>
              </w:tc>
              <w:tc>
                <w:tcPr>
                  <w:tcW w:w="1250" w:type="pct"/>
                  <w:tcBorders>
                    <w:bottom w:val="single" w:sz="6" w:space="0" w:color="BFBFBF"/>
                  </w:tcBorders>
                </w:tcPr>
                <w:p w14:paraId="7E035506" w14:textId="77777777" w:rsidR="002B2A31" w:rsidRDefault="002B2A31" w:rsidP="00CC0374">
                  <w:pPr>
                    <w:pStyle w:val="TableBodyText"/>
                  </w:pPr>
                  <w:r>
                    <w:t>0.8</w:t>
                  </w:r>
                </w:p>
              </w:tc>
              <w:tc>
                <w:tcPr>
                  <w:tcW w:w="1250" w:type="pct"/>
                  <w:tcBorders>
                    <w:bottom w:val="single" w:sz="6" w:space="0" w:color="BFBFBF"/>
                  </w:tcBorders>
                  <w:shd w:val="clear" w:color="auto" w:fill="auto"/>
                </w:tcPr>
                <w:p w14:paraId="60E1C8CE" w14:textId="77777777" w:rsidR="002B2A31" w:rsidRDefault="002B2A31" w:rsidP="00CC0374">
                  <w:pPr>
                    <w:pStyle w:val="TableBodyText"/>
                  </w:pPr>
                  <w:r>
                    <w:t>1.1</w:t>
                  </w:r>
                </w:p>
              </w:tc>
              <w:tc>
                <w:tcPr>
                  <w:tcW w:w="1249" w:type="pct"/>
                  <w:tcBorders>
                    <w:bottom w:val="single" w:sz="6" w:space="0" w:color="BFBFBF"/>
                  </w:tcBorders>
                  <w:shd w:val="clear" w:color="auto" w:fill="auto"/>
                </w:tcPr>
                <w:p w14:paraId="50E169F7" w14:textId="77777777" w:rsidR="002B2A31" w:rsidRDefault="002B2A31" w:rsidP="00CC0374">
                  <w:pPr>
                    <w:pStyle w:val="TableBodyText"/>
                    <w:ind w:right="28"/>
                  </w:pPr>
                  <w:r>
                    <w:noBreakHyphen/>
                    <w:t>0.3</w:t>
                  </w:r>
                </w:p>
              </w:tc>
            </w:tr>
          </w:tbl>
          <w:p w14:paraId="27577826" w14:textId="77777777" w:rsidR="002B2A31" w:rsidRDefault="002B2A31" w:rsidP="00CC0374">
            <w:pPr>
              <w:pStyle w:val="Box"/>
            </w:pPr>
          </w:p>
        </w:tc>
      </w:tr>
      <w:tr w:rsidR="002B2A31" w14:paraId="63665374" w14:textId="77777777" w:rsidTr="00CC0374">
        <w:tc>
          <w:tcPr>
            <w:tcW w:w="5000" w:type="pct"/>
            <w:tcBorders>
              <w:top w:val="nil"/>
              <w:left w:val="nil"/>
              <w:bottom w:val="nil"/>
              <w:right w:val="nil"/>
            </w:tcBorders>
            <w:shd w:val="clear" w:color="auto" w:fill="auto"/>
          </w:tcPr>
          <w:p w14:paraId="30450890" w14:textId="77777777" w:rsidR="002B2A31" w:rsidRDefault="002B2A31" w:rsidP="00CC0374">
            <w:pPr>
              <w:pStyle w:val="Source"/>
            </w:pPr>
            <w:r>
              <w:rPr>
                <w:i/>
              </w:rPr>
              <w:t>Sources</w:t>
            </w:r>
            <w:r w:rsidRPr="00167F06">
              <w:t>:</w:t>
            </w:r>
            <w:r>
              <w:t xml:space="preserve"> Commission estimates using data from</w:t>
            </w:r>
            <w:r w:rsidRPr="00167F06">
              <w:t xml:space="preserve"> </w:t>
            </w:r>
            <w:r>
              <w:t xml:space="preserve">ABS (2018, </w:t>
            </w:r>
            <w:r w:rsidRPr="002143D5">
              <w:rPr>
                <w:i/>
              </w:rPr>
              <w:t>Estimates of Industry Multifactor Productivity, 2017</w:t>
            </w:r>
            <w:r>
              <w:rPr>
                <w:i/>
              </w:rPr>
              <w:noBreakHyphen/>
            </w:r>
            <w:r w:rsidRPr="002143D5">
              <w:rPr>
                <w:i/>
              </w:rPr>
              <w:t>18</w:t>
            </w:r>
            <w:r>
              <w:t>, Cat. no. </w:t>
            </w:r>
            <w:r w:rsidRPr="002143D5">
              <w:t>5260.0.55.002</w:t>
            </w:r>
            <w:r>
              <w:t>, tables 1–19) and unpublished ABS data.</w:t>
            </w:r>
          </w:p>
        </w:tc>
      </w:tr>
      <w:tr w:rsidR="002B2A31" w14:paraId="76FB186E" w14:textId="77777777" w:rsidTr="00CC0374">
        <w:tc>
          <w:tcPr>
            <w:tcW w:w="5000" w:type="pct"/>
            <w:tcBorders>
              <w:top w:val="nil"/>
              <w:left w:val="nil"/>
              <w:bottom w:val="single" w:sz="6" w:space="0" w:color="78A22F"/>
              <w:right w:val="nil"/>
            </w:tcBorders>
            <w:shd w:val="clear" w:color="auto" w:fill="auto"/>
          </w:tcPr>
          <w:p w14:paraId="679C6C7E" w14:textId="77777777" w:rsidR="002B2A31" w:rsidRDefault="002B2A31" w:rsidP="00CC0374">
            <w:pPr>
              <w:pStyle w:val="Box"/>
              <w:spacing w:before="0" w:line="120" w:lineRule="exact"/>
            </w:pPr>
          </w:p>
        </w:tc>
      </w:tr>
      <w:tr w:rsidR="002B2A31" w:rsidRPr="000863A5" w14:paraId="054C0C42" w14:textId="77777777" w:rsidTr="00CC0374">
        <w:tc>
          <w:tcPr>
            <w:tcW w:w="5000" w:type="pct"/>
            <w:tcBorders>
              <w:top w:val="single" w:sz="6" w:space="0" w:color="78A22F"/>
              <w:left w:val="nil"/>
              <w:bottom w:val="nil"/>
              <w:right w:val="nil"/>
            </w:tcBorders>
          </w:tcPr>
          <w:p w14:paraId="19E51B11" w14:textId="77777777" w:rsidR="002B2A31" w:rsidRPr="00626D32" w:rsidRDefault="002B2A31" w:rsidP="00CC0374">
            <w:pPr>
              <w:pStyle w:val="BoxSpaceBelow"/>
            </w:pPr>
          </w:p>
        </w:tc>
      </w:tr>
    </w:tbl>
    <w:p w14:paraId="11286607" w14:textId="30736C18" w:rsidR="005170E2" w:rsidRDefault="002B2A31" w:rsidP="002B2A31">
      <w:pPr>
        <w:pStyle w:val="BodyText"/>
      </w:pPr>
      <w:r>
        <w:t>Third, slower labour productivity growth in three particular industries explains about 90 per cent of the overal</w:t>
      </w:r>
      <w:r w:rsidR="005170E2">
        <w:t>l productivity slowdown (figure</w:t>
      </w:r>
      <w:r>
        <w:t xml:space="preserve"> 8). </w:t>
      </w:r>
    </w:p>
    <w:p w14:paraId="45D41C5E" w14:textId="17311981" w:rsidR="005170E2" w:rsidRPr="005170E2" w:rsidRDefault="005170E2" w:rsidP="005170E2">
      <w:pPr>
        <w:pStyle w:val="ListBullet"/>
      </w:pPr>
      <w:r w:rsidRPr="005170E2">
        <w:t xml:space="preserve">Both the manufacturing industry, which is responsible for nearly half of the slowdown, and agriculture, which is responsible for almost a quarter, had much weaker productivity growth relative to earlier decades, as well as a falling share of the economy. This may </w:t>
      </w:r>
      <w:r w:rsidRPr="005170E2">
        <w:lastRenderedPageBreak/>
        <w:t>simply reflect the one off benefits of the increased competition that both industries were exposed to as Australia dismantled its trade barriers over the past 40 years. Alternatively, it could represent fewer recent technical discoveries that are applicable t</w:t>
      </w:r>
      <w:r w:rsidR="00072064">
        <w:t>o these industries (box </w:t>
      </w:r>
      <w:r w:rsidRPr="005170E2">
        <w:t xml:space="preserve">3 above). </w:t>
      </w:r>
    </w:p>
    <w:p w14:paraId="517EF27A" w14:textId="4D483672" w:rsidR="002B2A31" w:rsidRDefault="002B2A31" w:rsidP="005170E2">
      <w:pPr>
        <w:pStyle w:val="ListBullet"/>
      </w:pPr>
      <w:r>
        <w:t xml:space="preserve">Similarly, the electricity, gas, water and waste services industry, which was a target of microeconomic reforms through the 1980s and 1990s and made a strong contribution to labour productivity at that time, has since given up those gains and overall detracted from productivity growth during the period after 2005. The negative contribution of this industry, however, was partially offset by its increasing share of the workforce (even though this industry had mediocre </w:t>
      </w:r>
      <w:r w:rsidRPr="00A3336E">
        <w:rPr>
          <w:i/>
        </w:rPr>
        <w:t>growth</w:t>
      </w:r>
      <w:r>
        <w:t xml:space="preserve"> in productivity, it has a high </w:t>
      </w:r>
      <w:r>
        <w:rPr>
          <w:i/>
        </w:rPr>
        <w:t xml:space="preserve">level </w:t>
      </w:r>
      <w:r>
        <w:t xml:space="preserve">of productivity relative to other industries). </w:t>
      </w:r>
    </w:p>
    <w:p w14:paraId="0E291C7F" w14:textId="77777777" w:rsidR="002B2A31" w:rsidRDefault="002B2A31" w:rsidP="002B2A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6F41CC9A" w14:textId="77777777" w:rsidTr="00CC0374">
        <w:trPr>
          <w:tblHeader/>
        </w:trPr>
        <w:tc>
          <w:tcPr>
            <w:tcW w:w="5000" w:type="pct"/>
            <w:tcBorders>
              <w:top w:val="single" w:sz="6" w:space="0" w:color="78A22F"/>
              <w:left w:val="nil"/>
              <w:bottom w:val="nil"/>
              <w:right w:val="nil"/>
            </w:tcBorders>
            <w:shd w:val="clear" w:color="auto" w:fill="auto"/>
          </w:tcPr>
          <w:p w14:paraId="5A36F65F" w14:textId="2FCC5848" w:rsidR="002B2A31" w:rsidRDefault="002B2A31" w:rsidP="00CC0374">
            <w:pPr>
              <w:pStyle w:val="FigureTitle"/>
            </w:pPr>
            <w:r w:rsidRPr="00784A05">
              <w:rPr>
                <w:b w:val="0"/>
              </w:rPr>
              <w:t xml:space="preserve">Figure </w:t>
            </w:r>
            <w:r w:rsidR="00A73986">
              <w:rPr>
                <w:b w:val="0"/>
                <w:noProof/>
              </w:rPr>
              <w:t>8</w:t>
            </w:r>
            <w:r>
              <w:tab/>
              <w:t>Three industries explain most of the slowdown</w:t>
            </w:r>
          </w:p>
          <w:p w14:paraId="09968A3C" w14:textId="6ED76870" w:rsidR="002B2A31" w:rsidRPr="00176D3F" w:rsidRDefault="002B2A31" w:rsidP="005170E2">
            <w:pPr>
              <w:pStyle w:val="Subtitle"/>
            </w:pPr>
            <w:r>
              <w:t xml:space="preserve">Percentage point contribution of </w:t>
            </w:r>
            <w:r w:rsidR="005170E2">
              <w:t>select</w:t>
            </w:r>
            <w:r>
              <w:t xml:space="preserve"> industries to the labour productivity slowdown</w:t>
            </w:r>
          </w:p>
        </w:tc>
      </w:tr>
      <w:tr w:rsidR="002B2A31" w14:paraId="2D2E7EE6" w14:textId="77777777" w:rsidTr="00CC0374">
        <w:tc>
          <w:tcPr>
            <w:tcW w:w="5000" w:type="pct"/>
            <w:tcBorders>
              <w:top w:val="nil"/>
              <w:left w:val="nil"/>
              <w:bottom w:val="nil"/>
              <w:right w:val="nil"/>
            </w:tcBorders>
            <w:shd w:val="clear" w:color="auto" w:fill="auto"/>
            <w:tcMar>
              <w:top w:w="28" w:type="dxa"/>
              <w:bottom w:w="28" w:type="dxa"/>
            </w:tcMar>
          </w:tcPr>
          <w:p w14:paraId="34B209CB" w14:textId="26A1ADEA" w:rsidR="002B2A31" w:rsidRDefault="00CE621D" w:rsidP="00CE621D">
            <w:r w:rsidRPr="00CE621D">
              <w:rPr>
                <w:noProof/>
              </w:rPr>
              <w:drawing>
                <wp:inline distT="0" distB="0" distL="0" distR="0" wp14:anchorId="7347158F" wp14:editId="09130317">
                  <wp:extent cx="5362575" cy="3238500"/>
                  <wp:effectExtent l="0" t="0" r="9525" b="0"/>
                  <wp:docPr id="6" name="Picture 6" descr="Figure 8: This chart decomposes the post 2005 fall in the rate of growth in labour productivity in the market sector into the contributions from particular industries. It is found that three industries (Manufacturing, Agriculture and Utilities) explain 90% of the fall and that about half of this is due to manufacturing 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62575" cy="3238500"/>
                          </a:xfrm>
                          <a:prstGeom prst="rect">
                            <a:avLst/>
                          </a:prstGeom>
                          <a:noFill/>
                          <a:ln>
                            <a:noFill/>
                          </a:ln>
                        </pic:spPr>
                      </pic:pic>
                    </a:graphicData>
                  </a:graphic>
                </wp:inline>
              </w:drawing>
            </w:r>
          </w:p>
        </w:tc>
      </w:tr>
      <w:tr w:rsidR="002B2A31" w:rsidRPr="00176D3F" w14:paraId="4CB193B4" w14:textId="77777777" w:rsidTr="00CC0374">
        <w:tc>
          <w:tcPr>
            <w:tcW w:w="5000" w:type="pct"/>
            <w:tcBorders>
              <w:top w:val="nil"/>
              <w:left w:val="nil"/>
              <w:bottom w:val="nil"/>
              <w:right w:val="nil"/>
            </w:tcBorders>
            <w:shd w:val="clear" w:color="auto" w:fill="auto"/>
          </w:tcPr>
          <w:p w14:paraId="6BC70256" w14:textId="757A7D1E" w:rsidR="002B2A31" w:rsidRPr="00176D3F" w:rsidRDefault="002B2A31" w:rsidP="00354636">
            <w:pPr>
              <w:pStyle w:val="Source"/>
            </w:pPr>
            <w:r>
              <w:rPr>
                <w:i/>
              </w:rPr>
              <w:t>S</w:t>
            </w:r>
            <w:r w:rsidRPr="00784A05">
              <w:rPr>
                <w:i/>
              </w:rPr>
              <w:t>ource</w:t>
            </w:r>
            <w:r>
              <w:rPr>
                <w:i/>
              </w:rPr>
              <w:t>s</w:t>
            </w:r>
            <w:r w:rsidRPr="00176D3F">
              <w:t xml:space="preserve">: </w:t>
            </w:r>
            <w:r>
              <w:t>Commission estimates using data from</w:t>
            </w:r>
            <w:r w:rsidRPr="00167F06">
              <w:t xml:space="preserve"> </w:t>
            </w:r>
            <w:r>
              <w:t>ABS (201</w:t>
            </w:r>
            <w:r w:rsidR="00354636">
              <w:t>9</w:t>
            </w:r>
            <w:r>
              <w:t xml:space="preserve">, </w:t>
            </w:r>
            <w:r w:rsidRPr="002143D5">
              <w:rPr>
                <w:i/>
              </w:rPr>
              <w:t>Estimates of Industry Multifactor Productivity, 201</w:t>
            </w:r>
            <w:r w:rsidR="00694514">
              <w:rPr>
                <w:i/>
              </w:rPr>
              <w:t>8</w:t>
            </w:r>
            <w:r>
              <w:rPr>
                <w:i/>
              </w:rPr>
              <w:noBreakHyphen/>
            </w:r>
            <w:r w:rsidRPr="002143D5">
              <w:rPr>
                <w:i/>
              </w:rPr>
              <w:t>1</w:t>
            </w:r>
            <w:r w:rsidR="00694514">
              <w:rPr>
                <w:i/>
              </w:rPr>
              <w:t>9</w:t>
            </w:r>
            <w:r>
              <w:t>, Cat. no. </w:t>
            </w:r>
            <w:r w:rsidRPr="002143D5">
              <w:t>5260.0.55.002</w:t>
            </w:r>
            <w:r>
              <w:t>, tables 1–19) and unpublished ABS data.</w:t>
            </w:r>
          </w:p>
        </w:tc>
      </w:tr>
      <w:tr w:rsidR="002B2A31" w14:paraId="60D56F77" w14:textId="77777777" w:rsidTr="00CC0374">
        <w:tc>
          <w:tcPr>
            <w:tcW w:w="5000" w:type="pct"/>
            <w:tcBorders>
              <w:top w:val="nil"/>
              <w:left w:val="nil"/>
              <w:bottom w:val="single" w:sz="6" w:space="0" w:color="78A22F"/>
              <w:right w:val="nil"/>
            </w:tcBorders>
            <w:shd w:val="clear" w:color="auto" w:fill="auto"/>
          </w:tcPr>
          <w:p w14:paraId="537C40F9" w14:textId="77777777" w:rsidR="002B2A31" w:rsidRDefault="002B2A31" w:rsidP="00CC0374">
            <w:pPr>
              <w:pStyle w:val="Figurespace"/>
            </w:pPr>
          </w:p>
        </w:tc>
      </w:tr>
      <w:tr w:rsidR="002B2A31" w:rsidRPr="000863A5" w14:paraId="708DA900" w14:textId="77777777" w:rsidTr="00CC0374">
        <w:tc>
          <w:tcPr>
            <w:tcW w:w="5000" w:type="pct"/>
            <w:tcBorders>
              <w:top w:val="single" w:sz="6" w:space="0" w:color="78A22F"/>
              <w:left w:val="nil"/>
              <w:bottom w:val="nil"/>
              <w:right w:val="nil"/>
            </w:tcBorders>
          </w:tcPr>
          <w:p w14:paraId="77220E5B" w14:textId="77777777" w:rsidR="002B2A31" w:rsidRPr="00626D32" w:rsidRDefault="002B2A31" w:rsidP="00CC0374">
            <w:pPr>
              <w:pStyle w:val="BoxSpaceBelow"/>
            </w:pPr>
          </w:p>
        </w:tc>
      </w:tr>
    </w:tbl>
    <w:p w14:paraId="06EC64F4" w14:textId="77777777" w:rsidR="00D71837" w:rsidRPr="00150DA2" w:rsidRDefault="00D71837" w:rsidP="00150DA2">
      <w:pPr>
        <w:pStyle w:val="BodyText"/>
        <w:rPr>
          <w:noProof/>
        </w:rPr>
      </w:pPr>
      <w:r>
        <w:rPr>
          <w:noProof/>
        </w:rPr>
        <w:br w:type="page"/>
      </w:r>
    </w:p>
    <w:p w14:paraId="71FAFE9E" w14:textId="4B7A25EC" w:rsidR="002B2A31" w:rsidRDefault="00A73986" w:rsidP="003F777C">
      <w:pPr>
        <w:pStyle w:val="Heading2"/>
      </w:pPr>
      <w:bookmarkStart w:id="17" w:name="_Toc31978957"/>
      <w:r>
        <w:rPr>
          <w:noProof/>
        </w:rPr>
        <w:lastRenderedPageBreak/>
        <w:t>3</w:t>
      </w:r>
      <w:r w:rsidR="003F777C">
        <w:tab/>
      </w:r>
      <w:r w:rsidR="002B2A31">
        <w:t xml:space="preserve">Strong terms </w:t>
      </w:r>
      <w:r w:rsidR="003F777C">
        <w:t>of trade have allowed incomes t</w:t>
      </w:r>
      <w:r w:rsidR="002B2A31">
        <w:t>o</w:t>
      </w:r>
      <w:r w:rsidR="003F777C">
        <w:t xml:space="preserve"> o</w:t>
      </w:r>
      <w:r w:rsidR="002B2A31">
        <w:t>utgrow productivity over the past 20 years</w:t>
      </w:r>
      <w:bookmarkEnd w:id="17"/>
    </w:p>
    <w:p w14:paraId="4506F446" w14:textId="26002CD5" w:rsidR="002B2A31" w:rsidRDefault="002B2A31" w:rsidP="002B2A31">
      <w:pPr>
        <w:pStyle w:val="BodyText"/>
      </w:pPr>
      <w:r>
        <w:t>While labour productivity is the dominant long</w:t>
      </w:r>
      <w:r>
        <w:noBreakHyphen/>
        <w:t xml:space="preserve">term driver of incomes, the past two decades have seen </w:t>
      </w:r>
      <w:r w:rsidRPr="0009243A">
        <w:t xml:space="preserve">favourable changes in the world price of Australian exports </w:t>
      </w:r>
      <w:r>
        <w:t xml:space="preserve">compared with the price of Australian imports (the ratio of the two is referred to as the ‘terms of trade’). This has allowed Australia to sustain strong growth in incomes despite </w:t>
      </w:r>
      <w:r w:rsidR="00A44A45">
        <w:t>weak</w:t>
      </w:r>
      <w:r>
        <w:t xml:space="preserve"> productivity.</w:t>
      </w:r>
    </w:p>
    <w:p w14:paraId="5BE70F73" w14:textId="624CA0AA" w:rsidR="00C22DCC" w:rsidRDefault="00C22DCC" w:rsidP="00C22DCC">
      <w:pPr>
        <w:pStyle w:val="BodyText"/>
      </w:pPr>
      <w:r>
        <w:t xml:space="preserve">The </w:t>
      </w:r>
      <w:r w:rsidRPr="00881567">
        <w:rPr>
          <w:i/>
        </w:rPr>
        <w:t>direct</w:t>
      </w:r>
      <w:r>
        <w:t xml:space="preserve"> effect of the terms of trade on incomes is to increase the volume of goods Australians can consume (including imports) by selling what they produce. This is measured in the national accounts as ‘gross domestic income’ (GDI).</w:t>
      </w:r>
      <w:r w:rsidRPr="00B02EC2">
        <w:t xml:space="preserve"> </w:t>
      </w:r>
      <w:r>
        <w:t>However, Australia sourced significant amounts of capital from overseas to fund the enormous investment in the mining sector, so interest payments will flow overseas for some time. Similarly, Australia’s largest mining companies are about 80 per cent foreign owned</w:t>
      </w:r>
      <w:r>
        <w:rPr>
          <w:rStyle w:val="FootnoteReference"/>
        </w:rPr>
        <w:footnoteReference w:id="9"/>
      </w:r>
      <w:r>
        <w:t xml:space="preserve"> and, as such, most of the mining company profits made during the commodity price boom accrued to foreign shareholders. Now that many of these mines have become productive, it is likely more dividends will be paid and a larger portion of the terms of trade benefits will flow overseas </w:t>
      </w:r>
      <w:r w:rsidRPr="00B971AD">
        <w:rPr>
          <w:szCs w:val="24"/>
        </w:rPr>
        <w:t>(Gregory 2012, p. 192)</w:t>
      </w:r>
      <w:r>
        <w:t>.</w:t>
      </w:r>
    </w:p>
    <w:p w14:paraId="4C823BCE" w14:textId="5D678A49" w:rsidR="002B2A31" w:rsidRDefault="00C22DCC" w:rsidP="00C22DCC">
      <w:pPr>
        <w:pStyle w:val="BodyText"/>
      </w:pPr>
      <w:r>
        <w:t>The income of Australians (adjusted for foreign income outflows) is recorded in the national accounts as gross national income (GNI). So far, the direct benefits of the terms of trade boom to Australian incomes have been much larger than the indirect costs of foreign income outflows. While GDP per capita has grown 28 per cent since 2000, the terms of trade has caused GDI per capita to increase 42 per cent</w:t>
      </w:r>
      <w:r w:rsidR="007410C5">
        <w:t xml:space="preserve"> (figure </w:t>
      </w:r>
      <w:r>
        <w:t>9), while GNI per capita has grown by almost the same amount</w:t>
      </w:r>
      <w:r w:rsidR="00C94D3E">
        <w:t xml:space="preserve"> (the difference from GDI is so small it was omitted from the figure)</w:t>
      </w:r>
      <w:r>
        <w:t>, after adjusting for negligible foreign income outflows to date.</w:t>
      </w:r>
      <w:r w:rsidR="002B2A31">
        <w:t xml:space="preserve"> </w:t>
      </w:r>
    </w:p>
    <w:p w14:paraId="3B3D1F6F" w14:textId="77777777" w:rsidR="002B2A31" w:rsidRDefault="002B2A31" w:rsidP="002B2A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2A2AB3AD" w14:textId="77777777" w:rsidTr="00CC0374">
        <w:trPr>
          <w:tblHeader/>
        </w:trPr>
        <w:tc>
          <w:tcPr>
            <w:tcW w:w="5000" w:type="pct"/>
            <w:tcBorders>
              <w:top w:val="single" w:sz="6" w:space="0" w:color="78A22F"/>
              <w:left w:val="nil"/>
              <w:bottom w:val="nil"/>
              <w:right w:val="nil"/>
            </w:tcBorders>
            <w:shd w:val="clear" w:color="auto" w:fill="auto"/>
          </w:tcPr>
          <w:p w14:paraId="32EBB7BF" w14:textId="35025E88" w:rsidR="002B2A31" w:rsidRDefault="002B2A31" w:rsidP="00CC0374">
            <w:pPr>
              <w:pStyle w:val="FigureTitle"/>
            </w:pPr>
            <w:r w:rsidRPr="00784A05">
              <w:rPr>
                <w:b w:val="0"/>
              </w:rPr>
              <w:t xml:space="preserve">Figure </w:t>
            </w:r>
            <w:r w:rsidR="00A73986">
              <w:rPr>
                <w:b w:val="0"/>
                <w:noProof/>
              </w:rPr>
              <w:t>9</w:t>
            </w:r>
            <w:r>
              <w:tab/>
              <w:t>Strong terms of trade have increased the income from production</w:t>
            </w:r>
            <w:r w:rsidRPr="00290598">
              <w:rPr>
                <w:rStyle w:val="NoteLabel"/>
                <w:b/>
              </w:rPr>
              <w:t>a,b,c</w:t>
            </w:r>
          </w:p>
          <w:p w14:paraId="17F4ECBC" w14:textId="77777777" w:rsidR="002B2A31" w:rsidRPr="00176D3F" w:rsidRDefault="002B2A31" w:rsidP="00CC0374">
            <w:pPr>
              <w:pStyle w:val="Subtitle"/>
            </w:pPr>
            <w:r>
              <w:t>The effects of the terms of trade, labour utilisation and labour productivity on gross domestic income per capita</w:t>
            </w:r>
          </w:p>
        </w:tc>
      </w:tr>
      <w:tr w:rsidR="002B2A31" w14:paraId="5FF6840E" w14:textId="77777777" w:rsidTr="00CC037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2B2A31" w:rsidRPr="00B1465D" w14:paraId="66C1FC74" w14:textId="77777777" w:rsidTr="00CC0374">
              <w:trPr>
                <w:tblHeader/>
                <w:jc w:val="center"/>
              </w:trPr>
              <w:tc>
                <w:tcPr>
                  <w:tcW w:w="8504" w:type="dxa"/>
                  <w:tcBorders>
                    <w:top w:val="nil"/>
                    <w:bottom w:val="nil"/>
                  </w:tcBorders>
                </w:tcPr>
                <w:p w14:paraId="433BC359" w14:textId="69279DD3" w:rsidR="002B2A31" w:rsidRPr="00B1465D" w:rsidRDefault="00150DA2" w:rsidP="00CC0374">
                  <w:pPr>
                    <w:pStyle w:val="Figure"/>
                    <w:spacing w:before="60" w:after="60"/>
                    <w:rPr>
                      <w:rFonts w:ascii="Arial" w:hAnsi="Arial" w:cs="Arial"/>
                      <w:sz w:val="18"/>
                      <w:szCs w:val="18"/>
                    </w:rPr>
                  </w:pPr>
                  <w:r w:rsidRPr="00150DA2">
                    <w:rPr>
                      <w:rFonts w:ascii="Arial" w:hAnsi="Arial" w:cs="Arial"/>
                      <w:noProof/>
                      <w:sz w:val="18"/>
                      <w:szCs w:val="18"/>
                    </w:rPr>
                    <w:drawing>
                      <wp:inline distT="0" distB="0" distL="0" distR="0" wp14:anchorId="5F4EDA47" wp14:editId="7716D636">
                        <wp:extent cx="5328000" cy="3352323"/>
                        <wp:effectExtent l="0" t="0" r="6350" b="635"/>
                        <wp:docPr id="26" name="Picture 26" descr="This chart displays the effect of terms of trade and labour utilisation in increasing GDP per capita far above improvements in labour productivity. It can be seen that the terms of trade in particular explains almost all of the 14 percentage point difference in growth between Gross Domestic Income and Gross Domestic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28000" cy="3352323"/>
                                </a:xfrm>
                                <a:prstGeom prst="rect">
                                  <a:avLst/>
                                </a:prstGeom>
                                <a:noFill/>
                                <a:ln>
                                  <a:noFill/>
                                </a:ln>
                              </pic:spPr>
                            </pic:pic>
                          </a:graphicData>
                        </a:graphic>
                      </wp:inline>
                    </w:drawing>
                  </w:r>
                </w:p>
              </w:tc>
            </w:tr>
          </w:tbl>
          <w:p w14:paraId="3AFEE727" w14:textId="77777777" w:rsidR="002B2A31" w:rsidRDefault="002B2A31" w:rsidP="00CC0374">
            <w:pPr>
              <w:pStyle w:val="Figure"/>
            </w:pPr>
          </w:p>
        </w:tc>
      </w:tr>
      <w:tr w:rsidR="002B2A31" w:rsidRPr="00176D3F" w14:paraId="7D468FDA" w14:textId="77777777" w:rsidTr="00CC0374">
        <w:tc>
          <w:tcPr>
            <w:tcW w:w="5000" w:type="pct"/>
            <w:tcBorders>
              <w:top w:val="nil"/>
              <w:left w:val="nil"/>
              <w:bottom w:val="nil"/>
              <w:right w:val="nil"/>
            </w:tcBorders>
            <w:shd w:val="clear" w:color="auto" w:fill="auto"/>
          </w:tcPr>
          <w:p w14:paraId="0F34F278" w14:textId="77777777" w:rsidR="002B2A31" w:rsidRPr="00176D3F" w:rsidRDefault="002B2A31" w:rsidP="00CC0374">
            <w:pPr>
              <w:pStyle w:val="Note"/>
            </w:pPr>
            <w:r>
              <w:rPr>
                <w:rStyle w:val="NoteLabel"/>
              </w:rPr>
              <w:t>a</w:t>
            </w:r>
            <w:r>
              <w:t xml:space="preserve"> The effect of the terms of trade is approximated as the difference between growth in gross domestic product per capita and gross domestic income per capita. </w:t>
            </w:r>
            <w:r>
              <w:rPr>
                <w:rStyle w:val="NoteLabel"/>
              </w:rPr>
              <w:t>b</w:t>
            </w:r>
            <w:r>
              <w:t xml:space="preserve"> The effect of labour utilisation is approximated by the difference between the growth in GDP per capita and labour productivity. </w:t>
            </w:r>
            <w:r w:rsidRPr="00797042">
              <w:rPr>
                <w:rStyle w:val="NoteLabel"/>
              </w:rPr>
              <w:t>c</w:t>
            </w:r>
            <w:r>
              <w:t xml:space="preserve"> The effect of net foreign income flows is approximated by the difference between the growth rate of gross national income per capita and gross domestic income per capita. </w:t>
            </w:r>
          </w:p>
        </w:tc>
      </w:tr>
      <w:tr w:rsidR="002B2A31" w:rsidRPr="00176D3F" w14:paraId="63DE2587" w14:textId="77777777" w:rsidTr="00CC0374">
        <w:tc>
          <w:tcPr>
            <w:tcW w:w="5000" w:type="pct"/>
            <w:tcBorders>
              <w:top w:val="nil"/>
              <w:left w:val="nil"/>
              <w:bottom w:val="nil"/>
              <w:right w:val="nil"/>
            </w:tcBorders>
            <w:shd w:val="clear" w:color="auto" w:fill="auto"/>
          </w:tcPr>
          <w:p w14:paraId="1709891F" w14:textId="77777777" w:rsidR="002B2A31" w:rsidRPr="00176D3F" w:rsidRDefault="002B2A31" w:rsidP="00CC0374">
            <w:pPr>
              <w:pStyle w:val="Source"/>
            </w:pPr>
            <w:r>
              <w:rPr>
                <w:i/>
              </w:rPr>
              <w:t>S</w:t>
            </w:r>
            <w:r w:rsidRPr="00784A05">
              <w:rPr>
                <w:i/>
              </w:rPr>
              <w:t>ource</w:t>
            </w:r>
            <w:r w:rsidRPr="00176D3F">
              <w:t xml:space="preserve">: </w:t>
            </w:r>
            <w:r>
              <w:t xml:space="preserve">ABS (2019, </w:t>
            </w:r>
            <w:r>
              <w:rPr>
                <w:i/>
              </w:rPr>
              <w:t>Australian System of National Accounts, 2018</w:t>
            </w:r>
            <w:r>
              <w:rPr>
                <w:i/>
              </w:rPr>
              <w:noBreakHyphen/>
              <w:t>19</w:t>
            </w:r>
            <w:r>
              <w:t>, Cat. no. 5204.0).</w:t>
            </w:r>
          </w:p>
        </w:tc>
      </w:tr>
      <w:tr w:rsidR="002B2A31" w14:paraId="68CC73E5" w14:textId="77777777" w:rsidTr="00CC0374">
        <w:tc>
          <w:tcPr>
            <w:tcW w:w="5000" w:type="pct"/>
            <w:tcBorders>
              <w:top w:val="nil"/>
              <w:left w:val="nil"/>
              <w:bottom w:val="single" w:sz="6" w:space="0" w:color="78A22F"/>
              <w:right w:val="nil"/>
            </w:tcBorders>
            <w:shd w:val="clear" w:color="auto" w:fill="auto"/>
          </w:tcPr>
          <w:p w14:paraId="5C529FE1" w14:textId="77777777" w:rsidR="002B2A31" w:rsidRDefault="002B2A31" w:rsidP="00CC0374">
            <w:pPr>
              <w:pStyle w:val="Figurespace"/>
            </w:pPr>
          </w:p>
        </w:tc>
      </w:tr>
      <w:tr w:rsidR="002B2A31" w:rsidRPr="000863A5" w14:paraId="06191F61" w14:textId="77777777" w:rsidTr="00CC0374">
        <w:tc>
          <w:tcPr>
            <w:tcW w:w="5000" w:type="pct"/>
            <w:tcBorders>
              <w:top w:val="single" w:sz="6" w:space="0" w:color="78A22F"/>
              <w:left w:val="nil"/>
              <w:bottom w:val="nil"/>
              <w:right w:val="nil"/>
            </w:tcBorders>
          </w:tcPr>
          <w:p w14:paraId="06870D62" w14:textId="77777777" w:rsidR="002B2A31" w:rsidRPr="00626D32" w:rsidRDefault="002B2A31" w:rsidP="00CC0374">
            <w:pPr>
              <w:pStyle w:val="BoxSpaceBelow"/>
            </w:pPr>
          </w:p>
        </w:tc>
      </w:tr>
    </w:tbl>
    <w:p w14:paraId="0CD57740" w14:textId="77777777" w:rsidR="002B2A31" w:rsidRDefault="002B2A31" w:rsidP="002B2A31">
      <w:pPr>
        <w:pStyle w:val="Heading3"/>
      </w:pPr>
      <w:r>
        <w:t>Wage growth has stagnated since 2012</w:t>
      </w:r>
      <w:r>
        <w:noBreakHyphen/>
        <w:t>13 …</w:t>
      </w:r>
    </w:p>
    <w:p w14:paraId="744C8FC3" w14:textId="77777777" w:rsidR="002B2A31" w:rsidRDefault="002B2A31" w:rsidP="002B2A31">
      <w:pPr>
        <w:pStyle w:val="BodyText"/>
      </w:pPr>
      <w:r>
        <w:t>During the mining boom, wage growth outpaced labour productivity by a significant margin until about 2012</w:t>
      </w:r>
      <w:r>
        <w:noBreakHyphen/>
        <w:t>13. Since this time, wage growth has stagnated, despite labour productivity continuing to grow (figures 10). Numerous explanations have emerged for this ‘wage growth puzzle’, with answers ranging from too little labour market dynamism to too much casualisation, part</w:t>
      </w:r>
      <w:r>
        <w:noBreakHyphen/>
        <w:t xml:space="preserve">time work and job insecurity (box 4). </w:t>
      </w:r>
    </w:p>
    <w:p w14:paraId="383430EA" w14:textId="65549B4B" w:rsidR="002B2A31" w:rsidRDefault="002B2A31" w:rsidP="002B2A31">
      <w:pPr>
        <w:pStyle w:val="BodyText"/>
      </w:pPr>
      <w:r>
        <w:t xml:space="preserve">The Commission has previously noted </w:t>
      </w:r>
      <w:r w:rsidR="00C3373E" w:rsidRPr="00C3373E">
        <w:rPr>
          <w:szCs w:val="24"/>
        </w:rPr>
        <w:t>(PC 2019)</w:t>
      </w:r>
      <w:r>
        <w:t xml:space="preserve"> that part of the problem is one of framing — from the employer’s perspective, the wage cost of employees has continued to grow broadly in line with labour productivity throughout the period. During the mining boom, much of the benefit of a higher exchange rate was, desirably, passed through to workers as higher purchasing power. But as the commodity price boom has </w:t>
      </w:r>
      <w:r w:rsidR="00E70586">
        <w:t>dissipated</w:t>
      </w:r>
      <w:r>
        <w:t xml:space="preserve"> and the exchange rate has fallen, much of the effect has</w:t>
      </w:r>
      <w:r w:rsidR="00D11239">
        <w:t xml:space="preserve"> </w:t>
      </w:r>
      <w:r w:rsidR="00F73C8D">
        <w:t>similarly</w:t>
      </w:r>
      <w:r>
        <w:t xml:space="preserve"> passed through to consumers as slower growth in the purchasing power of their wages. </w:t>
      </w:r>
    </w:p>
    <w:p w14:paraId="45454B43" w14:textId="77777777" w:rsidR="002B2A31" w:rsidRDefault="002B2A31" w:rsidP="002B2A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3E5B5FAA" w14:textId="77777777" w:rsidTr="00CC0374">
        <w:trPr>
          <w:tblHeader/>
        </w:trPr>
        <w:tc>
          <w:tcPr>
            <w:tcW w:w="5000" w:type="pct"/>
            <w:tcBorders>
              <w:top w:val="single" w:sz="6" w:space="0" w:color="78A22F"/>
              <w:left w:val="nil"/>
              <w:bottom w:val="nil"/>
              <w:right w:val="nil"/>
            </w:tcBorders>
            <w:shd w:val="clear" w:color="auto" w:fill="auto"/>
          </w:tcPr>
          <w:p w14:paraId="0E652368" w14:textId="08ADF55B" w:rsidR="002B2A31" w:rsidRPr="00EF685B" w:rsidRDefault="002B2A31" w:rsidP="00CC0374">
            <w:pPr>
              <w:pStyle w:val="FigureTitle"/>
              <w:rPr>
                <w:spacing w:val="-4"/>
              </w:rPr>
            </w:pPr>
            <w:r w:rsidRPr="00784A05">
              <w:rPr>
                <w:b w:val="0"/>
              </w:rPr>
              <w:t xml:space="preserve">Figure </w:t>
            </w:r>
            <w:r w:rsidR="00A73986">
              <w:rPr>
                <w:b w:val="0"/>
                <w:noProof/>
              </w:rPr>
              <w:t>10</w:t>
            </w:r>
            <w:r>
              <w:tab/>
            </w:r>
            <w:r w:rsidR="00E246C4" w:rsidRPr="00EF685B">
              <w:rPr>
                <w:spacing w:val="-4"/>
              </w:rPr>
              <w:t>The degree of stagnation depends on how you measure wages</w:t>
            </w:r>
          </w:p>
          <w:p w14:paraId="590C0CFE" w14:textId="4100B4EC" w:rsidR="002B2A31" w:rsidRPr="00176D3F" w:rsidRDefault="002B2A31" w:rsidP="00D96B9B">
            <w:pPr>
              <w:pStyle w:val="Subtitle"/>
            </w:pPr>
            <w:r>
              <w:t>Labour productivity, consumer and producer wages</w:t>
            </w:r>
            <w:r>
              <w:rPr>
                <w:rStyle w:val="NoteLabel"/>
              </w:rPr>
              <w:t>a</w:t>
            </w:r>
            <w:r>
              <w:t xml:space="preserve"> from 1959</w:t>
            </w:r>
            <w:r>
              <w:noBreakHyphen/>
              <w:t>60 to 201</w:t>
            </w:r>
            <w:r w:rsidR="008173D3">
              <w:t>7</w:t>
            </w:r>
            <w:r>
              <w:noBreakHyphen/>
              <w:t>1</w:t>
            </w:r>
            <w:r w:rsidR="00D96B9B">
              <w:t>8</w:t>
            </w:r>
          </w:p>
        </w:tc>
      </w:tr>
      <w:tr w:rsidR="002B2A31" w14:paraId="206D1847" w14:textId="77777777" w:rsidTr="00CC037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2B2A31" w:rsidRPr="00B1465D" w14:paraId="72B00F5B" w14:textId="77777777" w:rsidTr="00CC0374">
              <w:trPr>
                <w:tblHeader/>
                <w:jc w:val="center"/>
              </w:trPr>
              <w:tc>
                <w:tcPr>
                  <w:tcW w:w="5000" w:type="pct"/>
                  <w:tcBorders>
                    <w:top w:val="nil"/>
                    <w:bottom w:val="nil"/>
                  </w:tcBorders>
                </w:tcPr>
                <w:p w14:paraId="5271CC1B" w14:textId="6559D85D" w:rsidR="002B2A31" w:rsidRPr="00B1465D" w:rsidRDefault="00EF685B" w:rsidP="00CC0374">
                  <w:pPr>
                    <w:pStyle w:val="Figure"/>
                    <w:spacing w:before="60" w:after="60"/>
                    <w:rPr>
                      <w:rFonts w:ascii="Arial" w:hAnsi="Arial" w:cs="Arial"/>
                      <w:sz w:val="18"/>
                      <w:szCs w:val="18"/>
                    </w:rPr>
                  </w:pPr>
                  <w:r w:rsidRPr="00EF685B">
                    <w:rPr>
                      <w:rFonts w:ascii="Arial" w:hAnsi="Arial" w:cs="Arial"/>
                      <w:noProof/>
                      <w:sz w:val="18"/>
                      <w:szCs w:val="18"/>
                    </w:rPr>
                    <w:drawing>
                      <wp:inline distT="0" distB="0" distL="0" distR="0" wp14:anchorId="262A0B23" wp14:editId="226087C4">
                        <wp:extent cx="5400000" cy="4336113"/>
                        <wp:effectExtent l="0" t="0" r="0" b="7620"/>
                        <wp:docPr id="17" name="Picture 17" descr="Figure 10: This chart displays the different that choice of price deflator makes in measuring wage growth between 2000 and 2019. It can be seen that when nominal wages are deflated by producer prices (proxied by the GDP deflator) they move broadly in the same direction but not always in step with wages that are deflated by consumer prices (the consumer price index). Real labour productivity is also shown for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0000" cy="4336113"/>
                                </a:xfrm>
                                <a:prstGeom prst="rect">
                                  <a:avLst/>
                                </a:prstGeom>
                                <a:noFill/>
                                <a:ln>
                                  <a:noFill/>
                                </a:ln>
                              </pic:spPr>
                            </pic:pic>
                          </a:graphicData>
                        </a:graphic>
                      </wp:inline>
                    </w:drawing>
                  </w:r>
                </w:p>
              </w:tc>
            </w:tr>
          </w:tbl>
          <w:p w14:paraId="674A174F" w14:textId="77777777" w:rsidR="002B2A31" w:rsidRDefault="002B2A31" w:rsidP="00CC0374">
            <w:pPr>
              <w:pStyle w:val="Figure"/>
            </w:pPr>
          </w:p>
        </w:tc>
      </w:tr>
      <w:tr w:rsidR="002B2A31" w:rsidRPr="00176D3F" w14:paraId="55AFCFA3" w14:textId="77777777" w:rsidTr="00CC0374">
        <w:tc>
          <w:tcPr>
            <w:tcW w:w="5000" w:type="pct"/>
            <w:tcBorders>
              <w:top w:val="nil"/>
              <w:left w:val="nil"/>
              <w:bottom w:val="nil"/>
              <w:right w:val="nil"/>
            </w:tcBorders>
            <w:shd w:val="clear" w:color="auto" w:fill="auto"/>
          </w:tcPr>
          <w:p w14:paraId="144928D2" w14:textId="77777777" w:rsidR="002B2A31" w:rsidRPr="00176D3F" w:rsidRDefault="002B2A31" w:rsidP="00CC0374">
            <w:pPr>
              <w:pStyle w:val="Note"/>
            </w:pPr>
            <w:r>
              <w:rPr>
                <w:rStyle w:val="NoteLabel"/>
              </w:rPr>
              <w:t>a</w:t>
            </w:r>
            <w:r>
              <w:t xml:space="preserve"> Consumer wages are wage deflated by the Consumer Price Index, while Producer wages are wages deflated by the GDP Deflator (as a proxy for the Producer Price Index). Both wages comprise compensation of employees from the National Accounts, plus imputed labour income of the self</w:t>
            </w:r>
            <w:r>
              <w:noBreakHyphen/>
              <w:t>employed, calculated using the approach described in the data annex.</w:t>
            </w:r>
          </w:p>
        </w:tc>
      </w:tr>
      <w:tr w:rsidR="002B2A31" w:rsidRPr="00176D3F" w14:paraId="060E4518" w14:textId="77777777" w:rsidTr="00CC0374">
        <w:tc>
          <w:tcPr>
            <w:tcW w:w="5000" w:type="pct"/>
            <w:tcBorders>
              <w:top w:val="nil"/>
              <w:left w:val="nil"/>
              <w:bottom w:val="nil"/>
              <w:right w:val="nil"/>
            </w:tcBorders>
            <w:shd w:val="clear" w:color="auto" w:fill="auto"/>
          </w:tcPr>
          <w:p w14:paraId="54BD87C4" w14:textId="5A225F0A" w:rsidR="002B2A31" w:rsidRPr="00176D3F" w:rsidRDefault="002B2A31" w:rsidP="00D96B9B">
            <w:pPr>
              <w:pStyle w:val="Source"/>
            </w:pPr>
            <w:r>
              <w:rPr>
                <w:i/>
              </w:rPr>
              <w:t>S</w:t>
            </w:r>
            <w:r w:rsidRPr="00784A05">
              <w:rPr>
                <w:i/>
              </w:rPr>
              <w:t>ource</w:t>
            </w:r>
            <w:r>
              <w:rPr>
                <w:i/>
              </w:rPr>
              <w:t>s</w:t>
            </w:r>
            <w:r w:rsidRPr="00176D3F">
              <w:t xml:space="preserve">: </w:t>
            </w:r>
            <w:r>
              <w:t xml:space="preserve">Commission estimates </w:t>
            </w:r>
            <w:r w:rsidR="00640657">
              <w:t>using data from</w:t>
            </w:r>
            <w:r>
              <w:t xml:space="preserve"> ABS (201</w:t>
            </w:r>
            <w:r w:rsidR="00D96B9B">
              <w:t>9</w:t>
            </w:r>
            <w:r>
              <w:t xml:space="preserve">, </w:t>
            </w:r>
            <w:r w:rsidRPr="002143D5">
              <w:rPr>
                <w:i/>
              </w:rPr>
              <w:t>Estimates of Industry Multifactor Productivity, 201</w:t>
            </w:r>
            <w:r w:rsidR="00D96B9B">
              <w:rPr>
                <w:i/>
              </w:rPr>
              <w:t>8</w:t>
            </w:r>
            <w:r>
              <w:rPr>
                <w:i/>
              </w:rPr>
              <w:noBreakHyphen/>
            </w:r>
            <w:r w:rsidRPr="002143D5">
              <w:rPr>
                <w:i/>
              </w:rPr>
              <w:t>1</w:t>
            </w:r>
            <w:r w:rsidR="00D96B9B">
              <w:rPr>
                <w:i/>
              </w:rPr>
              <w:t>9</w:t>
            </w:r>
            <w:r>
              <w:t>, Cat. no. </w:t>
            </w:r>
            <w:r w:rsidRPr="002143D5">
              <w:t>5260.0.55.002</w:t>
            </w:r>
            <w:r>
              <w:t>, tables 1</w:t>
            </w:r>
            <w:r>
              <w:noBreakHyphen/>
              <w:t>19) and unpublished ABS data.</w:t>
            </w:r>
          </w:p>
        </w:tc>
      </w:tr>
      <w:tr w:rsidR="002B2A31" w14:paraId="2252E2FB" w14:textId="77777777" w:rsidTr="00CC0374">
        <w:tc>
          <w:tcPr>
            <w:tcW w:w="5000" w:type="pct"/>
            <w:tcBorders>
              <w:top w:val="nil"/>
              <w:left w:val="nil"/>
              <w:bottom w:val="single" w:sz="6" w:space="0" w:color="78A22F"/>
              <w:right w:val="nil"/>
            </w:tcBorders>
            <w:shd w:val="clear" w:color="auto" w:fill="auto"/>
          </w:tcPr>
          <w:p w14:paraId="6C7D69DB" w14:textId="77777777" w:rsidR="002B2A31" w:rsidRDefault="002B2A31" w:rsidP="00CC0374">
            <w:pPr>
              <w:pStyle w:val="Figurespace"/>
            </w:pPr>
          </w:p>
        </w:tc>
      </w:tr>
      <w:tr w:rsidR="002B2A31" w:rsidRPr="000863A5" w14:paraId="3B08EFB7" w14:textId="77777777" w:rsidTr="00CC0374">
        <w:tc>
          <w:tcPr>
            <w:tcW w:w="5000" w:type="pct"/>
            <w:tcBorders>
              <w:top w:val="single" w:sz="6" w:space="0" w:color="78A22F"/>
              <w:left w:val="nil"/>
              <w:bottom w:val="nil"/>
              <w:right w:val="nil"/>
            </w:tcBorders>
          </w:tcPr>
          <w:p w14:paraId="60DA8ABA" w14:textId="77777777" w:rsidR="002B2A31" w:rsidRPr="00626D32" w:rsidRDefault="002B2A31" w:rsidP="00CC0374">
            <w:pPr>
              <w:pStyle w:val="BoxSpaceBelow"/>
            </w:pPr>
          </w:p>
        </w:tc>
      </w:tr>
    </w:tbl>
    <w:p w14:paraId="60E119C4" w14:textId="77777777" w:rsidR="002B2A31" w:rsidRDefault="002B2A31" w:rsidP="002B2A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2A17739A" w14:textId="77777777" w:rsidTr="00CC0374">
        <w:trPr>
          <w:tblHeader/>
        </w:trPr>
        <w:tc>
          <w:tcPr>
            <w:tcW w:w="5000" w:type="pct"/>
            <w:tcBorders>
              <w:top w:val="single" w:sz="6" w:space="0" w:color="78A22F"/>
              <w:left w:val="nil"/>
              <w:bottom w:val="nil"/>
              <w:right w:val="nil"/>
            </w:tcBorders>
            <w:shd w:val="clear" w:color="auto" w:fill="F2F2F2"/>
          </w:tcPr>
          <w:p w14:paraId="36A66FB0" w14:textId="77777777" w:rsidR="002B2A31" w:rsidRPr="00B679F8" w:rsidRDefault="002B2A31" w:rsidP="00CC0374">
            <w:pPr>
              <w:pStyle w:val="BoxTitle"/>
            </w:pPr>
            <w:r>
              <w:rPr>
                <w:b w:val="0"/>
              </w:rPr>
              <w:t>Box 4</w:t>
            </w:r>
            <w:r>
              <w:tab/>
              <w:t>Other explanations for the recent wage stagnation</w:t>
            </w:r>
          </w:p>
        </w:tc>
      </w:tr>
      <w:tr w:rsidR="002B2A31" w14:paraId="1784DA1C" w14:textId="77777777" w:rsidTr="00CC0374">
        <w:tc>
          <w:tcPr>
            <w:tcW w:w="5000" w:type="pct"/>
            <w:tcBorders>
              <w:top w:val="nil"/>
              <w:left w:val="nil"/>
              <w:bottom w:val="nil"/>
              <w:right w:val="nil"/>
            </w:tcBorders>
            <w:shd w:val="clear" w:color="auto" w:fill="F2F2F2"/>
          </w:tcPr>
          <w:p w14:paraId="60BAAB6B" w14:textId="6907023A" w:rsidR="002B2A31" w:rsidRDefault="002B2A31" w:rsidP="00CC0374">
            <w:pPr>
              <w:pStyle w:val="Box"/>
            </w:pPr>
            <w:r>
              <w:t xml:space="preserve">Last year’s </w:t>
            </w:r>
            <w:r w:rsidRPr="002F77C2">
              <w:rPr>
                <w:i/>
              </w:rPr>
              <w:t>PC Productivity Bulletin</w:t>
            </w:r>
            <w:r>
              <w:t xml:space="preserve"> presented an overview of the Australian literature on the wage slowdown. </w:t>
            </w:r>
            <w:r w:rsidR="0028167F">
              <w:t>That</w:t>
            </w:r>
            <w:r>
              <w:t xml:space="preserve"> overview is reiterated here with some updates: </w:t>
            </w:r>
          </w:p>
          <w:p w14:paraId="744F04DB" w14:textId="1F2136C6" w:rsidR="002B2A31" w:rsidRDefault="0028167F" w:rsidP="00CC0374">
            <w:pPr>
              <w:pStyle w:val="BoxListBullet"/>
            </w:pPr>
            <w:r>
              <w:t>S</w:t>
            </w:r>
            <w:r w:rsidR="002B2A31">
              <w:t xml:space="preserve">pare capacity in the labour market </w:t>
            </w:r>
            <w:r w:rsidR="002B2A31" w:rsidRPr="00DA27ED">
              <w:rPr>
                <w:rFonts w:cs="Arial"/>
                <w:szCs w:val="24"/>
              </w:rPr>
              <w:t>(Heath 2018; Jacobs and Rush 2015; Lowe 2018a; Treasury 2017)</w:t>
            </w:r>
            <w:r w:rsidR="002B2A31">
              <w:t xml:space="preserve">, particularly given that the gap between the unemployment and underemployment rate (which used to be positive) has become negative since 2002 and has widened in the more recent period from November 2013 </w:t>
            </w:r>
            <w:r w:rsidR="002B2A31" w:rsidRPr="00516D55">
              <w:rPr>
                <w:rFonts w:cs="Arial"/>
                <w:szCs w:val="24"/>
              </w:rPr>
              <w:t>(ABS 2019f)</w:t>
            </w:r>
            <w:r w:rsidR="002B2A31">
              <w:t xml:space="preserve">. However, overall underutilisation rates have kept steady since 2013, while labour force participation rates have been rising, suggestive of less discouraged workers and a tighter labour market. Total vacancies peaked at the end of 2018 (and were higher than any time over the last decade), before falling slightly in 2019 </w:t>
            </w:r>
            <w:r w:rsidR="002B2A31" w:rsidRPr="00516D55">
              <w:rPr>
                <w:rFonts w:cs="Arial"/>
                <w:szCs w:val="24"/>
              </w:rPr>
              <w:t>(ABS 2019e)</w:t>
            </w:r>
            <w:r w:rsidR="002B2A31">
              <w:t xml:space="preserve">. Nevertheless, it may be that the level of labour utilisation that creates wage pressures has shifted upwards, which would imply that increased aggregate demand could lift wage growth without raising inflation. The Reserve Bank of Australia has overestimated wages since 2011 because the historically stable relationships used for forecasts have broken down </w:t>
            </w:r>
            <w:r w:rsidR="002B2A31" w:rsidRPr="00607FC4">
              <w:rPr>
                <w:rFonts w:cs="Arial"/>
                <w:szCs w:val="24"/>
              </w:rPr>
              <w:t>(Cassidy 2019)</w:t>
            </w:r>
            <w:r>
              <w:t>.</w:t>
            </w:r>
          </w:p>
          <w:p w14:paraId="167A2F5C" w14:textId="72CEF3E0" w:rsidR="002B2A31" w:rsidRDefault="0028167F" w:rsidP="00CC0374">
            <w:pPr>
              <w:pStyle w:val="BoxListBullet"/>
            </w:pPr>
            <w:r>
              <w:t>D</w:t>
            </w:r>
            <w:r w:rsidR="002B2A31">
              <w:t>eclining inflationary expectations</w:t>
            </w:r>
            <w:r>
              <w:t>,</w:t>
            </w:r>
            <w:r w:rsidR="002B2A31">
              <w:t xml:space="preserve"> </w:t>
            </w:r>
            <w:r>
              <w:t>alt</w:t>
            </w:r>
            <w:r w:rsidR="002B2A31">
              <w:t xml:space="preserve">hough this seems unlikely to explain the full observed magnitude of real wage growth stagnation </w:t>
            </w:r>
            <w:r w:rsidR="002B2A31" w:rsidRPr="002E1DC9">
              <w:rPr>
                <w:rFonts w:cs="Arial"/>
                <w:szCs w:val="24"/>
              </w:rPr>
              <w:t>(Jacobs and Rush 2015; Treasury 2017)</w:t>
            </w:r>
            <w:r>
              <w:t>.</w:t>
            </w:r>
          </w:p>
          <w:p w14:paraId="6877A22E" w14:textId="64DB659F" w:rsidR="002B2A31" w:rsidRDefault="0028167F" w:rsidP="00CC0374">
            <w:pPr>
              <w:pStyle w:val="BoxListBullet"/>
            </w:pPr>
            <w:r>
              <w:t>G</w:t>
            </w:r>
            <w:r w:rsidR="002B2A31">
              <w:t>lobalisation, increased import competition, outsourcing and a lower terms of trade putting pressure on firms to constrain costs</w:t>
            </w:r>
            <w:r>
              <w:t>, with</w:t>
            </w:r>
            <w:r w:rsidR="002B2A31">
              <w:t xml:space="preserve"> the need for the real exchange rate to adjust to improve international competitiveness of Australian firms</w:t>
            </w:r>
            <w:r w:rsidR="00F27134">
              <w:t xml:space="preserve"> </w:t>
            </w:r>
            <w:r w:rsidR="00F27134" w:rsidRPr="00F27134">
              <w:rPr>
                <w:rFonts w:cs="Arial"/>
                <w:szCs w:val="24"/>
              </w:rPr>
              <w:t>(Weir 2018)</w:t>
            </w:r>
            <w:r w:rsidR="00F27134">
              <w:t>.</w:t>
            </w:r>
            <w:r w:rsidR="002B2A31">
              <w:t xml:space="preserve"> </w:t>
            </w:r>
            <w:r w:rsidR="00F27134">
              <w:t>However,</w:t>
            </w:r>
            <w:r w:rsidR="002B2A31">
              <w:t xml:space="preserve"> these factors would need to be reconciled with stable or increasing business profitability</w:t>
            </w:r>
            <w:r>
              <w:t>.</w:t>
            </w:r>
          </w:p>
          <w:p w14:paraId="50959CAC" w14:textId="3A5456ED" w:rsidR="002B2A31" w:rsidRDefault="005E1254" w:rsidP="00CC0374">
            <w:pPr>
              <w:pStyle w:val="BoxListBullet"/>
            </w:pPr>
            <w:r>
              <w:t>S</w:t>
            </w:r>
            <w:r w:rsidR="002B2A31">
              <w:t xml:space="preserve">tructural change and increased employment in lower productivity activities. While this may be an </w:t>
            </w:r>
            <w:r w:rsidR="0028167F">
              <w:t>explanation</w:t>
            </w:r>
            <w:r w:rsidR="002B2A31">
              <w:t xml:space="preserve"> for longer</w:t>
            </w:r>
            <w:r w:rsidR="002B2A31">
              <w:noBreakHyphen/>
              <w:t>term slower wage growth, the recent decline in wage growth appears to be more a within</w:t>
            </w:r>
            <w:r w:rsidR="002B2A31">
              <w:noBreakHyphen/>
              <w:t>industry than between</w:t>
            </w:r>
            <w:r w:rsidR="002B2A31">
              <w:noBreakHyphen/>
              <w:t xml:space="preserve">industry outcome </w:t>
            </w:r>
            <w:r w:rsidR="002B2A31" w:rsidRPr="00F76CE2">
              <w:rPr>
                <w:rFonts w:cs="Arial"/>
                <w:szCs w:val="24"/>
              </w:rPr>
              <w:t>(Weir 2018)</w:t>
            </w:r>
            <w:r w:rsidR="002B2A31">
              <w:t xml:space="preserve">, which is not consistent with a standard structural change argument </w:t>
            </w:r>
            <w:r w:rsidR="002B2A31" w:rsidRPr="001651FA">
              <w:rPr>
                <w:rFonts w:cs="Arial"/>
                <w:szCs w:val="24"/>
              </w:rPr>
              <w:t>(Coelli and Borland 2016)</w:t>
            </w:r>
            <w:r w:rsidR="0028167F">
              <w:t>.</w:t>
            </w:r>
          </w:p>
          <w:p w14:paraId="16A843C9" w14:textId="7AEF09CB" w:rsidR="002B2A31" w:rsidRDefault="0028167F" w:rsidP="00CC0374">
            <w:pPr>
              <w:pStyle w:val="BoxListBullet"/>
            </w:pPr>
            <w:r>
              <w:t>T</w:t>
            </w:r>
            <w:r w:rsidR="002B2A31">
              <w:t xml:space="preserve">he large expansion in the number of immigrant workers, especially temporary migrants (including working students). The evidence to date does not suggest that this has played a major role </w:t>
            </w:r>
            <w:r w:rsidR="002B2A31" w:rsidRPr="0090117D">
              <w:rPr>
                <w:rFonts w:cs="Arial"/>
                <w:szCs w:val="24"/>
              </w:rPr>
              <w:t>(Brell and Dustmann 2019; Breunig, Deutscher and To 2017)</w:t>
            </w:r>
            <w:r>
              <w:t>.</w:t>
            </w:r>
          </w:p>
          <w:p w14:paraId="503D2C91" w14:textId="323463E7" w:rsidR="002B2A31" w:rsidRDefault="0028167F" w:rsidP="00CC0374">
            <w:pPr>
              <w:pStyle w:val="BoxListBullet"/>
            </w:pPr>
            <w:r>
              <w:t>I</w:t>
            </w:r>
            <w:r w:rsidR="002B2A31">
              <w:t>ncreasing casualisation of the workforce, part</w:t>
            </w:r>
            <w:r w:rsidR="002B2A31">
              <w:noBreakHyphen/>
              <w:t xml:space="preserve">time employment and job insecurity (whether actual or perceived) </w:t>
            </w:r>
            <w:r w:rsidR="002B2A31" w:rsidRPr="00DA27ED">
              <w:rPr>
                <w:rFonts w:cs="Arial"/>
                <w:szCs w:val="24"/>
              </w:rPr>
              <w:t>(Lowe 2018a; Treasury 2017; Weir 2018)</w:t>
            </w:r>
            <w:r w:rsidR="002B2A31">
              <w:t>. In fact, part</w:t>
            </w:r>
            <w:r w:rsidR="002B2A31">
              <w:noBreakHyphen/>
              <w:t xml:space="preserve">time employment trends aside, labour job tenure has increased, </w:t>
            </w:r>
            <w:r w:rsidR="00987122">
              <w:t>casualization and self</w:t>
            </w:r>
            <w:r w:rsidR="00987122">
              <w:noBreakHyphen/>
              <w:t>employment</w:t>
            </w:r>
            <w:r w:rsidR="002B2A31">
              <w:t xml:space="preserve"> rates are stable and perceptions of insecurity have fallen </w:t>
            </w:r>
            <w:r w:rsidR="002B2A31" w:rsidRPr="001651FA">
              <w:rPr>
                <w:rFonts w:cs="Arial"/>
                <w:szCs w:val="24"/>
              </w:rPr>
              <w:t>(Borland 2017; PC 2018, p. 91)</w:t>
            </w:r>
            <w:r w:rsidR="002B2A31">
              <w:t>. The trend in part</w:t>
            </w:r>
            <w:r w:rsidR="002B2A31">
              <w:noBreakHyphen/>
              <w:t>time work, while still broadly upwards, has slowed noticeably for the period from mid</w:t>
            </w:r>
            <w:r w:rsidR="002B2A31">
              <w:noBreakHyphen/>
              <w:t xml:space="preserve">2003 to February 2019. Econometric analysis does not find any impacts </w:t>
            </w:r>
            <w:r w:rsidR="002B2A31" w:rsidRPr="002E1DC9">
              <w:rPr>
                <w:rFonts w:cs="Arial"/>
                <w:szCs w:val="24"/>
              </w:rPr>
              <w:t>(Lass and Wooden 2019)</w:t>
            </w:r>
            <w:r>
              <w:t>.</w:t>
            </w:r>
          </w:p>
          <w:p w14:paraId="55E39981" w14:textId="68C63B62" w:rsidR="002B2A31" w:rsidRDefault="0028167F" w:rsidP="00196A42">
            <w:pPr>
              <w:pStyle w:val="BoxListBullet"/>
            </w:pPr>
            <w:r>
              <w:t>W</w:t>
            </w:r>
            <w:r w:rsidR="002B2A31">
              <w:t>eaker labour market dynamism as measured by slowing rates of job</w:t>
            </w:r>
            <w:r w:rsidR="002B2A31">
              <w:noBreakHyphen/>
              <w:t>to</w:t>
            </w:r>
            <w:r w:rsidR="002B2A31">
              <w:noBreakHyphen/>
              <w:t xml:space="preserve">job transition. Such transitions often reflect employee job changes to better use their skills (or acquire </w:t>
            </w:r>
            <w:r w:rsidR="00987122">
              <w:t>new ones</w:t>
            </w:r>
            <w:r w:rsidR="002B2A31">
              <w:t xml:space="preserve">) or the shift from lower to higher productivity firms, with associated wage increases. There is good evidence of wage pressures through this mechanism for the United States </w:t>
            </w:r>
            <w:r w:rsidR="002B2A31" w:rsidRPr="006509A4">
              <w:rPr>
                <w:rFonts w:cs="Arial"/>
                <w:szCs w:val="24"/>
              </w:rPr>
              <w:t>(Danninger 2016; Moscarini and Postel-Vinay 2017)</w:t>
            </w:r>
            <w:r w:rsidR="002B2A31">
              <w:t xml:space="preserve"> and some OECD countries </w:t>
            </w:r>
            <w:r w:rsidR="002B2A31" w:rsidRPr="006509A4">
              <w:rPr>
                <w:rFonts w:cs="Arial"/>
                <w:szCs w:val="24"/>
              </w:rPr>
              <w:t>(Engbom 2017)</w:t>
            </w:r>
            <w:r w:rsidR="002B2A31">
              <w:t xml:space="preserve">. However, ABS data suggest small changes in the share of people with less than 5 years tenure with businesses from 1972 to 2018, and no change since 1994 </w:t>
            </w:r>
            <w:r w:rsidR="002B2A31" w:rsidRPr="005234A0">
              <w:rPr>
                <w:rFonts w:cs="Arial"/>
                <w:szCs w:val="24"/>
              </w:rPr>
              <w:t>(ABS 2018b)</w:t>
            </w:r>
            <w:r w:rsidR="002B2A31">
              <w:t>. That said, the employer</w:t>
            </w:r>
            <w:r w:rsidR="002B2A31">
              <w:noBreakHyphen/>
              <w:t>to</w:t>
            </w:r>
            <w:r w:rsidR="002B2A31">
              <w:noBreakHyphen/>
              <w:t xml:space="preserve">employer transition rate did fall during the recent period of wage stagnation, while the frequency of wage changes in the economy has fallen, also consistent with the impact of lower transition rates </w:t>
            </w:r>
            <w:r w:rsidR="002B2A31" w:rsidRPr="00607FC4">
              <w:rPr>
                <w:rFonts w:cs="Arial"/>
                <w:szCs w:val="24"/>
              </w:rPr>
              <w:t>(Cassidy 2019)</w:t>
            </w:r>
            <w:r>
              <w:t>.</w:t>
            </w:r>
          </w:p>
        </w:tc>
      </w:tr>
      <w:tr w:rsidR="005E1254" w14:paraId="194D0FFD" w14:textId="77777777" w:rsidTr="00CC0374">
        <w:tc>
          <w:tcPr>
            <w:tcW w:w="5000" w:type="pct"/>
            <w:tcBorders>
              <w:top w:val="nil"/>
              <w:left w:val="nil"/>
              <w:bottom w:val="nil"/>
              <w:right w:val="nil"/>
            </w:tcBorders>
            <w:shd w:val="clear" w:color="auto" w:fill="F2F2F2"/>
          </w:tcPr>
          <w:p w14:paraId="66CE7435" w14:textId="05A52986" w:rsidR="005E1254" w:rsidRPr="005E1254" w:rsidRDefault="005E1254" w:rsidP="005E1254">
            <w:pPr>
              <w:pStyle w:val="BoxSource"/>
              <w:jc w:val="right"/>
            </w:pPr>
            <w:r>
              <w:t>(continued next page)</w:t>
            </w:r>
          </w:p>
        </w:tc>
      </w:tr>
      <w:tr w:rsidR="002B2A31" w14:paraId="2517C683" w14:textId="77777777" w:rsidTr="00CC0374">
        <w:tc>
          <w:tcPr>
            <w:tcW w:w="5000" w:type="pct"/>
            <w:tcBorders>
              <w:top w:val="nil"/>
              <w:left w:val="nil"/>
              <w:bottom w:val="single" w:sz="6" w:space="0" w:color="78A22F"/>
              <w:right w:val="nil"/>
            </w:tcBorders>
            <w:shd w:val="clear" w:color="auto" w:fill="F2F2F2"/>
          </w:tcPr>
          <w:p w14:paraId="5EB01B64" w14:textId="77777777" w:rsidR="002B2A31" w:rsidRDefault="002B2A31" w:rsidP="00CC0374">
            <w:pPr>
              <w:pStyle w:val="Box"/>
              <w:spacing w:before="0" w:line="120" w:lineRule="exact"/>
            </w:pPr>
          </w:p>
        </w:tc>
      </w:tr>
      <w:tr w:rsidR="002B2A31" w:rsidRPr="000863A5" w14:paraId="2CD10BFB" w14:textId="77777777" w:rsidTr="00CC0374">
        <w:tc>
          <w:tcPr>
            <w:tcW w:w="5000" w:type="pct"/>
            <w:tcBorders>
              <w:top w:val="single" w:sz="6" w:space="0" w:color="78A22F"/>
              <w:left w:val="nil"/>
              <w:bottom w:val="nil"/>
              <w:right w:val="nil"/>
            </w:tcBorders>
          </w:tcPr>
          <w:p w14:paraId="1C275ABF" w14:textId="77777777" w:rsidR="002B2A31" w:rsidRPr="00626D32" w:rsidRDefault="002B2A31" w:rsidP="00CC0374">
            <w:pPr>
              <w:pStyle w:val="BoxSpaceBelow"/>
            </w:pPr>
          </w:p>
        </w:tc>
      </w:tr>
    </w:tbl>
    <w:p w14:paraId="6AC577AB" w14:textId="77777777" w:rsidR="002B2A31" w:rsidRDefault="002B2A31" w:rsidP="002B2A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1987BF2F" w14:textId="77777777" w:rsidTr="00CC0374">
        <w:trPr>
          <w:tblHeader/>
        </w:trPr>
        <w:tc>
          <w:tcPr>
            <w:tcW w:w="5000" w:type="pct"/>
            <w:tcBorders>
              <w:top w:val="single" w:sz="6" w:space="0" w:color="78A22F"/>
              <w:left w:val="nil"/>
              <w:bottom w:val="nil"/>
              <w:right w:val="nil"/>
            </w:tcBorders>
            <w:shd w:val="clear" w:color="auto" w:fill="F2F2F2"/>
          </w:tcPr>
          <w:p w14:paraId="348CD302" w14:textId="77777777" w:rsidR="002B2A31" w:rsidRDefault="002B2A31" w:rsidP="00CC0374">
            <w:pPr>
              <w:pStyle w:val="BoxTitle"/>
            </w:pPr>
            <w:r>
              <w:rPr>
                <w:b w:val="0"/>
              </w:rPr>
              <w:t>Box 4</w:t>
            </w:r>
            <w:r>
              <w:tab/>
            </w:r>
            <w:r w:rsidRPr="005E1254">
              <w:rPr>
                <w:b w:val="0"/>
                <w:sz w:val="18"/>
                <w:szCs w:val="18"/>
              </w:rPr>
              <w:t>(continued)</w:t>
            </w:r>
          </w:p>
        </w:tc>
      </w:tr>
      <w:tr w:rsidR="002B2A31" w14:paraId="52A4EB4D" w14:textId="77777777" w:rsidTr="00CC0374">
        <w:tc>
          <w:tcPr>
            <w:tcW w:w="5000" w:type="pct"/>
            <w:tcBorders>
              <w:top w:val="nil"/>
              <w:left w:val="nil"/>
              <w:bottom w:val="nil"/>
              <w:right w:val="nil"/>
            </w:tcBorders>
            <w:shd w:val="clear" w:color="auto" w:fill="F2F2F2"/>
          </w:tcPr>
          <w:p w14:paraId="07BE1E2F" w14:textId="47DB3A24" w:rsidR="002B2A31" w:rsidRDefault="00F51762" w:rsidP="00CC0374">
            <w:pPr>
              <w:pStyle w:val="BoxListBullet"/>
            </w:pPr>
            <w:r>
              <w:t>C</w:t>
            </w:r>
            <w:r w:rsidR="002B2A31">
              <w:t xml:space="preserve">hanges to workplace relations laws that weaken employee bargaining and declining union membership </w:t>
            </w:r>
            <w:r w:rsidR="002B2A31" w:rsidRPr="00F76CE2">
              <w:rPr>
                <w:rFonts w:cs="Arial"/>
                <w:szCs w:val="24"/>
              </w:rPr>
              <w:t>(Weir 2018)</w:t>
            </w:r>
            <w:r w:rsidR="002B2A31">
              <w:t xml:space="preserve">. However, the union wage growth premium — an indication of union bargaining power — has not declined </w:t>
            </w:r>
            <w:r w:rsidR="002B2A31" w:rsidRPr="006509A4">
              <w:rPr>
                <w:rFonts w:cs="Arial"/>
                <w:szCs w:val="24"/>
              </w:rPr>
              <w:t>(Bishop and Chan 2019)</w:t>
            </w:r>
            <w:r w:rsidR="002B2A31">
              <w:t>. That finding would not rule out weaker bargaining power by workers generally — whether represented by unions or not</w:t>
            </w:r>
            <w:r w:rsidR="0028167F">
              <w:t>.</w:t>
            </w:r>
          </w:p>
          <w:p w14:paraId="239895B7" w14:textId="0E4D2468" w:rsidR="002B2A31" w:rsidRDefault="00F51762" w:rsidP="00CC0374">
            <w:pPr>
              <w:pStyle w:val="BoxListBullet"/>
            </w:pPr>
            <w:r>
              <w:t>C</w:t>
            </w:r>
            <w:r w:rsidR="002B2A31">
              <w:t>hanges in the quality and composition of labour services, suggested by the fact that the stagnation evident from the wage price index (which controls for these changes) is less than for other wage measures that do not</w:t>
            </w:r>
            <w:r w:rsidR="0028167F">
              <w:t>.</w:t>
            </w:r>
          </w:p>
          <w:p w14:paraId="2FB46081" w14:textId="4F3FB320" w:rsidR="002B2A31" w:rsidRDefault="00F51762" w:rsidP="00CC0374">
            <w:pPr>
              <w:pStyle w:val="BoxListBullet"/>
            </w:pPr>
            <w:r>
              <w:t>F</w:t>
            </w:r>
            <w:r w:rsidR="002B2A31">
              <w:t xml:space="preserve">alling usage of collective bargaining beginning about the same time as falling wage growth — the number of current federal enterprise agreements fell by 54 per cent between June 2012 and December 2018 </w:t>
            </w:r>
            <w:r w:rsidR="002B2A31" w:rsidRPr="00F76CE2">
              <w:rPr>
                <w:rFonts w:cs="Arial"/>
                <w:szCs w:val="24"/>
              </w:rPr>
              <w:t>(Gilfillan 2019)</w:t>
            </w:r>
            <w:r w:rsidR="00987122">
              <w:t>, alt</w:t>
            </w:r>
            <w:r w:rsidR="002B2A31">
              <w:t>hough this is only a correlation, with the ultimates causes being unclear.</w:t>
            </w:r>
          </w:p>
          <w:p w14:paraId="35E6F23B" w14:textId="2DB939ED" w:rsidR="002B2A31" w:rsidRDefault="002B2A31" w:rsidP="00CC0374">
            <w:pPr>
              <w:pStyle w:val="Box"/>
            </w:pPr>
            <w:r>
              <w:t xml:space="preserve">Other economies have also experienced an appreciable slowing in real wages growth over recent years </w:t>
            </w:r>
            <w:r w:rsidRPr="006509A4">
              <w:rPr>
                <w:rFonts w:cs="Arial"/>
                <w:szCs w:val="24"/>
              </w:rPr>
              <w:t>(OECD 2018)</w:t>
            </w:r>
            <w:r>
              <w:t>, though a (partly) shared pattern across countries does not imply a shared explanation. Nor should there be an expectation that one factor lies behind wage stagnation. For instance, adaptation of prices to the resources boom may be a part</w:t>
            </w:r>
            <w:r w:rsidR="00987122">
              <w:t>ial</w:t>
            </w:r>
            <w:r>
              <w:t xml:space="preserve"> explanation in the Australian context, but the boom may have masked other longer</w:t>
            </w:r>
            <w:r>
              <w:noBreakHyphen/>
              <w:t xml:space="preserve">run trends. As yet there is no consensus about the causes of the stagnation or its likely persistence. </w:t>
            </w:r>
          </w:p>
          <w:p w14:paraId="77E79234" w14:textId="77777777" w:rsidR="002B2A31" w:rsidRDefault="002B2A31" w:rsidP="00CC0374">
            <w:pPr>
              <w:pStyle w:val="Box"/>
            </w:pPr>
            <w:r>
              <w:t>While aggregate data of the kind described in this Insights Paper provides some insights, data obtained from longitudinal firm and employee</w:t>
            </w:r>
            <w:r>
              <w:noBreakHyphen/>
              <w:t>based surveys will ultimately shed most light on the sources of wage stagnation and its incidence among different types of employees and firms. In Australia, the most promising insights will likely arise from analysis of the Linked Employer</w:t>
            </w:r>
            <w:r>
              <w:noBreakHyphen/>
              <w:t>Employee Database (LEED), and the Business Longitudinal Analysis Data Environment (BLADE). Using these datasets, Treasury has recently found evidence of:</w:t>
            </w:r>
          </w:p>
          <w:p w14:paraId="09E0CDC1" w14:textId="41665EF5" w:rsidR="002B2A31" w:rsidRDefault="002B2A31" w:rsidP="00CC0374">
            <w:pPr>
              <w:pStyle w:val="BoxListBullet"/>
            </w:pPr>
            <w:r>
              <w:t xml:space="preserve">a breaking of the link between productivity improvements and wages growth </w:t>
            </w:r>
            <w:r w:rsidR="008817E0">
              <w:t>at the firm level after 2012</w:t>
            </w:r>
            <w:r w:rsidR="008817E0">
              <w:noBreakHyphen/>
              <w:t>13</w:t>
            </w:r>
            <w:r>
              <w:t xml:space="preserve"> </w:t>
            </w:r>
            <w:r w:rsidRPr="00D03F1D">
              <w:rPr>
                <w:rFonts w:cs="Arial"/>
                <w:szCs w:val="24"/>
              </w:rPr>
              <w:t>(Andrews et al. 2019)</w:t>
            </w:r>
            <w:r w:rsidR="00F51762">
              <w:t>.</w:t>
            </w:r>
          </w:p>
          <w:p w14:paraId="10421825" w14:textId="1E663B7B" w:rsidR="002B2A31" w:rsidRDefault="002B2A31" w:rsidP="00CC0374">
            <w:pPr>
              <w:pStyle w:val="BoxListBullet"/>
            </w:pPr>
            <w:r>
              <w:t xml:space="preserve">weaker job switching at a firm level (falling from about 11 per cent to 8 per cent) being associated with slower wage growth, even for those who do not switch jobs </w:t>
            </w:r>
            <w:r w:rsidRPr="001745DC">
              <w:rPr>
                <w:rFonts w:cs="Arial"/>
                <w:szCs w:val="24"/>
              </w:rPr>
              <w:t>(Quinn 2019)</w:t>
            </w:r>
            <w:r>
              <w:t>.</w:t>
            </w:r>
          </w:p>
        </w:tc>
      </w:tr>
      <w:tr w:rsidR="002B2A31" w14:paraId="0F58CD56" w14:textId="77777777" w:rsidTr="00CC0374">
        <w:tc>
          <w:tcPr>
            <w:tcW w:w="5000" w:type="pct"/>
            <w:tcBorders>
              <w:top w:val="nil"/>
              <w:left w:val="nil"/>
              <w:bottom w:val="single" w:sz="6" w:space="0" w:color="78A22F"/>
              <w:right w:val="nil"/>
            </w:tcBorders>
            <w:shd w:val="clear" w:color="auto" w:fill="F2F2F2"/>
          </w:tcPr>
          <w:p w14:paraId="1BE3DB17" w14:textId="77777777" w:rsidR="002B2A31" w:rsidRDefault="002B2A31" w:rsidP="00CC0374">
            <w:pPr>
              <w:pStyle w:val="Box"/>
              <w:spacing w:before="0" w:line="120" w:lineRule="exact"/>
            </w:pPr>
          </w:p>
        </w:tc>
      </w:tr>
      <w:tr w:rsidR="002B2A31" w:rsidRPr="000863A5" w14:paraId="4FD80B5C" w14:textId="77777777" w:rsidTr="00CC0374">
        <w:tc>
          <w:tcPr>
            <w:tcW w:w="5000" w:type="pct"/>
            <w:tcBorders>
              <w:top w:val="single" w:sz="6" w:space="0" w:color="78A22F"/>
              <w:left w:val="nil"/>
              <w:bottom w:val="nil"/>
              <w:right w:val="nil"/>
            </w:tcBorders>
          </w:tcPr>
          <w:p w14:paraId="5CCA16C2" w14:textId="77777777" w:rsidR="002B2A31" w:rsidRPr="00626D32" w:rsidRDefault="002B2A31" w:rsidP="00CC0374">
            <w:pPr>
              <w:pStyle w:val="BoxSpaceBelow"/>
            </w:pPr>
          </w:p>
        </w:tc>
      </w:tr>
    </w:tbl>
    <w:p w14:paraId="2E389E11" w14:textId="77777777" w:rsidR="002B2A31" w:rsidRDefault="002B2A31" w:rsidP="002B2A31">
      <w:pPr>
        <w:pStyle w:val="Heading3"/>
      </w:pPr>
      <w:r>
        <w:t>… and productivity appears to be the biggest contributor …</w:t>
      </w:r>
    </w:p>
    <w:p w14:paraId="4D14BD41" w14:textId="6BB416A3" w:rsidR="002B2A31" w:rsidRDefault="002B2A31" w:rsidP="002B2A31">
      <w:pPr>
        <w:pStyle w:val="BodyText"/>
      </w:pPr>
      <w:r>
        <w:t>Using some simple accounting identities, the Commission has decomposed the drivers of wages growth (in consumer wages in the market sector) in the periods 1994</w:t>
      </w:r>
      <w:r>
        <w:noBreakHyphen/>
        <w:t>95 to 2012</w:t>
      </w:r>
      <w:r>
        <w:noBreakHyphen/>
        <w:t>2013 and 2012</w:t>
      </w:r>
      <w:r>
        <w:noBreakHyphen/>
        <w:t>13 to 2017</w:t>
      </w:r>
      <w:r>
        <w:noBreakHyphen/>
        <w:t>18, and identified the key, proximate causes of the recent wage slowdown (</w:t>
      </w:r>
      <w:r w:rsidR="002B3FE3">
        <w:t>figure</w:t>
      </w:r>
      <w:r>
        <w:t> 11, full</w:t>
      </w:r>
      <w:r w:rsidR="0070160E">
        <w:t xml:space="preserve"> methodological</w:t>
      </w:r>
      <w:r>
        <w:t xml:space="preserve"> details are in appendix A). Overall, slower labour productivity growth explains over half of the fall in consumer wages</w:t>
      </w:r>
      <w:r w:rsidR="0070160E">
        <w:t xml:space="preserve"> growth</w:t>
      </w:r>
      <w:r>
        <w:t xml:space="preserve">, with relative consumer inflation (consumer prices growing more quickly than producer prices) and the fall in the labour share of income explaining about a quarter and a fifth respectively. </w:t>
      </w:r>
    </w:p>
    <w:p w14:paraId="2FAD409A" w14:textId="77777777" w:rsidR="002B2A31" w:rsidRDefault="002B2A31" w:rsidP="002B2A31">
      <w:pPr>
        <w:pStyle w:val="BodyText"/>
      </w:pPr>
      <w:r>
        <w:t xml:space="preserve">As discussed in last year’s </w:t>
      </w:r>
      <w:r>
        <w:rPr>
          <w:i/>
        </w:rPr>
        <w:t>PC Productivity Bulletin</w:t>
      </w:r>
      <w:r>
        <w:t>, the rise in consumer price inflation relative to producer price inflation is mostly due to a fall in the terms of trade, so it is unlikely to be an ongoing cause of wage stagnation. However, it is possible that labour productivity will continue growing at historically slower rates indefinitely and that the labour share of income may fall again in the future.</w:t>
      </w:r>
    </w:p>
    <w:p w14:paraId="2494338E" w14:textId="77777777" w:rsidR="002B2A31" w:rsidRDefault="002B2A31" w:rsidP="002B2A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77764823" w14:textId="77777777" w:rsidTr="00CC0374">
        <w:trPr>
          <w:tblHeader/>
        </w:trPr>
        <w:tc>
          <w:tcPr>
            <w:tcW w:w="5000" w:type="pct"/>
            <w:tcBorders>
              <w:top w:val="single" w:sz="6" w:space="0" w:color="78A22F"/>
              <w:left w:val="nil"/>
              <w:bottom w:val="nil"/>
              <w:right w:val="nil"/>
            </w:tcBorders>
            <w:shd w:val="clear" w:color="auto" w:fill="auto"/>
          </w:tcPr>
          <w:p w14:paraId="648A9FBB" w14:textId="651056BB" w:rsidR="002B2A31" w:rsidRDefault="002B2A31" w:rsidP="00CC0374">
            <w:pPr>
              <w:pStyle w:val="FigureTitle"/>
            </w:pPr>
            <w:r w:rsidRPr="00784A05">
              <w:rPr>
                <w:b w:val="0"/>
              </w:rPr>
              <w:t xml:space="preserve">Figure </w:t>
            </w:r>
            <w:r w:rsidR="00A73986">
              <w:rPr>
                <w:b w:val="0"/>
                <w:noProof/>
              </w:rPr>
              <w:t>11</w:t>
            </w:r>
            <w:r>
              <w:tab/>
              <w:t>Slower labour productivity growth and higher consumer inflation are the main causes of the slow wage growth</w:t>
            </w:r>
          </w:p>
          <w:p w14:paraId="351EBE46" w14:textId="77777777" w:rsidR="002B2A31" w:rsidRPr="00176D3F" w:rsidRDefault="002B2A31" w:rsidP="00CC0374">
            <w:pPr>
              <w:pStyle w:val="Subtitle"/>
            </w:pPr>
            <w:r>
              <w:t>Key contributors to the post 2012</w:t>
            </w:r>
            <w:r>
              <w:noBreakHyphen/>
              <w:t>13 slowdown in consumer wages growth in the market sector</w:t>
            </w:r>
            <w:r>
              <w:rPr>
                <w:rStyle w:val="NoteLabel"/>
              </w:rPr>
              <w:t>a</w:t>
            </w:r>
          </w:p>
        </w:tc>
      </w:tr>
      <w:tr w:rsidR="002B2A31" w14:paraId="3D6FF920" w14:textId="77777777" w:rsidTr="00CC037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4"/>
            </w:tblGrid>
            <w:tr w:rsidR="002B2A31" w:rsidRPr="00B1465D" w14:paraId="7A8A13E1" w14:textId="77777777" w:rsidTr="009D5878">
              <w:trPr>
                <w:tblHeader/>
                <w:jc w:val="center"/>
              </w:trPr>
              <w:tc>
                <w:tcPr>
                  <w:tcW w:w="8504" w:type="dxa"/>
                  <w:tcBorders>
                    <w:top w:val="nil"/>
                    <w:bottom w:val="nil"/>
                  </w:tcBorders>
                </w:tcPr>
                <w:p w14:paraId="0FBA5636" w14:textId="1973D629" w:rsidR="002B2A31" w:rsidRPr="00B1465D" w:rsidRDefault="009D5878" w:rsidP="00CC0374">
                  <w:pPr>
                    <w:pStyle w:val="Figure"/>
                    <w:spacing w:before="60" w:after="60"/>
                    <w:rPr>
                      <w:rFonts w:ascii="Arial" w:hAnsi="Arial" w:cs="Arial"/>
                      <w:sz w:val="18"/>
                      <w:szCs w:val="18"/>
                    </w:rPr>
                  </w:pPr>
                  <w:r>
                    <w:rPr>
                      <w:rFonts w:ascii="Arial" w:hAnsi="Arial" w:cs="Arial"/>
                      <w:noProof/>
                      <w:sz w:val="18"/>
                      <w:szCs w:val="18"/>
                    </w:rPr>
                    <w:drawing>
                      <wp:inline distT="0" distB="0" distL="0" distR="0" wp14:anchorId="132F8F77" wp14:editId="40C5DB99">
                        <wp:extent cx="5133490" cy="2737338"/>
                        <wp:effectExtent l="0" t="0" r="0" b="6350"/>
                        <wp:docPr id="23" name="Picture 23" descr="This chart decomposes the slowdown in wage growth into its proximate causes . It is found that about half of the slowdown is due to the slowdown in the growth of labour productivity, a quarter is due to consumer prices rising faster than producer prices and a fifth is due to a fall in the labour income share." title="Slower labour productivity growth and higher consumer inflation are the main causes of the slow wage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44422" cy="2743167"/>
                                </a:xfrm>
                                <a:prstGeom prst="rect">
                                  <a:avLst/>
                                </a:prstGeom>
                                <a:noFill/>
                              </pic:spPr>
                            </pic:pic>
                          </a:graphicData>
                        </a:graphic>
                      </wp:inline>
                    </w:drawing>
                  </w:r>
                </w:p>
              </w:tc>
            </w:tr>
          </w:tbl>
          <w:p w14:paraId="1E299CC5" w14:textId="77777777" w:rsidR="002B2A31" w:rsidRDefault="002B2A31" w:rsidP="00CC0374">
            <w:pPr>
              <w:pStyle w:val="Figure"/>
            </w:pPr>
          </w:p>
        </w:tc>
      </w:tr>
      <w:tr w:rsidR="002B2A31" w:rsidRPr="00176D3F" w14:paraId="3AB45C35" w14:textId="77777777" w:rsidTr="00CC0374">
        <w:tc>
          <w:tcPr>
            <w:tcW w:w="5000" w:type="pct"/>
            <w:tcBorders>
              <w:top w:val="nil"/>
              <w:left w:val="nil"/>
              <w:bottom w:val="nil"/>
              <w:right w:val="nil"/>
            </w:tcBorders>
            <w:shd w:val="clear" w:color="auto" w:fill="auto"/>
          </w:tcPr>
          <w:p w14:paraId="0BB50603" w14:textId="77777777" w:rsidR="002B2A31" w:rsidRPr="00176D3F" w:rsidRDefault="002B2A31" w:rsidP="00CC0374">
            <w:pPr>
              <w:pStyle w:val="Note"/>
            </w:pPr>
            <w:r>
              <w:rPr>
                <w:rStyle w:val="NoteLabel"/>
              </w:rPr>
              <w:t>a</w:t>
            </w:r>
            <w:r>
              <w:t> The effect of the relative rise in consumer prices was calculated as the difference in growth between consumer inflation and producer price inflation. The contribution of the labour productivity slowdown was the difference between the growth in total factor income (per hour worked) and growth in producer wages, and the fall in the labour share of income was the proportional fall in the labour share of income. Other factors are the changes in taxes and subsidies that meant that growth in labour productivity was not quite equal to growth in total factor income per hour.</w:t>
            </w:r>
          </w:p>
        </w:tc>
      </w:tr>
      <w:tr w:rsidR="002B2A31" w:rsidRPr="00176D3F" w14:paraId="6D173091" w14:textId="77777777" w:rsidTr="00CC0374">
        <w:tc>
          <w:tcPr>
            <w:tcW w:w="5000" w:type="pct"/>
            <w:tcBorders>
              <w:top w:val="nil"/>
              <w:left w:val="nil"/>
              <w:bottom w:val="nil"/>
              <w:right w:val="nil"/>
            </w:tcBorders>
            <w:shd w:val="clear" w:color="auto" w:fill="auto"/>
          </w:tcPr>
          <w:p w14:paraId="34424328" w14:textId="2763D433" w:rsidR="002B2A31" w:rsidRPr="00176D3F" w:rsidRDefault="002B2A31" w:rsidP="00601165">
            <w:pPr>
              <w:pStyle w:val="Source"/>
            </w:pPr>
            <w:r>
              <w:rPr>
                <w:i/>
              </w:rPr>
              <w:t>S</w:t>
            </w:r>
            <w:r w:rsidRPr="00784A05">
              <w:rPr>
                <w:i/>
              </w:rPr>
              <w:t>ource</w:t>
            </w:r>
            <w:r>
              <w:rPr>
                <w:i/>
              </w:rPr>
              <w:t>s</w:t>
            </w:r>
            <w:r w:rsidRPr="00176D3F">
              <w:t xml:space="preserve">: </w:t>
            </w:r>
            <w:r>
              <w:t xml:space="preserve">Commission estimates </w:t>
            </w:r>
            <w:r w:rsidR="00601165">
              <w:t>using data from</w:t>
            </w:r>
            <w:r>
              <w:t xml:space="preserve"> ABS (</w:t>
            </w:r>
            <w:r w:rsidRPr="0073194D">
              <w:t xml:space="preserve">2019, </w:t>
            </w:r>
            <w:r w:rsidRPr="0073194D">
              <w:rPr>
                <w:i/>
              </w:rPr>
              <w:t>Australian National Accounts</w:t>
            </w:r>
            <w:r>
              <w:rPr>
                <w:i/>
              </w:rPr>
              <w:t xml:space="preserve">: National Income, Expenditure and </w:t>
            </w:r>
            <w:r w:rsidRPr="00324C1C">
              <w:rPr>
                <w:i/>
              </w:rPr>
              <w:t>Product, Jun 2019</w:t>
            </w:r>
            <w:r>
              <w:t>, Cat. no. 5206</w:t>
            </w:r>
            <w:r w:rsidRPr="0073194D">
              <w:t>.0</w:t>
            </w:r>
            <w:r>
              <w:t xml:space="preserve">, table 34; 2019, </w:t>
            </w:r>
            <w:r w:rsidRPr="00324C1C">
              <w:rPr>
                <w:i/>
              </w:rPr>
              <w:t>Consumer Price Index, Australia, Sep 2019</w:t>
            </w:r>
            <w:r>
              <w:t xml:space="preserve">, Cat. no. 6401.0, tables 1 and 2; 2019, </w:t>
            </w:r>
            <w:r w:rsidRPr="002143D5">
              <w:rPr>
                <w:i/>
              </w:rPr>
              <w:t>Estimates of Industr</w:t>
            </w:r>
            <w:r>
              <w:rPr>
                <w:i/>
              </w:rPr>
              <w:t>y Multifactor Productivity, 2018</w:t>
            </w:r>
            <w:r>
              <w:rPr>
                <w:i/>
              </w:rPr>
              <w:noBreakHyphen/>
              <w:t>19</w:t>
            </w:r>
            <w:r>
              <w:t>, Cat. no. </w:t>
            </w:r>
            <w:r w:rsidRPr="002143D5">
              <w:t>5260.0.55.002</w:t>
            </w:r>
            <w:r>
              <w:t>, tables 1</w:t>
            </w:r>
            <w:r>
              <w:noBreakHyphen/>
              <w:t>19.</w:t>
            </w:r>
          </w:p>
        </w:tc>
      </w:tr>
      <w:tr w:rsidR="002B2A31" w14:paraId="32497FDE" w14:textId="77777777" w:rsidTr="00CC0374">
        <w:tc>
          <w:tcPr>
            <w:tcW w:w="5000" w:type="pct"/>
            <w:tcBorders>
              <w:top w:val="nil"/>
              <w:left w:val="nil"/>
              <w:bottom w:val="single" w:sz="6" w:space="0" w:color="78A22F"/>
              <w:right w:val="nil"/>
            </w:tcBorders>
            <w:shd w:val="clear" w:color="auto" w:fill="auto"/>
          </w:tcPr>
          <w:p w14:paraId="2DAF1F1E" w14:textId="3F7CA189" w:rsidR="002B2A31" w:rsidRDefault="002B2A31" w:rsidP="00CC0374">
            <w:pPr>
              <w:pStyle w:val="Figurespace"/>
              <w:tabs>
                <w:tab w:val="left" w:pos="6970"/>
              </w:tabs>
            </w:pPr>
          </w:p>
        </w:tc>
      </w:tr>
      <w:tr w:rsidR="002B2A31" w:rsidRPr="000863A5" w14:paraId="4E4B7DF1" w14:textId="77777777" w:rsidTr="00CC0374">
        <w:tc>
          <w:tcPr>
            <w:tcW w:w="5000" w:type="pct"/>
            <w:tcBorders>
              <w:top w:val="single" w:sz="6" w:space="0" w:color="78A22F"/>
              <w:left w:val="nil"/>
              <w:bottom w:val="nil"/>
              <w:right w:val="nil"/>
            </w:tcBorders>
          </w:tcPr>
          <w:p w14:paraId="48BB2371" w14:textId="77777777" w:rsidR="002B2A31" w:rsidRPr="00626D32" w:rsidRDefault="002B2A31" w:rsidP="00CC0374">
            <w:pPr>
              <w:pStyle w:val="BoxSpaceBelow"/>
            </w:pPr>
          </w:p>
        </w:tc>
      </w:tr>
    </w:tbl>
    <w:p w14:paraId="412B62DD" w14:textId="77777777" w:rsidR="002B2A31" w:rsidRDefault="002B2A31" w:rsidP="002B2A31">
      <w:pPr>
        <w:pStyle w:val="Heading3"/>
      </w:pPr>
      <w:r>
        <w:t>… and the</w:t>
      </w:r>
      <w:r w:rsidRPr="006E7F6D">
        <w:rPr>
          <w:b w:val="0"/>
        </w:rPr>
        <w:t xml:space="preserve"> </w:t>
      </w:r>
      <w:r>
        <w:t>falling labour share of income played a role</w:t>
      </w:r>
    </w:p>
    <w:p w14:paraId="387C89BC" w14:textId="77777777" w:rsidR="002B2A31" w:rsidRDefault="002B2A31" w:rsidP="002B2A31">
      <w:pPr>
        <w:pStyle w:val="BodyText"/>
      </w:pPr>
      <w:r>
        <w:t>As discussed, a key contributor to the recent wage slowdown is the falling labour share of income, which measures total compensation of employees including wages, superannuation and allowances</w:t>
      </w:r>
      <w:r>
        <w:rPr>
          <w:rStyle w:val="FootnoteReference"/>
        </w:rPr>
        <w:footnoteReference w:id="10"/>
      </w:r>
      <w:r>
        <w:t xml:space="preserve"> as a share of total factor income.</w:t>
      </w:r>
    </w:p>
    <w:p w14:paraId="1CBCB5C9" w14:textId="044E78D3" w:rsidR="002B2A31" w:rsidRDefault="002B2A31" w:rsidP="002B2A31">
      <w:pPr>
        <w:pStyle w:val="BodyText"/>
      </w:pPr>
      <w:r>
        <w:t xml:space="preserve">In Australia, as in many other advanced economies </w:t>
      </w:r>
      <w:r w:rsidRPr="009358DB">
        <w:rPr>
          <w:szCs w:val="24"/>
        </w:rPr>
        <w:t>(Dao et al. 2017)</w:t>
      </w:r>
      <w:r>
        <w:t>, the labour share of income has been drifting lower over time. Although wages have only been stagnant since 2012</w:t>
      </w:r>
      <w:r>
        <w:noBreakHyphen/>
        <w:t>13, the labour share of income has been declining over a longer period, falling by about 4.4 percentage points since the turn of the century (figure 12). The labour income share also fell between the 1970s and the early 2000s, following a sharp rise in the late 1960s and early 1970s. This decline reflects the unwinding of a wage</w:t>
      </w:r>
      <w:r>
        <w:noBreakHyphen/>
        <w:t>price spike in the 1970s that resulted in heightened unemployment and ultimately led to workplace relations reforms through the Prices and Wages Accords and eventually enterprise bargaining in order to restore labour market equilibrium. That is, movements in earlier periods had very different causes and should not be confounded with more recent developments. Overall, the labour share of income has actually risen slightly</w:t>
      </w:r>
      <w:r w:rsidR="00A953DB">
        <w:t xml:space="preserve"> compared to its value in 1960 (excluding gross mixed income, figure 12)</w:t>
      </w:r>
      <w:r>
        <w:t>.</w:t>
      </w:r>
    </w:p>
    <w:p w14:paraId="0E96943F" w14:textId="44A7BA74" w:rsidR="002B2A31" w:rsidRDefault="002B2A31" w:rsidP="005224B9">
      <w:pPr>
        <w:pStyle w:val="BoxSpaceAbove"/>
        <w:tabs>
          <w:tab w:val="left" w:pos="2603"/>
        </w:tabs>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6901771B" w14:textId="77777777" w:rsidTr="00CC0374">
        <w:trPr>
          <w:tblHeader/>
        </w:trPr>
        <w:tc>
          <w:tcPr>
            <w:tcW w:w="5000" w:type="pct"/>
            <w:tcBorders>
              <w:top w:val="single" w:sz="6" w:space="0" w:color="78A22F"/>
              <w:left w:val="nil"/>
              <w:bottom w:val="nil"/>
              <w:right w:val="nil"/>
            </w:tcBorders>
            <w:shd w:val="clear" w:color="auto" w:fill="auto"/>
          </w:tcPr>
          <w:p w14:paraId="41C1FF84" w14:textId="22A95302" w:rsidR="002B2A31" w:rsidRDefault="002B2A31" w:rsidP="00CC0374">
            <w:pPr>
              <w:pStyle w:val="FigureTitle"/>
            </w:pPr>
            <w:r w:rsidRPr="00784A05">
              <w:rPr>
                <w:b w:val="0"/>
              </w:rPr>
              <w:t xml:space="preserve">Figure </w:t>
            </w:r>
            <w:r w:rsidR="00A73986">
              <w:rPr>
                <w:b w:val="0"/>
                <w:noProof/>
              </w:rPr>
              <w:t>12</w:t>
            </w:r>
            <w:r>
              <w:tab/>
              <w:t>The labour share of income has fallen since 2000 …</w:t>
            </w:r>
          </w:p>
          <w:p w14:paraId="4A74417F" w14:textId="77777777" w:rsidR="002B2A31" w:rsidRPr="00176D3F" w:rsidRDefault="002B2A31" w:rsidP="00CC0374">
            <w:pPr>
              <w:pStyle w:val="Subtitle"/>
            </w:pPr>
            <w:r>
              <w:t>Labour share of income</w:t>
            </w:r>
            <w:r w:rsidRPr="006533CC">
              <w:rPr>
                <w:rStyle w:val="NoteLabel"/>
              </w:rPr>
              <w:t>a</w:t>
            </w:r>
            <w:r>
              <w:t xml:space="preserve"> in the whole economy</w:t>
            </w:r>
            <w:r w:rsidRPr="0085528B">
              <w:rPr>
                <w:rStyle w:val="NoteLabel"/>
              </w:rPr>
              <w:t>b</w:t>
            </w:r>
            <w:r>
              <w:t xml:space="preserve"> since 1959-60 and the 16 industry market sector since 1993</w:t>
            </w:r>
            <w:r>
              <w:noBreakHyphen/>
              <w:t>94</w:t>
            </w:r>
          </w:p>
        </w:tc>
      </w:tr>
      <w:tr w:rsidR="002B2A31" w14:paraId="08EB390F" w14:textId="77777777" w:rsidTr="00CC037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2B2A31" w:rsidRPr="00B1465D" w14:paraId="466462A5" w14:textId="77777777" w:rsidTr="00CC0374">
              <w:trPr>
                <w:tblHeader/>
                <w:jc w:val="center"/>
              </w:trPr>
              <w:tc>
                <w:tcPr>
                  <w:tcW w:w="8504" w:type="dxa"/>
                  <w:tcBorders>
                    <w:top w:val="nil"/>
                    <w:bottom w:val="nil"/>
                  </w:tcBorders>
                </w:tcPr>
                <w:p w14:paraId="78433C11" w14:textId="03565671" w:rsidR="002B2A31" w:rsidRPr="00B1465D" w:rsidRDefault="00EF685B" w:rsidP="00CC0374">
                  <w:pPr>
                    <w:pStyle w:val="Figure"/>
                    <w:spacing w:before="60" w:after="60"/>
                    <w:rPr>
                      <w:rFonts w:ascii="Arial" w:hAnsi="Arial" w:cs="Arial"/>
                      <w:sz w:val="18"/>
                      <w:szCs w:val="18"/>
                    </w:rPr>
                  </w:pPr>
                  <w:r w:rsidRPr="00EF685B">
                    <w:rPr>
                      <w:rFonts w:ascii="Arial" w:hAnsi="Arial" w:cs="Arial"/>
                      <w:noProof/>
                      <w:sz w:val="18"/>
                      <w:szCs w:val="18"/>
                    </w:rPr>
                    <w:drawing>
                      <wp:inline distT="0" distB="0" distL="0" distR="0" wp14:anchorId="4374377A" wp14:editId="3DC646E0">
                        <wp:extent cx="5276850" cy="2745740"/>
                        <wp:effectExtent l="0" t="0" r="0" b="0"/>
                        <wp:docPr id="18" name="Picture 18" descr="This chart shows the labour share of income between 1974-75 and 2017-18. The labour share has steadily fallen over this time period, and in particular declined about 5 percentage points since the beginning of the twenty-first cent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r="1614"/>
                                <a:stretch/>
                              </pic:blipFill>
                              <pic:spPr bwMode="auto">
                                <a:xfrm>
                                  <a:off x="0" y="0"/>
                                  <a:ext cx="5277407" cy="274603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4292132" w14:textId="77777777" w:rsidR="002B2A31" w:rsidRDefault="002B2A31" w:rsidP="00CC0374">
            <w:pPr>
              <w:pStyle w:val="Figure"/>
            </w:pPr>
          </w:p>
        </w:tc>
      </w:tr>
      <w:tr w:rsidR="002B2A31" w:rsidRPr="00176D3F" w14:paraId="5882BE71" w14:textId="77777777" w:rsidTr="00CC0374">
        <w:tc>
          <w:tcPr>
            <w:tcW w:w="5000" w:type="pct"/>
            <w:tcBorders>
              <w:top w:val="nil"/>
              <w:left w:val="nil"/>
              <w:bottom w:val="nil"/>
              <w:right w:val="nil"/>
            </w:tcBorders>
            <w:shd w:val="clear" w:color="auto" w:fill="auto"/>
          </w:tcPr>
          <w:p w14:paraId="42F8A946" w14:textId="77777777" w:rsidR="002B2A31" w:rsidRPr="00176D3F" w:rsidRDefault="002B2A31" w:rsidP="00CC0374">
            <w:pPr>
              <w:pStyle w:val="Note"/>
            </w:pPr>
            <w:r>
              <w:rPr>
                <w:rStyle w:val="NoteLabel"/>
              </w:rPr>
              <w:t>a</w:t>
            </w:r>
            <w:r>
              <w:t xml:space="preserve"> Labour share of income is calculated as compensation of employees plus the income of self</w:t>
            </w:r>
            <w:r>
              <w:noBreakHyphen/>
              <w:t xml:space="preserve">employed business owners. </w:t>
            </w:r>
            <w:r w:rsidRPr="0085528B">
              <w:rPr>
                <w:rStyle w:val="NoteLabel"/>
              </w:rPr>
              <w:t>b</w:t>
            </w:r>
            <w:r>
              <w:t xml:space="preserve"> The whole economy figures exclude gross mixed income and so there is a level difference between this series and the series for the market sector (which does include gross mixed income). </w:t>
            </w:r>
          </w:p>
        </w:tc>
      </w:tr>
      <w:tr w:rsidR="002B2A31" w:rsidRPr="00176D3F" w14:paraId="27EE4EE1" w14:textId="77777777" w:rsidTr="00CC0374">
        <w:tc>
          <w:tcPr>
            <w:tcW w:w="5000" w:type="pct"/>
            <w:tcBorders>
              <w:top w:val="nil"/>
              <w:left w:val="nil"/>
              <w:bottom w:val="nil"/>
              <w:right w:val="nil"/>
            </w:tcBorders>
            <w:shd w:val="clear" w:color="auto" w:fill="auto"/>
          </w:tcPr>
          <w:p w14:paraId="2AD0D0FD" w14:textId="51C6BC88" w:rsidR="002B2A31" w:rsidRPr="00176D3F" w:rsidRDefault="002B2A31" w:rsidP="00CC0374">
            <w:pPr>
              <w:pStyle w:val="Source"/>
            </w:pPr>
            <w:r>
              <w:rPr>
                <w:i/>
              </w:rPr>
              <w:t>S</w:t>
            </w:r>
            <w:r w:rsidRPr="00784A05">
              <w:rPr>
                <w:i/>
              </w:rPr>
              <w:t>ource</w:t>
            </w:r>
            <w:r>
              <w:rPr>
                <w:i/>
              </w:rPr>
              <w:t>s</w:t>
            </w:r>
            <w:r w:rsidRPr="00176D3F">
              <w:t xml:space="preserve">: </w:t>
            </w:r>
            <w:r>
              <w:t>Commission estimates using</w:t>
            </w:r>
            <w:r w:rsidR="005E6433">
              <w:t xml:space="preserve"> data from</w:t>
            </w:r>
            <w:r>
              <w:t xml:space="preserve"> ABS (2019, </w:t>
            </w:r>
            <w:r>
              <w:rPr>
                <w:i/>
              </w:rPr>
              <w:t>Australian System of National Accounts, 2018</w:t>
            </w:r>
            <w:r>
              <w:rPr>
                <w:i/>
              </w:rPr>
              <w:noBreakHyphen/>
              <w:t>19</w:t>
            </w:r>
            <w:r>
              <w:t xml:space="preserve">, Cat. no. 5204.0; 2019, </w:t>
            </w:r>
            <w:r w:rsidRPr="002143D5">
              <w:rPr>
                <w:i/>
              </w:rPr>
              <w:t xml:space="preserve">Estimates of Industry Multifactor </w:t>
            </w:r>
            <w:r>
              <w:rPr>
                <w:i/>
              </w:rPr>
              <w:t>Productivity, 2018</w:t>
            </w:r>
            <w:r>
              <w:rPr>
                <w:i/>
              </w:rPr>
              <w:noBreakHyphen/>
              <w:t>19</w:t>
            </w:r>
            <w:r>
              <w:t>, Cat. no. </w:t>
            </w:r>
            <w:r w:rsidRPr="002143D5">
              <w:t>5260.0.55.002</w:t>
            </w:r>
            <w:r>
              <w:t>, tables 1</w:t>
            </w:r>
            <w:r>
              <w:noBreakHyphen/>
              <w:t>19).</w:t>
            </w:r>
          </w:p>
        </w:tc>
      </w:tr>
      <w:tr w:rsidR="002B2A31" w14:paraId="60282BBB" w14:textId="77777777" w:rsidTr="00CC0374">
        <w:tc>
          <w:tcPr>
            <w:tcW w:w="5000" w:type="pct"/>
            <w:tcBorders>
              <w:top w:val="nil"/>
              <w:left w:val="nil"/>
              <w:bottom w:val="single" w:sz="6" w:space="0" w:color="78A22F"/>
              <w:right w:val="nil"/>
            </w:tcBorders>
            <w:shd w:val="clear" w:color="auto" w:fill="auto"/>
          </w:tcPr>
          <w:p w14:paraId="7C54E6D3" w14:textId="77777777" w:rsidR="002B2A31" w:rsidRDefault="002B2A31" w:rsidP="00CC0374">
            <w:pPr>
              <w:pStyle w:val="Figurespace"/>
            </w:pPr>
          </w:p>
        </w:tc>
      </w:tr>
      <w:tr w:rsidR="002B2A31" w:rsidRPr="000863A5" w14:paraId="46C23F77" w14:textId="77777777" w:rsidTr="00CC0374">
        <w:tc>
          <w:tcPr>
            <w:tcW w:w="5000" w:type="pct"/>
            <w:tcBorders>
              <w:top w:val="single" w:sz="6" w:space="0" w:color="78A22F"/>
              <w:left w:val="nil"/>
              <w:bottom w:val="nil"/>
              <w:right w:val="nil"/>
            </w:tcBorders>
          </w:tcPr>
          <w:p w14:paraId="0022812D" w14:textId="77777777" w:rsidR="002B2A31" w:rsidRPr="00626D32" w:rsidRDefault="002B2A31" w:rsidP="00CC0374">
            <w:pPr>
              <w:pStyle w:val="BoxSpaceBelow"/>
            </w:pPr>
          </w:p>
        </w:tc>
      </w:tr>
    </w:tbl>
    <w:p w14:paraId="12486B8C" w14:textId="5481AF51" w:rsidR="002D62D0" w:rsidRDefault="002B2A31" w:rsidP="002B2A31">
      <w:pPr>
        <w:pStyle w:val="BodyText"/>
      </w:pPr>
      <w:r>
        <w:t xml:space="preserve">However, as with the slowdown in labour productivity, movements in the labour share of income need to be considered in the context of substantial structural change in the economy </w:t>
      </w:r>
      <w:r w:rsidR="00D30859">
        <w:t>(</w:t>
      </w:r>
      <w:r>
        <w:t>including the mining boom</w:t>
      </w:r>
      <w:r w:rsidR="00D30859">
        <w:t>)</w:t>
      </w:r>
      <w:r>
        <w:t xml:space="preserve">. Two main explanations for the decline in the labour share stand out from the detailed analysis in appendix A. </w:t>
      </w:r>
    </w:p>
    <w:p w14:paraId="1F243579" w14:textId="77777777" w:rsidR="002D62D0" w:rsidRDefault="002B2A31" w:rsidP="002D62D0">
      <w:pPr>
        <w:pStyle w:val="ListBullet"/>
      </w:pPr>
      <w:r>
        <w:t>First, the labour share of income has fallen because of growth in the size of the mining sector (explaining about 80 per cent of the fall), which is naturally a highly capital</w:t>
      </w:r>
      <w:r>
        <w:noBreakHyphen/>
        <w:t xml:space="preserve">intensive industry. </w:t>
      </w:r>
    </w:p>
    <w:p w14:paraId="250980D7" w14:textId="4B2430CF" w:rsidR="002B2A31" w:rsidRDefault="002B2A31" w:rsidP="002D62D0">
      <w:pPr>
        <w:pStyle w:val="ListBullet"/>
      </w:pPr>
      <w:r>
        <w:t xml:space="preserve">Second, the labour income share has fallen because the finance and insurance sector has become more profitable. Together, these two changes account for almost all of the overall decline (figure 13). </w:t>
      </w:r>
    </w:p>
    <w:p w14:paraId="78A07A57" w14:textId="5E2DB6D6" w:rsidR="002B2A31" w:rsidRDefault="002B2A31" w:rsidP="002B2A31">
      <w:pPr>
        <w:pStyle w:val="BodyText"/>
      </w:pPr>
      <w:r>
        <w:t>Australia’s experience of labour reallocation (mainly to mining) explaining a significant proportion of the fall in the labour share of income is unusual among developed nations, where fall in the labour share of income are mostly driven by within</w:t>
      </w:r>
      <w:r>
        <w:noBreakHyphen/>
      </w:r>
      <w:r w:rsidR="003A095E">
        <w:t>industry changes</w:t>
      </w:r>
      <w:r>
        <w:t xml:space="preserve"> </w:t>
      </w:r>
      <w:r w:rsidRPr="00CD45C3">
        <w:rPr>
          <w:szCs w:val="24"/>
        </w:rPr>
        <w:t>(Dao et al. 2017, p. 39)</w:t>
      </w:r>
      <w:r>
        <w:t xml:space="preserve">. Australia’s uniqueness may be due to the small size and specialisation of its economy and the scale and unpresented nature of the recent terms of trade boom. </w:t>
      </w:r>
    </w:p>
    <w:p w14:paraId="3F824B53" w14:textId="77777777" w:rsidR="002B2A31" w:rsidRDefault="002B2A31" w:rsidP="002B2A3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B2A31" w14:paraId="63C13BEC" w14:textId="77777777" w:rsidTr="00CC0374">
        <w:trPr>
          <w:tblHeader/>
        </w:trPr>
        <w:tc>
          <w:tcPr>
            <w:tcW w:w="5000" w:type="pct"/>
            <w:tcBorders>
              <w:top w:val="single" w:sz="6" w:space="0" w:color="78A22F"/>
              <w:left w:val="nil"/>
              <w:bottom w:val="nil"/>
              <w:right w:val="nil"/>
            </w:tcBorders>
            <w:shd w:val="clear" w:color="auto" w:fill="auto"/>
          </w:tcPr>
          <w:p w14:paraId="04908267" w14:textId="3CDCD5EC" w:rsidR="002B2A31" w:rsidRDefault="002B2A31" w:rsidP="00CC0374">
            <w:pPr>
              <w:pStyle w:val="FigureTitle"/>
            </w:pPr>
            <w:r w:rsidRPr="00784A05">
              <w:rPr>
                <w:b w:val="0"/>
              </w:rPr>
              <w:t xml:space="preserve">Figure </w:t>
            </w:r>
            <w:r w:rsidR="00A73986">
              <w:rPr>
                <w:b w:val="0"/>
                <w:noProof/>
              </w:rPr>
              <w:t>13</w:t>
            </w:r>
            <w:r>
              <w:tab/>
              <w:t>… due to growth in the mining sector and the increasing profitability of financial services</w:t>
            </w:r>
          </w:p>
          <w:p w14:paraId="36E75554" w14:textId="77777777" w:rsidR="002B2A31" w:rsidRPr="00176D3F" w:rsidRDefault="002B2A31" w:rsidP="00CC0374">
            <w:pPr>
              <w:pStyle w:val="Subtitle"/>
            </w:pPr>
            <w:r>
              <w:t>Percentage point contribution of each industry to the fall in the labour share of income from 1999</w:t>
            </w:r>
            <w:r>
              <w:noBreakHyphen/>
              <w:t>00 to 2018</w:t>
            </w:r>
            <w:r>
              <w:noBreakHyphen/>
              <w:t>19</w:t>
            </w:r>
          </w:p>
        </w:tc>
      </w:tr>
      <w:tr w:rsidR="002B2A31" w14:paraId="5212BB75" w14:textId="77777777" w:rsidTr="00CC0374">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4"/>
            </w:tblGrid>
            <w:tr w:rsidR="002B2A31" w:rsidRPr="00B1465D" w14:paraId="28E84F98" w14:textId="77777777" w:rsidTr="00CC0374">
              <w:trPr>
                <w:tblHeader/>
                <w:jc w:val="center"/>
              </w:trPr>
              <w:tc>
                <w:tcPr>
                  <w:tcW w:w="8504" w:type="dxa"/>
                  <w:tcBorders>
                    <w:top w:val="nil"/>
                    <w:bottom w:val="nil"/>
                  </w:tcBorders>
                </w:tcPr>
                <w:p w14:paraId="0724C6B9" w14:textId="63072636" w:rsidR="002B2A31" w:rsidRPr="00B1465D" w:rsidRDefault="00F35371" w:rsidP="00CC0374">
                  <w:pPr>
                    <w:pStyle w:val="Figure"/>
                    <w:spacing w:before="60" w:after="60"/>
                    <w:rPr>
                      <w:rFonts w:ascii="Arial" w:hAnsi="Arial" w:cs="Arial"/>
                      <w:sz w:val="18"/>
                      <w:szCs w:val="18"/>
                    </w:rPr>
                  </w:pPr>
                  <w:r>
                    <w:rPr>
                      <w:rFonts w:ascii="Arial" w:hAnsi="Arial" w:cs="Arial"/>
                      <w:noProof/>
                      <w:sz w:val="18"/>
                      <w:szCs w:val="18"/>
                    </w:rPr>
                    <w:drawing>
                      <wp:inline distT="0" distB="0" distL="0" distR="0" wp14:anchorId="584972AB" wp14:editId="6A30A9FA">
                        <wp:extent cx="5161476" cy="2752262"/>
                        <wp:effectExtent l="0" t="0" r="1270" b="0"/>
                        <wp:docPr id="22" name="Picture 22" descr="This chart decomposes the fall in the labour share of income to the contributions from particular industries. It is found that about 60% of the fall is due to the expansion of the mining sector with the remainder mainly due to increased profitability in the finance sector (that has not been matched by proportional increases in wages)." title="... due to growth in the mining sector and the increasing profitability of finan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67279" cy="2755356"/>
                                </a:xfrm>
                                <a:prstGeom prst="rect">
                                  <a:avLst/>
                                </a:prstGeom>
                                <a:noFill/>
                              </pic:spPr>
                            </pic:pic>
                          </a:graphicData>
                        </a:graphic>
                      </wp:inline>
                    </w:drawing>
                  </w:r>
                </w:p>
              </w:tc>
            </w:tr>
          </w:tbl>
          <w:p w14:paraId="73425062" w14:textId="77777777" w:rsidR="002B2A31" w:rsidRDefault="002B2A31" w:rsidP="00CC0374">
            <w:pPr>
              <w:pStyle w:val="Figure"/>
            </w:pPr>
          </w:p>
        </w:tc>
      </w:tr>
      <w:tr w:rsidR="002B2A31" w:rsidRPr="00176D3F" w14:paraId="606A4CAD" w14:textId="77777777" w:rsidTr="00CC0374">
        <w:tc>
          <w:tcPr>
            <w:tcW w:w="5000" w:type="pct"/>
            <w:tcBorders>
              <w:top w:val="nil"/>
              <w:left w:val="nil"/>
              <w:bottom w:val="nil"/>
              <w:right w:val="nil"/>
            </w:tcBorders>
            <w:shd w:val="clear" w:color="auto" w:fill="auto"/>
          </w:tcPr>
          <w:p w14:paraId="042A28C2" w14:textId="13F06F09" w:rsidR="002B2A31" w:rsidRPr="00176D3F" w:rsidRDefault="002B2A31" w:rsidP="00607019">
            <w:pPr>
              <w:pStyle w:val="Source"/>
              <w:tabs>
                <w:tab w:val="left" w:pos="1530"/>
              </w:tabs>
            </w:pPr>
            <w:r>
              <w:rPr>
                <w:i/>
              </w:rPr>
              <w:t>S</w:t>
            </w:r>
            <w:r w:rsidRPr="00784A05">
              <w:rPr>
                <w:i/>
              </w:rPr>
              <w:t>ource</w:t>
            </w:r>
            <w:r>
              <w:rPr>
                <w:i/>
              </w:rPr>
              <w:t>s</w:t>
            </w:r>
            <w:r w:rsidRPr="00176D3F">
              <w:t xml:space="preserve">: </w:t>
            </w:r>
            <w:r>
              <w:t xml:space="preserve">Commission estimates based on figures in ABS (2019, </w:t>
            </w:r>
            <w:r>
              <w:rPr>
                <w:i/>
              </w:rPr>
              <w:t>Australian System of National Accounts, 201</w:t>
            </w:r>
            <w:r w:rsidR="00607019">
              <w:rPr>
                <w:i/>
              </w:rPr>
              <w:t>8</w:t>
            </w:r>
            <w:r>
              <w:rPr>
                <w:i/>
              </w:rPr>
              <w:noBreakHyphen/>
              <w:t>1</w:t>
            </w:r>
            <w:r w:rsidR="00607019">
              <w:rPr>
                <w:i/>
              </w:rPr>
              <w:t>9</w:t>
            </w:r>
            <w:r>
              <w:t xml:space="preserve">, Cat. no. 5204.0, table 5; 2019, </w:t>
            </w:r>
            <w:r w:rsidRPr="00643AC0">
              <w:rPr>
                <w:i/>
              </w:rPr>
              <w:t>Estimates of Industr</w:t>
            </w:r>
            <w:r>
              <w:rPr>
                <w:i/>
              </w:rPr>
              <w:t>y Multifactor Productivity, 2018</w:t>
            </w:r>
            <w:r>
              <w:rPr>
                <w:i/>
              </w:rPr>
              <w:noBreakHyphen/>
              <w:t>19</w:t>
            </w:r>
            <w:r>
              <w:t>, Cat. no. </w:t>
            </w:r>
            <w:r w:rsidRPr="00643AC0">
              <w:t>5260.0.55.002</w:t>
            </w:r>
            <w:r>
              <w:t>, table 14).</w:t>
            </w:r>
          </w:p>
        </w:tc>
      </w:tr>
      <w:tr w:rsidR="002B2A31" w14:paraId="1F37DD50" w14:textId="77777777" w:rsidTr="00CC0374">
        <w:tc>
          <w:tcPr>
            <w:tcW w:w="5000" w:type="pct"/>
            <w:tcBorders>
              <w:top w:val="nil"/>
              <w:left w:val="nil"/>
              <w:bottom w:val="single" w:sz="6" w:space="0" w:color="78A22F"/>
              <w:right w:val="nil"/>
            </w:tcBorders>
            <w:shd w:val="clear" w:color="auto" w:fill="auto"/>
          </w:tcPr>
          <w:p w14:paraId="690C7D82" w14:textId="77777777" w:rsidR="002B2A31" w:rsidRDefault="002B2A31" w:rsidP="00CC0374">
            <w:pPr>
              <w:pStyle w:val="Figurespace"/>
            </w:pPr>
          </w:p>
        </w:tc>
      </w:tr>
      <w:tr w:rsidR="002B2A31" w:rsidRPr="000863A5" w14:paraId="444CD1A1" w14:textId="77777777" w:rsidTr="00CC0374">
        <w:tc>
          <w:tcPr>
            <w:tcW w:w="5000" w:type="pct"/>
            <w:tcBorders>
              <w:top w:val="single" w:sz="6" w:space="0" w:color="78A22F"/>
              <w:left w:val="nil"/>
              <w:bottom w:val="nil"/>
              <w:right w:val="nil"/>
            </w:tcBorders>
          </w:tcPr>
          <w:p w14:paraId="3D320DEB" w14:textId="77777777" w:rsidR="002B2A31" w:rsidRPr="00626D32" w:rsidRDefault="002B2A31" w:rsidP="00CC0374">
            <w:pPr>
              <w:pStyle w:val="BoxSpaceBelow"/>
            </w:pPr>
          </w:p>
        </w:tc>
      </w:tr>
    </w:tbl>
    <w:p w14:paraId="64417D4F" w14:textId="75A09B7B" w:rsidR="007834C8" w:rsidRPr="00D10DB2" w:rsidRDefault="0000713E" w:rsidP="00D10DB2">
      <w:pPr>
        <w:pStyle w:val="BodyText"/>
      </w:pPr>
      <w:r>
        <w:t xml:space="preserve">Hence, although Australia’s recent productivity performance reflects trends seen in other developed nations (including slowing productivity and wages growth, and a declining labour income share), it also has elements which are specific to Australia. The Commission will further explore international comparisons and longer term historical trends in future papers in the </w:t>
      </w:r>
      <w:r>
        <w:rPr>
          <w:i/>
          <w:iCs/>
        </w:rPr>
        <w:t>Productivity Insights</w:t>
      </w:r>
      <w:r>
        <w:t xml:space="preserve"> series.</w:t>
      </w:r>
      <w:r w:rsidR="007834C8" w:rsidRPr="00D10DB2">
        <w:br w:type="page"/>
      </w:r>
    </w:p>
    <w:p w14:paraId="28D0DF04" w14:textId="77777777" w:rsidR="007720E8" w:rsidRDefault="007720E8" w:rsidP="007720E8">
      <w:pPr>
        <w:pStyle w:val="Heading1"/>
      </w:pPr>
      <w:bookmarkStart w:id="18" w:name="_AppendixNotByChapter"/>
      <w:bookmarkStart w:id="19" w:name="ChapterNumber"/>
      <w:bookmarkStart w:id="20" w:name="_Toc31978958"/>
      <w:bookmarkEnd w:id="18"/>
      <w:r>
        <w:t>A</w:t>
      </w:r>
      <w:bookmarkEnd w:id="19"/>
      <w:r>
        <w:tab/>
      </w:r>
      <w:bookmarkStart w:id="21" w:name="ChapterTitle"/>
      <w:r>
        <w:t>Technical appendix</w:t>
      </w:r>
      <w:bookmarkEnd w:id="21"/>
    </w:p>
    <w:p w14:paraId="70085D7D" w14:textId="77777777" w:rsidR="007720E8" w:rsidRDefault="00AE4410" w:rsidP="007720E8">
      <w:pPr>
        <w:pStyle w:val="Heading2"/>
      </w:pPr>
      <w:r>
        <w:fldChar w:fldCharType="begin"/>
      </w:r>
      <w:r>
        <w:instrText xml:space="preserve"> COMMENTS  \* MERGEFORMAT </w:instrText>
      </w:r>
      <w:r>
        <w:fldChar w:fldCharType="separate"/>
      </w:r>
      <w:r w:rsidR="007720E8">
        <w:t>A.</w:t>
      </w:r>
      <w:r>
        <w:fldChar w:fldCharType="end"/>
      </w:r>
      <w:r w:rsidR="007720E8">
        <w:rPr>
          <w:noProof/>
        </w:rPr>
        <w:fldChar w:fldCharType="begin"/>
      </w:r>
      <w:r w:rsidR="007720E8">
        <w:rPr>
          <w:noProof/>
        </w:rPr>
        <w:instrText xml:space="preserve"> SEQ Heading2 </w:instrText>
      </w:r>
      <w:r w:rsidR="007720E8">
        <w:rPr>
          <w:noProof/>
        </w:rPr>
        <w:fldChar w:fldCharType="separate"/>
      </w:r>
      <w:r w:rsidR="005007F4">
        <w:rPr>
          <w:noProof/>
        </w:rPr>
        <w:t>1</w:t>
      </w:r>
      <w:r w:rsidR="007720E8">
        <w:rPr>
          <w:noProof/>
        </w:rPr>
        <w:fldChar w:fldCharType="end"/>
      </w:r>
      <w:r w:rsidR="007720E8">
        <w:tab/>
        <w:t>Industry decomposition of labour productivity</w:t>
      </w:r>
    </w:p>
    <w:p w14:paraId="0BF777BA" w14:textId="77777777" w:rsidR="007720E8" w:rsidRDefault="007720E8" w:rsidP="007720E8">
      <w:pPr>
        <w:pStyle w:val="BodyText"/>
      </w:pPr>
      <w:r>
        <w:t>Starting with the definition of the change in market sector labour productivity as the sum of each of the industries’ gross value added divided by the sum of the total industries’ hours worked, it is easy to show that:</w:t>
      </w:r>
    </w:p>
    <w:p w14:paraId="2FB8E307" w14:textId="77777777" w:rsidR="007720E8" w:rsidRPr="00E862F8" w:rsidRDefault="00AE4410" w:rsidP="007720E8">
      <w:pPr>
        <w:pStyle w:val="BodyText"/>
      </w:pPr>
      <m:oMathPara>
        <m:oMath>
          <m:sSub>
            <m:sSubPr>
              <m:ctrlPr>
                <w:rPr>
                  <w:rFonts w:ascii="Cambria Math" w:hAnsi="Cambria Math"/>
                  <w:i/>
                </w:rPr>
              </m:ctrlPr>
            </m:sSubPr>
            <m:e>
              <m:r>
                <w:rPr>
                  <w:rFonts w:ascii="Cambria Math" w:hAnsi="Cambria Math"/>
                </w:rPr>
                <m:t>∆LP</m:t>
              </m:r>
            </m:e>
            <m:sub>
              <m:r>
                <w:rPr>
                  <w:rFonts w:ascii="Cambria Math" w:hAnsi="Cambria Math"/>
                </w:rPr>
                <m:t>m</m:t>
              </m:r>
            </m:sub>
          </m:sSub>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GVA</m:t>
                      </m:r>
                    </m:e>
                    <m:sub>
                      <m:r>
                        <w:rPr>
                          <w:rFonts w:ascii="Cambria Math" w:hAnsi="Cambria Math"/>
                        </w:rPr>
                        <m:t>i,t+n</m:t>
                      </m:r>
                    </m:sub>
                  </m:sSub>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Hours</m:t>
                      </m:r>
                    </m:e>
                    <m:sub>
                      <m:r>
                        <w:rPr>
                          <w:rFonts w:ascii="Cambria Math" w:hAnsi="Cambria Math"/>
                        </w:rPr>
                        <m:t>i,t+n</m:t>
                      </m:r>
                    </m:sub>
                  </m:sSub>
                </m:e>
              </m:nary>
            </m:den>
          </m:f>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GVA</m:t>
                      </m:r>
                    </m:e>
                    <m:sub>
                      <m:r>
                        <w:rPr>
                          <w:rFonts w:ascii="Cambria Math" w:hAnsi="Cambria Math"/>
                        </w:rPr>
                        <m:t>i,t</m:t>
                      </m:r>
                    </m:sub>
                  </m:sSub>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Hours</m:t>
                      </m:r>
                    </m:e>
                    <m:sub>
                      <m:r>
                        <w:rPr>
                          <w:rFonts w:ascii="Cambria Math" w:hAnsi="Cambria Math"/>
                        </w:rPr>
                        <m:t>i,t</m:t>
                      </m:r>
                    </m:sub>
                  </m:sSub>
                </m:e>
              </m:nary>
            </m:den>
          </m:f>
          <m:r>
            <w:rPr>
              <w:rFonts w:ascii="Cambria Math" w:hAnsi="Cambria Math"/>
            </w:rPr>
            <m:t xml:space="preserve"> </m:t>
          </m:r>
        </m:oMath>
      </m:oMathPara>
    </w:p>
    <w:p w14:paraId="62EA4FD1" w14:textId="77777777" w:rsidR="007720E8" w:rsidRPr="00E862F8" w:rsidRDefault="00AE4410" w:rsidP="007720E8">
      <w:pPr>
        <w:pStyle w:val="BodyText"/>
      </w:pPr>
      <m:oMathPara>
        <m:oMath>
          <m:sSub>
            <m:sSubPr>
              <m:ctrlPr>
                <w:rPr>
                  <w:rFonts w:ascii="Cambria Math" w:hAnsi="Cambria Math"/>
                  <w:i/>
                </w:rPr>
              </m:ctrlPr>
            </m:sSubPr>
            <m:e>
              <m:r>
                <w:rPr>
                  <w:rFonts w:ascii="Cambria Math" w:hAnsi="Cambria Math"/>
                </w:rPr>
                <m:t>∆LP</m:t>
              </m:r>
            </m:e>
            <m:sub>
              <m:r>
                <w:rPr>
                  <w:rFonts w:ascii="Cambria Math" w:hAnsi="Cambria Math"/>
                </w:rPr>
                <m:t>m</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LP</m:t>
                  </m:r>
                </m:e>
                <m:sub>
                  <m:r>
                    <w:rPr>
                      <w:rFonts w:ascii="Cambria Math" w:hAnsi="Cambria Math"/>
                    </w:rPr>
                    <m:t>i,t+n</m:t>
                  </m:r>
                </m:sub>
              </m:sSub>
              <m:sSub>
                <m:sSubPr>
                  <m:ctrlPr>
                    <w:rPr>
                      <w:rFonts w:ascii="Cambria Math" w:hAnsi="Cambria Math"/>
                      <w:i/>
                    </w:rPr>
                  </m:ctrlPr>
                </m:sSubPr>
                <m:e>
                  <m:r>
                    <w:rPr>
                      <w:rFonts w:ascii="Cambria Math" w:hAnsi="Cambria Math"/>
                    </w:rPr>
                    <m:t>s</m:t>
                  </m:r>
                </m:e>
                <m:sub>
                  <m:r>
                    <w:rPr>
                      <w:rFonts w:ascii="Cambria Math" w:hAnsi="Cambria Math"/>
                    </w:rPr>
                    <m:t>i,t+n</m:t>
                  </m:r>
                </m:sub>
              </m:sSub>
            </m:e>
          </m:nary>
          <m: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LP</m:t>
                  </m:r>
                </m:e>
                <m:sub>
                  <m:r>
                    <w:rPr>
                      <w:rFonts w:ascii="Cambria Math" w:hAnsi="Cambria Math"/>
                    </w:rPr>
                    <m:t>i,t</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i,t</m:t>
                  </m:r>
                </m:sub>
              </m:sSub>
            </m:e>
          </m:nary>
        </m:oMath>
      </m:oMathPara>
    </w:p>
    <w:p w14:paraId="520501AE" w14:textId="77777777" w:rsidR="007720E8" w:rsidRPr="00E862F8" w:rsidRDefault="00AE4410" w:rsidP="007720E8">
      <w:pPr>
        <w:pStyle w:val="BodyText"/>
      </w:pPr>
      <m:oMathPara>
        <m:oMath>
          <m:sSub>
            <m:sSubPr>
              <m:ctrlPr>
                <w:rPr>
                  <w:rFonts w:ascii="Cambria Math" w:hAnsi="Cambria Math"/>
                  <w:i/>
                </w:rPr>
              </m:ctrlPr>
            </m:sSubPr>
            <m:e>
              <m:r>
                <w:rPr>
                  <w:rFonts w:ascii="Cambria Math" w:hAnsi="Cambria Math"/>
                </w:rPr>
                <m:t>∆LP</m:t>
              </m:r>
            </m:e>
            <m:sub>
              <m:r>
                <w:rPr>
                  <w:rFonts w:ascii="Cambria Math" w:hAnsi="Cambria Math"/>
                </w:rPr>
                <m:t>m</m:t>
              </m:r>
            </m:sub>
          </m:sSub>
          <m:r>
            <w:rPr>
              <w:rFonts w:ascii="Cambria Math" w:hAnsi="Cambria Math"/>
            </w:rPr>
            <m:t xml:space="preserve">= </m:t>
          </m:r>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LP</m:t>
                  </m:r>
                </m:e>
                <m:sub>
                  <m:r>
                    <w:rPr>
                      <w:rFonts w:ascii="Cambria Math" w:hAnsi="Cambria Math"/>
                    </w:rPr>
                    <m:t>i</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e>
          </m:nary>
          <m: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acc>
                    <m:accPr>
                      <m:chr m:val="̅"/>
                      <m:ctrlPr>
                        <w:rPr>
                          <w:rFonts w:ascii="Cambria Math" w:hAnsi="Cambria Math"/>
                          <w:i/>
                        </w:rPr>
                      </m:ctrlPr>
                    </m:accPr>
                    <m:e>
                      <m:r>
                        <w:rPr>
                          <w:rFonts w:ascii="Cambria Math" w:hAnsi="Cambria Math"/>
                        </w:rPr>
                        <m:t>LP</m:t>
                      </m:r>
                    </m:e>
                  </m:acc>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m:t>
                  </m:r>
                </m:sub>
              </m:sSub>
            </m:e>
          </m:nary>
        </m:oMath>
      </m:oMathPara>
    </w:p>
    <w:p w14:paraId="251E5A9C" w14:textId="77777777" w:rsidR="007720E8" w:rsidRPr="002078EC" w:rsidRDefault="007720E8" w:rsidP="007720E8">
      <w:pPr>
        <w:pStyle w:val="BodyText"/>
        <w:rPr>
          <w:spacing w:val="-4"/>
        </w:rPr>
      </w:pPr>
      <w:r w:rsidRPr="002078EC">
        <w:rPr>
          <w:spacing w:val="-4"/>
        </w:rPr>
        <w:t>Where:</w:t>
      </w:r>
      <m:oMath>
        <m:r>
          <w:rPr>
            <w:rFonts w:ascii="Cambria Math" w:hAnsi="Cambria Math"/>
            <w:spacing w:val="-4"/>
          </w:rPr>
          <m:t xml:space="preserve"> LP</m:t>
        </m:r>
      </m:oMath>
      <w:r w:rsidRPr="002078EC">
        <w:rPr>
          <w:spacing w:val="-4"/>
        </w:rPr>
        <w:t xml:space="preserve"> is labour productivity, </w:t>
      </w:r>
      <m:oMath>
        <m:r>
          <w:rPr>
            <w:rFonts w:ascii="Cambria Math" w:hAnsi="Cambria Math"/>
            <w:spacing w:val="-4"/>
          </w:rPr>
          <m:t>s</m:t>
        </m:r>
      </m:oMath>
      <w:r w:rsidRPr="002078EC">
        <w:rPr>
          <w:spacing w:val="-4"/>
        </w:rPr>
        <w:t xml:space="preserve"> is the share of a particular industry of total hours worked, </w:t>
      </w:r>
      <m:oMath>
        <m:r>
          <w:rPr>
            <w:rFonts w:ascii="Cambria Math" w:hAnsi="Cambria Math"/>
            <w:spacing w:val="-4"/>
          </w:rPr>
          <m:t>∆</m:t>
        </m:r>
      </m:oMath>
      <w:r w:rsidRPr="002078EC">
        <w:rPr>
          <w:spacing w:val="-4"/>
        </w:rPr>
        <w:t xml:space="preserve"> is the arithmetic change in a variable, a bar denotes the average of a variable across both time periods, subscript </w:t>
      </w:r>
      <m:oMath>
        <m:r>
          <w:rPr>
            <w:rFonts w:ascii="Cambria Math" w:hAnsi="Cambria Math"/>
            <w:spacing w:val="-4"/>
          </w:rPr>
          <m:t>i</m:t>
        </m:r>
      </m:oMath>
      <w:r w:rsidRPr="002078EC">
        <w:rPr>
          <w:spacing w:val="-4"/>
        </w:rPr>
        <w:t xml:space="preserve"> refers to industry i, and subscript </w:t>
      </w:r>
      <m:oMath>
        <m:r>
          <w:rPr>
            <w:rFonts w:ascii="Cambria Math" w:hAnsi="Cambria Math"/>
            <w:spacing w:val="-4"/>
          </w:rPr>
          <m:t>m</m:t>
        </m:r>
      </m:oMath>
      <w:r w:rsidRPr="002078EC">
        <w:rPr>
          <w:spacing w:val="-4"/>
        </w:rPr>
        <w:t xml:space="preserve"> refers to the market sector as a whole. </w:t>
      </w:r>
    </w:p>
    <w:p w14:paraId="1886E9D1" w14:textId="77777777" w:rsidR="007720E8" w:rsidRDefault="007720E8" w:rsidP="007720E8">
      <w:pPr>
        <w:pStyle w:val="BodyText"/>
      </w:pPr>
      <w:r>
        <w:t xml:space="preserve">Here the first term on the LHS gives the </w:t>
      </w:r>
      <w:r>
        <w:rPr>
          <w:i/>
        </w:rPr>
        <w:t>within effect</w:t>
      </w:r>
      <w:r>
        <w:t xml:space="preserve"> of an industry to the change in market sector labour productivity, and the second term the </w:t>
      </w:r>
      <w:r>
        <w:rPr>
          <w:i/>
        </w:rPr>
        <w:t>between effect</w:t>
      </w:r>
      <w:r>
        <w:t xml:space="preserve"> of an industry. However, a decomposition of this type would show a positive between effect for any industry that increased its share of total hours. The following tweak solves this issue:</w:t>
      </w:r>
    </w:p>
    <w:p w14:paraId="0AC4B3EC" w14:textId="77777777" w:rsidR="007720E8" w:rsidRPr="00E862F8" w:rsidRDefault="00AE4410" w:rsidP="007720E8">
      <w:pPr>
        <w:pStyle w:val="BodyText"/>
      </w:pPr>
      <m:oMathPara>
        <m:oMath>
          <m:sSub>
            <m:sSubPr>
              <m:ctrlPr>
                <w:rPr>
                  <w:rFonts w:ascii="Cambria Math" w:hAnsi="Cambria Math"/>
                  <w:i/>
                </w:rPr>
              </m:ctrlPr>
            </m:sSubPr>
            <m:e>
              <m:r>
                <w:rPr>
                  <w:rFonts w:ascii="Cambria Math" w:hAnsi="Cambria Math"/>
                </w:rPr>
                <m:t>∆LP</m:t>
              </m:r>
            </m:e>
            <m:sub>
              <m:r>
                <w:rPr>
                  <w:rFonts w:ascii="Cambria Math" w:hAnsi="Cambria Math"/>
                </w:rPr>
                <m:t>m</m:t>
              </m:r>
            </m:sub>
          </m:sSub>
          <m:r>
            <w:rPr>
              <w:rFonts w:ascii="Cambria Math" w:hAnsi="Cambria Math"/>
            </w:rPr>
            <m:t xml:space="preserve">= </m:t>
          </m:r>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LP</m:t>
                  </m:r>
                </m:e>
                <m:sub>
                  <m:r>
                    <w:rPr>
                      <w:rFonts w:ascii="Cambria Math" w:hAnsi="Cambria Math"/>
                    </w:rPr>
                    <m:t>i</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e>
          </m:nary>
          <m: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acc>
                    <m:accPr>
                      <m:chr m:val="̅"/>
                      <m:ctrlPr>
                        <w:rPr>
                          <w:rFonts w:ascii="Cambria Math" w:hAnsi="Cambria Math"/>
                          <w:i/>
                        </w:rPr>
                      </m:ctrlPr>
                    </m:accPr>
                    <m:e>
                      <m:r>
                        <w:rPr>
                          <w:rFonts w:ascii="Cambria Math" w:hAnsi="Cambria Math"/>
                        </w:rPr>
                        <m:t>LP</m:t>
                      </m:r>
                    </m:e>
                  </m:acc>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m:t>
                  </m:r>
                </m:sub>
              </m:sSub>
            </m:e>
          </m:nary>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LP</m:t>
                  </m:r>
                </m:e>
              </m:acc>
            </m:e>
            <m:sub>
              <m:r>
                <w:rPr>
                  <w:rFonts w:ascii="Cambria Math" w:hAnsi="Cambria Math"/>
                </w:rPr>
                <m:t>m</m:t>
              </m:r>
            </m:sub>
          </m:sSub>
          <m:nary>
            <m:naryPr>
              <m:chr m:val="∑"/>
              <m:limLoc m:val="undOvr"/>
              <m:subHide m:val="1"/>
              <m:supHide m:val="1"/>
              <m:ctrlPr>
                <w:rPr>
                  <w:rFonts w:ascii="Cambria Math" w:hAnsi="Cambria Math"/>
                  <w:i/>
                </w:rPr>
              </m:ctrlPr>
            </m:naryPr>
            <m:sub/>
            <m:sup/>
            <m:e>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m:t>
                  </m:r>
                </m:sub>
              </m:sSub>
            </m:e>
          </m:nary>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LP</m:t>
                  </m:r>
                </m:e>
              </m:acc>
            </m:e>
            <m:sub>
              <m:r>
                <w:rPr>
                  <w:rFonts w:ascii="Cambria Math" w:hAnsi="Cambria Math"/>
                </w:rPr>
                <m:t>m</m:t>
              </m:r>
            </m:sub>
          </m:sSub>
          <m:nary>
            <m:naryPr>
              <m:chr m:val="∑"/>
              <m:limLoc m:val="undOvr"/>
              <m:subHide m:val="1"/>
              <m:supHide m:val="1"/>
              <m:ctrlPr>
                <w:rPr>
                  <w:rFonts w:ascii="Cambria Math" w:hAnsi="Cambria Math"/>
                  <w:i/>
                </w:rPr>
              </m:ctrlPr>
            </m:naryPr>
            <m:sub/>
            <m:sup/>
            <m:e>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m:t>
                  </m:r>
                </m:sub>
              </m:sSub>
            </m:e>
          </m:nary>
          <m:r>
            <w:rPr>
              <w:rFonts w:ascii="Cambria Math" w:hAnsi="Cambria Math"/>
            </w:rPr>
            <m:t xml:space="preserve"> </m:t>
          </m:r>
        </m:oMath>
      </m:oMathPara>
    </w:p>
    <w:p w14:paraId="373712AB" w14:textId="77777777" w:rsidR="007720E8" w:rsidRPr="00582E7E" w:rsidRDefault="00AE4410" w:rsidP="007720E8">
      <w:pPr>
        <w:pStyle w:val="BodyText"/>
      </w:pPr>
      <m:oMathPara>
        <m:oMath>
          <m:sSub>
            <m:sSubPr>
              <m:ctrlPr>
                <w:rPr>
                  <w:rFonts w:ascii="Cambria Math" w:hAnsi="Cambria Math"/>
                  <w:i/>
                </w:rPr>
              </m:ctrlPr>
            </m:sSubPr>
            <m:e>
              <m:r>
                <w:rPr>
                  <w:rFonts w:ascii="Cambria Math" w:hAnsi="Cambria Math"/>
                </w:rPr>
                <m:t>∆LP</m:t>
              </m:r>
            </m:e>
            <m:sub>
              <m:r>
                <w:rPr>
                  <w:rFonts w:ascii="Cambria Math" w:hAnsi="Cambria Math"/>
                </w:rPr>
                <m:t>m</m:t>
              </m:r>
            </m:sub>
          </m:sSub>
          <m:r>
            <w:rPr>
              <w:rFonts w:ascii="Cambria Math" w:hAnsi="Cambria Math"/>
            </w:rPr>
            <m:t xml:space="preserve">= </m:t>
          </m:r>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LP</m:t>
                  </m:r>
                </m:e>
                <m:sub>
                  <m:r>
                    <w:rPr>
                      <w:rFonts w:ascii="Cambria Math" w:hAnsi="Cambria Math"/>
                    </w:rPr>
                    <m:t>i</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e>
          </m:nary>
          <m:r>
            <w:rPr>
              <w:rFonts w:ascii="Cambria Math" w:hAnsi="Cambria Math"/>
            </w:rPr>
            <m:t xml:space="preserve">+ </m:t>
          </m:r>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LP</m:t>
                      </m:r>
                    </m:e>
                  </m:acc>
                </m:e>
                <m:sub>
                  <m:r>
                    <w:rPr>
                      <w:rFonts w:ascii="Cambria Math" w:hAnsi="Cambria Math"/>
                    </w:rPr>
                    <m:t>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LP</m:t>
                      </m:r>
                    </m:e>
                  </m:acc>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m:t>
                  </m:r>
                </m:sub>
              </m:sSub>
            </m:e>
          </m:nary>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LP</m:t>
                  </m:r>
                </m:e>
              </m:acc>
            </m:e>
            <m:sub>
              <m:r>
                <w:rPr>
                  <w:rFonts w:ascii="Cambria Math" w:hAnsi="Cambria Math"/>
                </w:rPr>
                <m:t>m</m:t>
              </m:r>
            </m:sub>
          </m:sSub>
          <m:nary>
            <m:naryPr>
              <m:chr m:val="∑"/>
              <m:limLoc m:val="undOvr"/>
              <m:subHide m:val="1"/>
              <m:supHide m:val="1"/>
              <m:ctrlPr>
                <w:rPr>
                  <w:rFonts w:ascii="Cambria Math" w:hAnsi="Cambria Math"/>
                  <w:i/>
                </w:rPr>
              </m:ctrlPr>
            </m:naryPr>
            <m:sub/>
            <m:sup/>
            <m:e>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i.t+n</m:t>
                  </m:r>
                </m:sub>
              </m:sSub>
            </m:e>
          </m:nary>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LP</m:t>
                  </m:r>
                </m:e>
              </m:acc>
            </m:e>
            <m:sub>
              <m:r>
                <w:rPr>
                  <w:rFonts w:ascii="Cambria Math" w:hAnsi="Cambria Math"/>
                </w:rPr>
                <m:t>m</m:t>
              </m:r>
            </m:sub>
          </m:sSub>
          <m:nary>
            <m:naryPr>
              <m:chr m:val="∑"/>
              <m:limLoc m:val="undOvr"/>
              <m:subHide m:val="1"/>
              <m:supHide m:val="1"/>
              <m:ctrlPr>
                <w:rPr>
                  <w:rFonts w:ascii="Cambria Math" w:hAnsi="Cambria Math"/>
                  <w:i/>
                </w:rPr>
              </m:ctrlPr>
            </m:naryPr>
            <m:sub/>
            <m:sup/>
            <m:e>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i.t</m:t>
                  </m:r>
                </m:sub>
              </m:sSub>
            </m:e>
          </m:nary>
        </m:oMath>
      </m:oMathPara>
    </w:p>
    <w:p w14:paraId="56D3EADC" w14:textId="77777777" w:rsidR="007720E8" w:rsidRDefault="007720E8" w:rsidP="007720E8">
      <w:pPr>
        <w:pStyle w:val="BodyText"/>
      </w:pPr>
      <w:r>
        <w:t xml:space="preserve">However, </w:t>
      </w:r>
      <m:oMath>
        <m:nary>
          <m:naryPr>
            <m:chr m:val="∑"/>
            <m:limLoc m:val="undOvr"/>
            <m:subHide m:val="1"/>
            <m:supHide m:val="1"/>
            <m:ctrlPr>
              <w:rPr>
                <w:rFonts w:ascii="Cambria Math" w:hAnsi="Cambria Math"/>
                <w:i/>
              </w:rPr>
            </m:ctrlPr>
          </m:naryPr>
          <m:sub/>
          <m:sup/>
          <m:e>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i.t</m:t>
                </m:r>
              </m:sub>
            </m:sSub>
          </m:e>
        </m:nary>
        <m:r>
          <w:rPr>
            <w:rFonts w:ascii="Cambria Math" w:hAnsi="Cambria Math"/>
          </w:rPr>
          <m:t>=1</m:t>
        </m:r>
      </m:oMath>
      <w:r>
        <w:t xml:space="preserve"> for any </w:t>
      </w:r>
      <m:oMath>
        <m:r>
          <w:rPr>
            <w:rFonts w:ascii="Cambria Math" w:hAnsi="Cambria Math"/>
          </w:rPr>
          <m:t>t</m:t>
        </m:r>
      </m:oMath>
      <w:r>
        <w:t>, so this simplifies to:</w:t>
      </w:r>
    </w:p>
    <w:p w14:paraId="1AE5D15E" w14:textId="77777777" w:rsidR="007720E8" w:rsidRPr="00582E7E" w:rsidRDefault="00AE4410" w:rsidP="007720E8">
      <w:pPr>
        <w:pStyle w:val="BodyText"/>
      </w:pPr>
      <m:oMathPara>
        <m:oMath>
          <m:sSub>
            <m:sSubPr>
              <m:ctrlPr>
                <w:rPr>
                  <w:rFonts w:ascii="Cambria Math" w:hAnsi="Cambria Math"/>
                  <w:i/>
                </w:rPr>
              </m:ctrlPr>
            </m:sSubPr>
            <m:e>
              <m:r>
                <w:rPr>
                  <w:rFonts w:ascii="Cambria Math" w:hAnsi="Cambria Math"/>
                </w:rPr>
                <m:t>∆LP</m:t>
              </m:r>
            </m:e>
            <m:sub>
              <m:r>
                <w:rPr>
                  <w:rFonts w:ascii="Cambria Math" w:hAnsi="Cambria Math"/>
                </w:rPr>
                <m:t>m</m:t>
              </m:r>
            </m:sub>
          </m:sSub>
          <m:r>
            <w:rPr>
              <w:rFonts w:ascii="Cambria Math" w:hAnsi="Cambria Math"/>
            </w:rPr>
            <m:t xml:space="preserve">= </m:t>
          </m:r>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LP</m:t>
                  </m:r>
                </m:e>
                <m:sub>
                  <m:r>
                    <w:rPr>
                      <w:rFonts w:ascii="Cambria Math" w:hAnsi="Cambria Math"/>
                    </w:rPr>
                    <m:t>i</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e>
          </m:nary>
          <m:r>
            <w:rPr>
              <w:rFonts w:ascii="Cambria Math" w:hAnsi="Cambria Math"/>
            </w:rPr>
            <m:t xml:space="preserve">+ </m:t>
          </m:r>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LP</m:t>
                      </m:r>
                    </m:e>
                  </m:acc>
                </m:e>
                <m:sub>
                  <m:r>
                    <w:rPr>
                      <w:rFonts w:ascii="Cambria Math" w:hAnsi="Cambria Math"/>
                    </w:rPr>
                    <m:t>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LP</m:t>
                      </m:r>
                    </m:e>
                  </m:acc>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m:t>
                  </m:r>
                </m:sub>
              </m:sSub>
            </m:e>
          </m:nary>
        </m:oMath>
      </m:oMathPara>
    </w:p>
    <w:p w14:paraId="7D9DB5A6" w14:textId="77777777" w:rsidR="007720E8" w:rsidRDefault="007720E8" w:rsidP="007720E8">
      <w:pPr>
        <w:pStyle w:val="BodyText"/>
      </w:pPr>
      <w:r>
        <w:t xml:space="preserve">Once again, the first term is the within effect but now the second term, the between effect, is only positive when an industry with </w:t>
      </w:r>
      <w:r>
        <w:rPr>
          <w:i/>
        </w:rPr>
        <w:t>higher than average</w:t>
      </w:r>
      <w:r>
        <w:t xml:space="preserve"> labour productivity increases its share of total hours worked. Finally, to convert the arithmetic change in labour productivity to a percentage growth formula, simply divide both sides by market sector labour productivity in the first period:</w:t>
      </w:r>
    </w:p>
    <w:p w14:paraId="264E8B7B" w14:textId="77777777" w:rsidR="007720E8" w:rsidRPr="00C6702E" w:rsidRDefault="00AE4410" w:rsidP="007720E8">
      <w:pPr>
        <w:pStyle w:val="BodyText"/>
      </w:pPr>
      <m:oMathPara>
        <m:oMath>
          <m:sSub>
            <m:sSubPr>
              <m:ctrlPr>
                <w:rPr>
                  <w:rFonts w:ascii="Cambria Math" w:hAnsi="Cambria Math"/>
                  <w:i/>
                </w:rPr>
              </m:ctrlPr>
            </m:sSubPr>
            <m:e>
              <m:r>
                <w:rPr>
                  <w:rFonts w:ascii="Cambria Math" w:hAnsi="Cambria Math"/>
                </w:rPr>
                <m:t>g</m:t>
              </m:r>
            </m:e>
            <m:sub>
              <m:r>
                <w:rPr>
                  <w:rFonts w:ascii="Cambria Math" w:hAnsi="Cambria Math"/>
                </w:rPr>
                <m:t>m,LP</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LP</m:t>
                  </m:r>
                </m:e>
                <m:sub>
                  <m:r>
                    <w:rPr>
                      <w:rFonts w:ascii="Cambria Math" w:hAnsi="Cambria Math"/>
                    </w:rPr>
                    <m:t>m,1</m:t>
                  </m:r>
                </m:sub>
              </m:sSub>
            </m:den>
          </m:f>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LP</m:t>
                  </m:r>
                </m:e>
                <m:sub>
                  <m:r>
                    <w:rPr>
                      <w:rFonts w:ascii="Cambria Math" w:hAnsi="Cambria Math"/>
                    </w:rPr>
                    <m:t>i</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e>
          </m:nary>
          <m:r>
            <w:rPr>
              <w:rFonts w:ascii="Cambria Math" w:hAnsi="Cambria Math"/>
            </w:rPr>
            <m:t xml:space="preserve">+ </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LP</m:t>
                  </m:r>
                </m:e>
                <m:sub>
                  <m:r>
                    <w:rPr>
                      <w:rFonts w:ascii="Cambria Math" w:hAnsi="Cambria Math"/>
                    </w:rPr>
                    <m:t>m,1</m:t>
                  </m:r>
                </m:sub>
              </m:sSub>
            </m:den>
          </m:f>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LP</m:t>
                      </m:r>
                    </m:e>
                  </m:acc>
                </m:e>
                <m:sub>
                  <m:r>
                    <w:rPr>
                      <w:rFonts w:ascii="Cambria Math" w:hAnsi="Cambria Math"/>
                    </w:rPr>
                    <m:t>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LP</m:t>
                      </m:r>
                    </m:e>
                  </m:acc>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m:t>
                  </m:r>
                </m:sub>
              </m:sSub>
            </m:e>
          </m:nary>
        </m:oMath>
      </m:oMathPara>
    </w:p>
    <w:p w14:paraId="2E49AFFF" w14:textId="77777777" w:rsidR="007720E8" w:rsidRDefault="007720E8" w:rsidP="007720E8">
      <w:pPr>
        <w:pStyle w:val="BodyText"/>
        <w:sectPr w:rsidR="007720E8" w:rsidSect="00D32867">
          <w:headerReference w:type="even" r:id="rId42"/>
          <w:headerReference w:type="default" r:id="rId43"/>
          <w:footerReference w:type="even" r:id="rId44"/>
          <w:footerReference w:type="default" r:id="rId45"/>
          <w:pgSz w:w="11907" w:h="16840" w:code="9"/>
          <w:pgMar w:top="1985" w:right="1304" w:bottom="1247" w:left="1814" w:header="1701" w:footer="397" w:gutter="0"/>
          <w:pgNumType w:chapStyle="1" w:chapSep="period"/>
          <w:cols w:space="720"/>
        </w:sectPr>
      </w:pPr>
      <w:r>
        <w:t>Annualising and then differencing these gives the effect of particular industries (and the split of within and between effects) on the overall productivity slowdown can be determined (table A.1).</w:t>
      </w:r>
    </w:p>
    <w:p w14:paraId="5BF199F5" w14:textId="77777777" w:rsidR="007720E8" w:rsidRDefault="007720E8" w:rsidP="007720E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608"/>
      </w:tblGrid>
      <w:tr w:rsidR="007720E8" w14:paraId="1156718D" w14:textId="77777777" w:rsidTr="007720E8">
        <w:trPr>
          <w:tblHeader/>
        </w:trPr>
        <w:tc>
          <w:tcPr>
            <w:tcW w:w="5000" w:type="pct"/>
            <w:tcBorders>
              <w:top w:val="single" w:sz="6" w:space="0" w:color="78A22F"/>
              <w:left w:val="nil"/>
              <w:bottom w:val="nil"/>
              <w:right w:val="nil"/>
            </w:tcBorders>
            <w:shd w:val="clear" w:color="auto" w:fill="auto"/>
          </w:tcPr>
          <w:p w14:paraId="5EAC416A" w14:textId="77777777" w:rsidR="007720E8" w:rsidRPr="00784A05" w:rsidRDefault="007720E8" w:rsidP="007720E8">
            <w:pPr>
              <w:pStyle w:val="TableTitle"/>
            </w:pPr>
            <w:r>
              <w:rPr>
                <w:b w:val="0"/>
              </w:rPr>
              <w:t xml:space="preserve">Table </w:t>
            </w:r>
            <w:r>
              <w:fldChar w:fldCharType="begin"/>
            </w:r>
            <w:r>
              <w:rPr>
                <w:b w:val="0"/>
              </w:rPr>
              <w:instrText xml:space="preserve"> COMMENTS  \* MERGEFORMAT </w:instrText>
            </w:r>
            <w:r>
              <w:fldChar w:fldCharType="separate"/>
            </w:r>
            <w:r>
              <w:rPr>
                <w:b w:val="0"/>
              </w:rPr>
              <w:t>A.</w:t>
            </w:r>
            <w:r>
              <w:fldChar w:fldCharType="end"/>
            </w:r>
            <w:r>
              <w:fldChar w:fldCharType="begin"/>
            </w:r>
            <w:r>
              <w:rPr>
                <w:b w:val="0"/>
              </w:rPr>
              <w:instrText xml:space="preserve"> SEQ Table \* ARABIC </w:instrText>
            </w:r>
            <w:r>
              <w:fldChar w:fldCharType="separate"/>
            </w:r>
            <w:r w:rsidR="005007F4">
              <w:rPr>
                <w:b w:val="0"/>
                <w:noProof/>
              </w:rPr>
              <w:t>1</w:t>
            </w:r>
            <w:r>
              <w:fldChar w:fldCharType="end"/>
            </w:r>
            <w:r>
              <w:tab/>
              <w:t>Industry contribution to the labour productivity slowdown</w:t>
            </w:r>
          </w:p>
        </w:tc>
      </w:tr>
      <w:tr w:rsidR="007720E8" w14:paraId="33B19C96" w14:textId="77777777" w:rsidTr="007720E8">
        <w:tc>
          <w:tcPr>
            <w:tcW w:w="5000" w:type="pct"/>
            <w:tcBorders>
              <w:top w:val="nil"/>
              <w:left w:val="nil"/>
              <w:bottom w:val="nil"/>
              <w:right w:val="nil"/>
            </w:tcBorders>
            <w:shd w:val="clear" w:color="auto" w:fill="auto"/>
          </w:tcPr>
          <w:tbl>
            <w:tblPr>
              <w:tblW w:w="13325" w:type="dxa"/>
              <w:tblCellMar>
                <w:top w:w="28" w:type="dxa"/>
                <w:left w:w="0" w:type="dxa"/>
                <w:right w:w="0" w:type="dxa"/>
              </w:tblCellMar>
              <w:tblLook w:val="0000" w:firstRow="0" w:lastRow="0" w:firstColumn="0" w:lastColumn="0" w:noHBand="0" w:noVBand="0"/>
            </w:tblPr>
            <w:tblGrid>
              <w:gridCol w:w="3809"/>
              <w:gridCol w:w="952"/>
              <w:gridCol w:w="951"/>
              <w:gridCol w:w="951"/>
              <w:gridCol w:w="781"/>
              <w:gridCol w:w="983"/>
              <w:gridCol w:w="983"/>
              <w:gridCol w:w="925"/>
              <w:gridCol w:w="925"/>
              <w:gridCol w:w="927"/>
              <w:gridCol w:w="1138"/>
            </w:tblGrid>
            <w:tr w:rsidR="007720E8" w14:paraId="006E732F" w14:textId="77777777" w:rsidTr="007720E8">
              <w:trPr>
                <w:tblHeader/>
              </w:trPr>
              <w:tc>
                <w:tcPr>
                  <w:tcW w:w="1429" w:type="pct"/>
                  <w:tcBorders>
                    <w:top w:val="single" w:sz="6" w:space="0" w:color="BFBFBF"/>
                  </w:tcBorders>
                  <w:shd w:val="clear" w:color="auto" w:fill="auto"/>
                  <w:tcMar>
                    <w:top w:w="28" w:type="dxa"/>
                  </w:tcMar>
                </w:tcPr>
                <w:p w14:paraId="3C4EF33B" w14:textId="77777777" w:rsidR="007720E8" w:rsidRDefault="007720E8" w:rsidP="007720E8">
                  <w:pPr>
                    <w:pStyle w:val="TableColumnHeading"/>
                    <w:jc w:val="left"/>
                  </w:pPr>
                </w:p>
              </w:tc>
              <w:tc>
                <w:tcPr>
                  <w:tcW w:w="1071" w:type="pct"/>
                  <w:gridSpan w:val="3"/>
                  <w:tcBorders>
                    <w:top w:val="single" w:sz="6" w:space="0" w:color="BFBFBF"/>
                    <w:bottom w:val="single" w:sz="6" w:space="0" w:color="BFBFBF"/>
                    <w:right w:val="single" w:sz="6" w:space="0" w:color="BFBFBF"/>
                  </w:tcBorders>
                </w:tcPr>
                <w:p w14:paraId="3BD60370" w14:textId="77777777" w:rsidR="007720E8" w:rsidRPr="00BA36FD" w:rsidRDefault="007720E8" w:rsidP="007720E8">
                  <w:pPr>
                    <w:pStyle w:val="TableColumnHeading"/>
                    <w:jc w:val="center"/>
                    <w:rPr>
                      <w:b/>
                    </w:rPr>
                  </w:pPr>
                  <w:r w:rsidRPr="00BA36FD">
                    <w:rPr>
                      <w:b/>
                    </w:rPr>
                    <w:t>1974</w:t>
                  </w:r>
                  <w:r w:rsidRPr="00BA36FD">
                    <w:rPr>
                      <w:b/>
                    </w:rPr>
                    <w:noBreakHyphen/>
                    <w:t>75 to 2004</w:t>
                  </w:r>
                  <w:r w:rsidRPr="00BA36FD">
                    <w:rPr>
                      <w:b/>
                    </w:rPr>
                    <w:noBreakHyphen/>
                    <w:t>05</w:t>
                  </w:r>
                </w:p>
              </w:tc>
              <w:tc>
                <w:tcPr>
                  <w:tcW w:w="1031" w:type="pct"/>
                  <w:gridSpan w:val="3"/>
                  <w:tcBorders>
                    <w:top w:val="single" w:sz="6" w:space="0" w:color="BFBFBF"/>
                    <w:left w:val="single" w:sz="6" w:space="0" w:color="BFBFBF"/>
                    <w:bottom w:val="single" w:sz="6" w:space="0" w:color="BFBFBF"/>
                    <w:right w:val="single" w:sz="4" w:space="0" w:color="BFBFBF"/>
                  </w:tcBorders>
                </w:tcPr>
                <w:p w14:paraId="1C4EB3D6" w14:textId="77777777" w:rsidR="007720E8" w:rsidRPr="00BA36FD" w:rsidRDefault="007720E8" w:rsidP="007720E8">
                  <w:pPr>
                    <w:pStyle w:val="TableColumnHeading"/>
                    <w:jc w:val="center"/>
                    <w:rPr>
                      <w:b/>
                    </w:rPr>
                  </w:pPr>
                  <w:r w:rsidRPr="00BA36FD">
                    <w:rPr>
                      <w:b/>
                    </w:rPr>
                    <w:t>2004</w:t>
                  </w:r>
                  <w:r w:rsidRPr="00BA36FD">
                    <w:rPr>
                      <w:b/>
                    </w:rPr>
                    <w:noBreakHyphen/>
                    <w:t xml:space="preserve">05 to </w:t>
                  </w:r>
                  <w:r>
                    <w:rPr>
                      <w:b/>
                    </w:rPr>
                    <w:t>2018-19</w:t>
                  </w:r>
                </w:p>
              </w:tc>
              <w:tc>
                <w:tcPr>
                  <w:tcW w:w="1469" w:type="pct"/>
                  <w:gridSpan w:val="4"/>
                  <w:tcBorders>
                    <w:top w:val="single" w:sz="6" w:space="0" w:color="BFBFBF"/>
                    <w:left w:val="single" w:sz="4" w:space="0" w:color="BFBFBF"/>
                    <w:bottom w:val="single" w:sz="6" w:space="0" w:color="BFBFBF"/>
                  </w:tcBorders>
                </w:tcPr>
                <w:p w14:paraId="1255CB8C" w14:textId="77777777" w:rsidR="007720E8" w:rsidRPr="00BA36FD" w:rsidRDefault="007720E8" w:rsidP="007720E8">
                  <w:pPr>
                    <w:pStyle w:val="TableColumnHeading"/>
                    <w:ind w:right="28"/>
                    <w:jc w:val="center"/>
                    <w:rPr>
                      <w:b/>
                    </w:rPr>
                  </w:pPr>
                  <w:r w:rsidRPr="00BA36FD">
                    <w:rPr>
                      <w:b/>
                    </w:rPr>
                    <w:t>Difference</w:t>
                  </w:r>
                </w:p>
              </w:tc>
            </w:tr>
            <w:tr w:rsidR="007720E8" w14:paraId="7D58FB12" w14:textId="77777777" w:rsidTr="007720E8">
              <w:trPr>
                <w:tblHeader/>
              </w:trPr>
              <w:tc>
                <w:tcPr>
                  <w:tcW w:w="1429" w:type="pct"/>
                  <w:tcBorders>
                    <w:bottom w:val="single" w:sz="24" w:space="0" w:color="FFFFFF" w:themeColor="background1"/>
                  </w:tcBorders>
                  <w:shd w:val="clear" w:color="auto" w:fill="auto"/>
                  <w:tcMar>
                    <w:top w:w="28" w:type="dxa"/>
                  </w:tcMar>
                </w:tcPr>
                <w:p w14:paraId="284583D4" w14:textId="77777777" w:rsidR="007720E8" w:rsidRDefault="007720E8" w:rsidP="007720E8">
                  <w:pPr>
                    <w:pStyle w:val="TableColumnHeading"/>
                    <w:jc w:val="left"/>
                  </w:pPr>
                </w:p>
              </w:tc>
              <w:tc>
                <w:tcPr>
                  <w:tcW w:w="357" w:type="pct"/>
                  <w:tcBorders>
                    <w:top w:val="single" w:sz="6" w:space="0" w:color="BFBFBF"/>
                    <w:bottom w:val="single" w:sz="6" w:space="0" w:color="BFBFBF"/>
                  </w:tcBorders>
                </w:tcPr>
                <w:p w14:paraId="0DDF26E0" w14:textId="77777777" w:rsidR="007720E8" w:rsidRPr="00E72184" w:rsidRDefault="007720E8" w:rsidP="007720E8">
                  <w:pPr>
                    <w:pStyle w:val="TableColumnHeading"/>
                  </w:pPr>
                  <w:r w:rsidRPr="00E72184">
                    <w:t>Within effect</w:t>
                  </w:r>
                </w:p>
              </w:tc>
              <w:tc>
                <w:tcPr>
                  <w:tcW w:w="357" w:type="pct"/>
                  <w:tcBorders>
                    <w:top w:val="single" w:sz="6" w:space="0" w:color="BFBFBF"/>
                    <w:bottom w:val="single" w:sz="6" w:space="0" w:color="BFBFBF"/>
                  </w:tcBorders>
                </w:tcPr>
                <w:p w14:paraId="44E30999" w14:textId="77777777" w:rsidR="007720E8" w:rsidRPr="00E72184" w:rsidRDefault="007720E8" w:rsidP="007720E8">
                  <w:pPr>
                    <w:pStyle w:val="TableColumnHeading"/>
                  </w:pPr>
                  <w:r w:rsidRPr="00E72184">
                    <w:t>Between effect</w:t>
                  </w:r>
                </w:p>
              </w:tc>
              <w:tc>
                <w:tcPr>
                  <w:tcW w:w="357" w:type="pct"/>
                  <w:tcBorders>
                    <w:top w:val="single" w:sz="6" w:space="0" w:color="BFBFBF"/>
                    <w:bottom w:val="single" w:sz="6" w:space="0" w:color="BFBFBF"/>
                    <w:right w:val="single" w:sz="6" w:space="0" w:color="BFBFBF"/>
                  </w:tcBorders>
                </w:tcPr>
                <w:p w14:paraId="54F406D7" w14:textId="77777777" w:rsidR="007720E8" w:rsidRPr="00E72184" w:rsidRDefault="007720E8" w:rsidP="007720E8">
                  <w:pPr>
                    <w:pStyle w:val="TableColumnHeading"/>
                  </w:pPr>
                  <w:r w:rsidRPr="00E72184">
                    <w:t>Total effect</w:t>
                  </w:r>
                </w:p>
              </w:tc>
              <w:tc>
                <w:tcPr>
                  <w:tcW w:w="293" w:type="pct"/>
                  <w:tcBorders>
                    <w:top w:val="single" w:sz="6" w:space="0" w:color="BFBFBF"/>
                    <w:left w:val="single" w:sz="6" w:space="0" w:color="BFBFBF"/>
                    <w:bottom w:val="single" w:sz="6" w:space="0" w:color="BFBFBF"/>
                  </w:tcBorders>
                </w:tcPr>
                <w:p w14:paraId="30B73694" w14:textId="77777777" w:rsidR="007720E8" w:rsidRPr="00E72184" w:rsidRDefault="007720E8" w:rsidP="007720E8">
                  <w:pPr>
                    <w:pStyle w:val="TableColumnHeading"/>
                  </w:pPr>
                  <w:r w:rsidRPr="00E72184">
                    <w:t>Within effect</w:t>
                  </w:r>
                </w:p>
              </w:tc>
              <w:tc>
                <w:tcPr>
                  <w:tcW w:w="369" w:type="pct"/>
                  <w:tcBorders>
                    <w:top w:val="single" w:sz="6" w:space="0" w:color="BFBFBF"/>
                    <w:bottom w:val="single" w:sz="6" w:space="0" w:color="BFBFBF"/>
                  </w:tcBorders>
                </w:tcPr>
                <w:p w14:paraId="7FB5A8C0" w14:textId="77777777" w:rsidR="007720E8" w:rsidRPr="00E72184" w:rsidRDefault="007720E8" w:rsidP="007720E8">
                  <w:pPr>
                    <w:pStyle w:val="TableColumnHeading"/>
                  </w:pPr>
                  <w:r w:rsidRPr="00E72184">
                    <w:t>Between effect</w:t>
                  </w:r>
                </w:p>
              </w:tc>
              <w:tc>
                <w:tcPr>
                  <w:tcW w:w="369" w:type="pct"/>
                  <w:tcBorders>
                    <w:top w:val="single" w:sz="6" w:space="0" w:color="BFBFBF"/>
                    <w:bottom w:val="single" w:sz="6" w:space="0" w:color="BFBFBF"/>
                    <w:right w:val="single" w:sz="4" w:space="0" w:color="BFBFBF"/>
                  </w:tcBorders>
                </w:tcPr>
                <w:p w14:paraId="7717B78C" w14:textId="77777777" w:rsidR="007720E8" w:rsidRPr="00E72184" w:rsidRDefault="007720E8" w:rsidP="007720E8">
                  <w:pPr>
                    <w:pStyle w:val="TableColumnHeading"/>
                  </w:pPr>
                  <w:r w:rsidRPr="00E72184">
                    <w:t>Total effect</w:t>
                  </w:r>
                </w:p>
              </w:tc>
              <w:tc>
                <w:tcPr>
                  <w:tcW w:w="347" w:type="pct"/>
                  <w:tcBorders>
                    <w:top w:val="single" w:sz="6" w:space="0" w:color="BFBFBF"/>
                    <w:left w:val="single" w:sz="4" w:space="0" w:color="BFBFBF"/>
                    <w:bottom w:val="single" w:sz="6" w:space="0" w:color="BFBFBF"/>
                  </w:tcBorders>
                </w:tcPr>
                <w:p w14:paraId="63E961FB" w14:textId="77777777" w:rsidR="007720E8" w:rsidRPr="00E72184" w:rsidRDefault="007720E8" w:rsidP="007720E8">
                  <w:pPr>
                    <w:pStyle w:val="TableColumnHeading"/>
                  </w:pPr>
                  <w:r w:rsidRPr="00E72184">
                    <w:t>Within effect</w:t>
                  </w:r>
                </w:p>
              </w:tc>
              <w:tc>
                <w:tcPr>
                  <w:tcW w:w="347" w:type="pct"/>
                  <w:tcBorders>
                    <w:top w:val="single" w:sz="6" w:space="0" w:color="BFBFBF"/>
                    <w:bottom w:val="single" w:sz="6" w:space="0" w:color="BFBFBF"/>
                  </w:tcBorders>
                </w:tcPr>
                <w:p w14:paraId="0B60B839" w14:textId="77777777" w:rsidR="007720E8" w:rsidRPr="00E72184" w:rsidRDefault="007720E8" w:rsidP="007720E8">
                  <w:pPr>
                    <w:pStyle w:val="TableColumnHeading"/>
                  </w:pPr>
                  <w:r w:rsidRPr="00E72184">
                    <w:t>Between effect</w:t>
                  </w:r>
                </w:p>
              </w:tc>
              <w:tc>
                <w:tcPr>
                  <w:tcW w:w="348" w:type="pct"/>
                  <w:tcBorders>
                    <w:top w:val="single" w:sz="6" w:space="0" w:color="BFBFBF"/>
                    <w:bottom w:val="single" w:sz="6" w:space="0" w:color="BFBFBF"/>
                  </w:tcBorders>
                  <w:shd w:val="clear" w:color="auto" w:fill="auto"/>
                  <w:tcMar>
                    <w:top w:w="28" w:type="dxa"/>
                  </w:tcMar>
                </w:tcPr>
                <w:p w14:paraId="1888149D" w14:textId="77777777" w:rsidR="007720E8" w:rsidRPr="00E72184" w:rsidRDefault="007720E8" w:rsidP="007720E8">
                  <w:pPr>
                    <w:pStyle w:val="TableColumnHeading"/>
                  </w:pPr>
                  <w:r w:rsidRPr="00E72184">
                    <w:t>Total effect</w:t>
                  </w:r>
                </w:p>
              </w:tc>
              <w:tc>
                <w:tcPr>
                  <w:tcW w:w="427" w:type="pct"/>
                  <w:tcBorders>
                    <w:top w:val="single" w:sz="6" w:space="0" w:color="BFBFBF"/>
                    <w:bottom w:val="single" w:sz="6" w:space="0" w:color="BFBFBF"/>
                  </w:tcBorders>
                  <w:shd w:val="clear" w:color="auto" w:fill="auto"/>
                  <w:tcMar>
                    <w:top w:w="28" w:type="dxa"/>
                  </w:tcMar>
                </w:tcPr>
                <w:p w14:paraId="378B7D76" w14:textId="77777777" w:rsidR="007720E8" w:rsidRDefault="007720E8" w:rsidP="007720E8">
                  <w:pPr>
                    <w:pStyle w:val="TableColumnHeading"/>
                    <w:ind w:right="28"/>
                  </w:pPr>
                  <w:r w:rsidRPr="00E72184">
                    <w:t>Proportion of slowdown</w:t>
                  </w:r>
                </w:p>
              </w:tc>
            </w:tr>
            <w:tr w:rsidR="007720E8" w14:paraId="1CB15D9A" w14:textId="77777777" w:rsidTr="007720E8">
              <w:tc>
                <w:tcPr>
                  <w:tcW w:w="1429" w:type="pct"/>
                  <w:tcBorders>
                    <w:top w:val="single" w:sz="24" w:space="0" w:color="FFFFFF" w:themeColor="background1"/>
                    <w:bottom w:val="single" w:sz="4" w:space="0" w:color="BFBFBF"/>
                  </w:tcBorders>
                </w:tcPr>
                <w:p w14:paraId="59A4CE42" w14:textId="77777777" w:rsidR="007720E8" w:rsidRDefault="007720E8" w:rsidP="007720E8">
                  <w:pPr>
                    <w:pStyle w:val="TableUnitsRow"/>
                    <w:jc w:val="left"/>
                  </w:pPr>
                </w:p>
              </w:tc>
              <w:tc>
                <w:tcPr>
                  <w:tcW w:w="1071" w:type="pct"/>
                  <w:gridSpan w:val="3"/>
                  <w:tcBorders>
                    <w:top w:val="single" w:sz="6" w:space="0" w:color="BFBFBF"/>
                    <w:bottom w:val="single" w:sz="4" w:space="0" w:color="BFBFBF"/>
                    <w:right w:val="single" w:sz="6" w:space="0" w:color="BFBFBF"/>
                  </w:tcBorders>
                </w:tcPr>
                <w:p w14:paraId="2289A966" w14:textId="77777777" w:rsidR="007720E8" w:rsidRDefault="007720E8" w:rsidP="007720E8">
                  <w:pPr>
                    <w:pStyle w:val="TableUnitsRow"/>
                    <w:ind w:left="567"/>
                    <w:jc w:val="center"/>
                  </w:pPr>
                  <w:r>
                    <w:t>percentage point</w:t>
                  </w:r>
                </w:p>
              </w:tc>
              <w:tc>
                <w:tcPr>
                  <w:tcW w:w="1031" w:type="pct"/>
                  <w:gridSpan w:val="3"/>
                  <w:tcBorders>
                    <w:top w:val="single" w:sz="6" w:space="0" w:color="BFBFBF"/>
                    <w:left w:val="single" w:sz="6" w:space="0" w:color="BFBFBF"/>
                    <w:bottom w:val="single" w:sz="4" w:space="0" w:color="BFBFBF"/>
                    <w:right w:val="single" w:sz="4" w:space="0" w:color="BFBFBF"/>
                  </w:tcBorders>
                </w:tcPr>
                <w:p w14:paraId="1634655B" w14:textId="77777777" w:rsidR="007720E8" w:rsidRDefault="007720E8" w:rsidP="007720E8">
                  <w:pPr>
                    <w:pStyle w:val="TableUnitsRow"/>
                    <w:jc w:val="center"/>
                  </w:pPr>
                  <w:r>
                    <w:t>percentage point</w:t>
                  </w:r>
                </w:p>
              </w:tc>
              <w:tc>
                <w:tcPr>
                  <w:tcW w:w="1042" w:type="pct"/>
                  <w:gridSpan w:val="3"/>
                  <w:tcBorders>
                    <w:top w:val="single" w:sz="6" w:space="0" w:color="BFBFBF"/>
                    <w:left w:val="single" w:sz="4" w:space="0" w:color="BFBFBF"/>
                    <w:bottom w:val="single" w:sz="4" w:space="0" w:color="BFBFBF"/>
                  </w:tcBorders>
                </w:tcPr>
                <w:p w14:paraId="7321097B" w14:textId="77777777" w:rsidR="007720E8" w:rsidRDefault="007720E8" w:rsidP="007720E8">
                  <w:pPr>
                    <w:pStyle w:val="TableUnitsRow"/>
                    <w:ind w:left="283"/>
                    <w:jc w:val="center"/>
                  </w:pPr>
                  <w:r>
                    <w:t>percentage point</w:t>
                  </w:r>
                </w:p>
              </w:tc>
              <w:tc>
                <w:tcPr>
                  <w:tcW w:w="427" w:type="pct"/>
                  <w:tcBorders>
                    <w:top w:val="single" w:sz="6" w:space="0" w:color="BFBFBF"/>
                    <w:bottom w:val="single" w:sz="4" w:space="0" w:color="BFBFBF"/>
                  </w:tcBorders>
                </w:tcPr>
                <w:p w14:paraId="5575A114" w14:textId="0E0A7BC6" w:rsidR="007720E8" w:rsidRDefault="007720E8" w:rsidP="00CF1F6B">
                  <w:pPr>
                    <w:pStyle w:val="TableUnitsRow"/>
                    <w:tabs>
                      <w:tab w:val="right" w:pos="1110"/>
                    </w:tabs>
                    <w:ind w:right="28"/>
                  </w:pPr>
                  <w:r>
                    <w:t>per cent</w:t>
                  </w:r>
                </w:p>
              </w:tc>
            </w:tr>
            <w:tr w:rsidR="007720E8" w14:paraId="02A57308" w14:textId="77777777" w:rsidTr="007720E8">
              <w:tc>
                <w:tcPr>
                  <w:tcW w:w="1429" w:type="pct"/>
                  <w:tcBorders>
                    <w:top w:val="single" w:sz="4" w:space="0" w:color="BFBFBF"/>
                  </w:tcBorders>
                </w:tcPr>
                <w:p w14:paraId="5B608E8C" w14:textId="77777777" w:rsidR="007720E8" w:rsidRPr="009E6222" w:rsidRDefault="007720E8" w:rsidP="007720E8">
                  <w:pPr>
                    <w:pStyle w:val="TableBodyText"/>
                    <w:spacing w:before="40"/>
                    <w:jc w:val="left"/>
                  </w:pPr>
                  <w:r w:rsidRPr="009E6222">
                    <w:t>Agriculture, forestry and fishing</w:t>
                  </w:r>
                </w:p>
              </w:tc>
              <w:tc>
                <w:tcPr>
                  <w:tcW w:w="357" w:type="pct"/>
                  <w:tcBorders>
                    <w:top w:val="single" w:sz="4" w:space="0" w:color="BFBFBF"/>
                  </w:tcBorders>
                </w:tcPr>
                <w:p w14:paraId="22497424" w14:textId="77777777" w:rsidR="007720E8" w:rsidRPr="007C70FE" w:rsidRDefault="007720E8" w:rsidP="007720E8">
                  <w:pPr>
                    <w:pStyle w:val="TableBodyText"/>
                    <w:spacing w:before="40"/>
                  </w:pPr>
                  <w:r w:rsidRPr="007C70FE">
                    <w:t>0.20</w:t>
                  </w:r>
                </w:p>
              </w:tc>
              <w:tc>
                <w:tcPr>
                  <w:tcW w:w="357" w:type="pct"/>
                  <w:tcBorders>
                    <w:top w:val="single" w:sz="4" w:space="0" w:color="BFBFBF"/>
                  </w:tcBorders>
                </w:tcPr>
                <w:p w14:paraId="76F95667" w14:textId="77777777" w:rsidR="007720E8" w:rsidRPr="007C70FE" w:rsidRDefault="007720E8" w:rsidP="007720E8">
                  <w:pPr>
                    <w:pStyle w:val="TableBodyText"/>
                    <w:spacing w:before="40"/>
                  </w:pPr>
                  <w:r w:rsidRPr="007C70FE">
                    <w:t>0.04</w:t>
                  </w:r>
                </w:p>
              </w:tc>
              <w:tc>
                <w:tcPr>
                  <w:tcW w:w="357" w:type="pct"/>
                  <w:tcBorders>
                    <w:top w:val="single" w:sz="4" w:space="0" w:color="BFBFBF"/>
                    <w:right w:val="single" w:sz="6" w:space="0" w:color="BFBFBF"/>
                  </w:tcBorders>
                </w:tcPr>
                <w:p w14:paraId="567498A4" w14:textId="77777777" w:rsidR="007720E8" w:rsidRPr="007C70FE" w:rsidRDefault="007720E8" w:rsidP="007720E8">
                  <w:pPr>
                    <w:pStyle w:val="TableBodyText"/>
                    <w:spacing w:before="40"/>
                  </w:pPr>
                  <w:r w:rsidRPr="007C70FE">
                    <w:t>0.24</w:t>
                  </w:r>
                </w:p>
              </w:tc>
              <w:tc>
                <w:tcPr>
                  <w:tcW w:w="293" w:type="pct"/>
                  <w:tcBorders>
                    <w:top w:val="single" w:sz="4" w:space="0" w:color="BFBFBF"/>
                    <w:left w:val="single" w:sz="6" w:space="0" w:color="BFBFBF"/>
                  </w:tcBorders>
                </w:tcPr>
                <w:p w14:paraId="5210A2B8" w14:textId="77777777" w:rsidR="007720E8" w:rsidRPr="00284D20" w:rsidRDefault="007720E8" w:rsidP="007720E8">
                  <w:pPr>
                    <w:pStyle w:val="TableBodyText"/>
                    <w:spacing w:before="40"/>
                  </w:pPr>
                  <w:r w:rsidRPr="00284D20">
                    <w:t>0.04</w:t>
                  </w:r>
                </w:p>
              </w:tc>
              <w:tc>
                <w:tcPr>
                  <w:tcW w:w="369" w:type="pct"/>
                  <w:tcBorders>
                    <w:top w:val="single" w:sz="4" w:space="0" w:color="BFBFBF"/>
                  </w:tcBorders>
                </w:tcPr>
                <w:p w14:paraId="633F5032" w14:textId="77777777" w:rsidR="007720E8" w:rsidRPr="00284D20" w:rsidRDefault="007720E8" w:rsidP="007720E8">
                  <w:pPr>
                    <w:pStyle w:val="TableBodyText"/>
                    <w:spacing w:before="40"/>
                  </w:pPr>
                  <w:r w:rsidRPr="00284D20">
                    <w:t>0.02</w:t>
                  </w:r>
                </w:p>
              </w:tc>
              <w:tc>
                <w:tcPr>
                  <w:tcW w:w="369" w:type="pct"/>
                  <w:tcBorders>
                    <w:top w:val="single" w:sz="4" w:space="0" w:color="BFBFBF"/>
                    <w:right w:val="single" w:sz="4" w:space="0" w:color="BFBFBF"/>
                  </w:tcBorders>
                </w:tcPr>
                <w:p w14:paraId="0EF488D3" w14:textId="77777777" w:rsidR="007720E8" w:rsidRPr="00284D20" w:rsidRDefault="007720E8" w:rsidP="007720E8">
                  <w:pPr>
                    <w:pStyle w:val="TableBodyText"/>
                    <w:spacing w:before="40"/>
                  </w:pPr>
                  <w:r w:rsidRPr="00284D20">
                    <w:t>0.05</w:t>
                  </w:r>
                </w:p>
              </w:tc>
              <w:tc>
                <w:tcPr>
                  <w:tcW w:w="347" w:type="pct"/>
                  <w:tcBorders>
                    <w:top w:val="single" w:sz="4" w:space="0" w:color="BFBFBF"/>
                    <w:left w:val="single" w:sz="4" w:space="0" w:color="BFBFBF"/>
                  </w:tcBorders>
                </w:tcPr>
                <w:p w14:paraId="5631C764" w14:textId="77777777" w:rsidR="007720E8" w:rsidRPr="00F30EFE" w:rsidRDefault="007720E8" w:rsidP="007720E8">
                  <w:pPr>
                    <w:pStyle w:val="TableBodyText"/>
                    <w:spacing w:before="40"/>
                  </w:pPr>
                  <w:r w:rsidRPr="00F30EFE">
                    <w:t>-0.16</w:t>
                  </w:r>
                </w:p>
              </w:tc>
              <w:tc>
                <w:tcPr>
                  <w:tcW w:w="347" w:type="pct"/>
                  <w:tcBorders>
                    <w:top w:val="single" w:sz="4" w:space="0" w:color="BFBFBF"/>
                  </w:tcBorders>
                </w:tcPr>
                <w:p w14:paraId="4EBB1EC5" w14:textId="77777777" w:rsidR="007720E8" w:rsidRPr="00F30EFE" w:rsidRDefault="007720E8" w:rsidP="007720E8">
                  <w:pPr>
                    <w:pStyle w:val="TableBodyText"/>
                    <w:spacing w:before="40"/>
                  </w:pPr>
                  <w:r w:rsidRPr="00F30EFE">
                    <w:t>-0.02</w:t>
                  </w:r>
                </w:p>
              </w:tc>
              <w:tc>
                <w:tcPr>
                  <w:tcW w:w="348" w:type="pct"/>
                  <w:tcBorders>
                    <w:top w:val="single" w:sz="4" w:space="0" w:color="BFBFBF"/>
                  </w:tcBorders>
                </w:tcPr>
                <w:p w14:paraId="7B98446E" w14:textId="77777777" w:rsidR="007720E8" w:rsidRPr="00F30EFE" w:rsidRDefault="007720E8" w:rsidP="007720E8">
                  <w:pPr>
                    <w:pStyle w:val="TableBodyText"/>
                    <w:spacing w:before="40"/>
                  </w:pPr>
                  <w:r w:rsidRPr="00F30EFE">
                    <w:t>-0.18</w:t>
                  </w:r>
                </w:p>
              </w:tc>
              <w:tc>
                <w:tcPr>
                  <w:tcW w:w="427" w:type="pct"/>
                  <w:tcBorders>
                    <w:top w:val="single" w:sz="4" w:space="0" w:color="BFBFBF"/>
                  </w:tcBorders>
                </w:tcPr>
                <w:p w14:paraId="1B861A23" w14:textId="77777777" w:rsidR="007720E8" w:rsidRPr="008B49C7" w:rsidRDefault="007720E8" w:rsidP="007720E8">
                  <w:pPr>
                    <w:pStyle w:val="TableBodyText"/>
                    <w:spacing w:before="40"/>
                    <w:ind w:right="28"/>
                  </w:pPr>
                  <w:r>
                    <w:t>29</w:t>
                  </w:r>
                </w:p>
              </w:tc>
            </w:tr>
            <w:tr w:rsidR="007720E8" w14:paraId="60CD272C" w14:textId="77777777" w:rsidTr="007720E8">
              <w:tc>
                <w:tcPr>
                  <w:tcW w:w="1429" w:type="pct"/>
                </w:tcPr>
                <w:p w14:paraId="203AA3DE" w14:textId="77777777" w:rsidR="007720E8" w:rsidRPr="009E6222" w:rsidRDefault="007720E8" w:rsidP="007720E8">
                  <w:pPr>
                    <w:pStyle w:val="TableBodyText"/>
                    <w:jc w:val="left"/>
                  </w:pPr>
                  <w:r w:rsidRPr="009E6222">
                    <w:t>Mining</w:t>
                  </w:r>
                </w:p>
              </w:tc>
              <w:tc>
                <w:tcPr>
                  <w:tcW w:w="357" w:type="pct"/>
                </w:tcPr>
                <w:p w14:paraId="04AD4AB4" w14:textId="77777777" w:rsidR="007720E8" w:rsidRPr="007C70FE" w:rsidRDefault="007720E8" w:rsidP="007720E8">
                  <w:pPr>
                    <w:pStyle w:val="TableBodyText"/>
                  </w:pPr>
                  <w:r w:rsidRPr="007C70FE">
                    <w:t>0.19</w:t>
                  </w:r>
                </w:p>
              </w:tc>
              <w:tc>
                <w:tcPr>
                  <w:tcW w:w="357" w:type="pct"/>
                </w:tcPr>
                <w:p w14:paraId="071797B6" w14:textId="77777777" w:rsidR="007720E8" w:rsidRPr="007C70FE" w:rsidRDefault="007720E8" w:rsidP="007720E8">
                  <w:pPr>
                    <w:pStyle w:val="TableBodyText"/>
                  </w:pPr>
                  <w:r w:rsidRPr="007C70FE">
                    <w:t>0.02</w:t>
                  </w:r>
                </w:p>
              </w:tc>
              <w:tc>
                <w:tcPr>
                  <w:tcW w:w="357" w:type="pct"/>
                  <w:tcBorders>
                    <w:right w:val="single" w:sz="6" w:space="0" w:color="BFBFBF"/>
                  </w:tcBorders>
                </w:tcPr>
                <w:p w14:paraId="2F23DD10" w14:textId="77777777" w:rsidR="007720E8" w:rsidRPr="007C70FE" w:rsidRDefault="007720E8" w:rsidP="007720E8">
                  <w:pPr>
                    <w:pStyle w:val="TableBodyText"/>
                  </w:pPr>
                  <w:r w:rsidRPr="007C70FE">
                    <w:t>0.21</w:t>
                  </w:r>
                </w:p>
              </w:tc>
              <w:tc>
                <w:tcPr>
                  <w:tcW w:w="293" w:type="pct"/>
                  <w:tcBorders>
                    <w:left w:val="single" w:sz="6" w:space="0" w:color="BFBFBF"/>
                  </w:tcBorders>
                </w:tcPr>
                <w:p w14:paraId="0DE46E48" w14:textId="77777777" w:rsidR="007720E8" w:rsidRPr="00284D20" w:rsidRDefault="007720E8" w:rsidP="007720E8">
                  <w:pPr>
                    <w:pStyle w:val="TableBodyText"/>
                  </w:pPr>
                  <w:r w:rsidRPr="00284D20">
                    <w:t>-0.04</w:t>
                  </w:r>
                </w:p>
              </w:tc>
              <w:tc>
                <w:tcPr>
                  <w:tcW w:w="369" w:type="pct"/>
                </w:tcPr>
                <w:p w14:paraId="0F676DDE" w14:textId="77777777" w:rsidR="007720E8" w:rsidRPr="00284D20" w:rsidRDefault="007720E8" w:rsidP="007720E8">
                  <w:pPr>
                    <w:pStyle w:val="TableBodyText"/>
                  </w:pPr>
                  <w:r w:rsidRPr="00284D20">
                    <w:t>0.40</w:t>
                  </w:r>
                </w:p>
              </w:tc>
              <w:tc>
                <w:tcPr>
                  <w:tcW w:w="369" w:type="pct"/>
                  <w:tcBorders>
                    <w:right w:val="single" w:sz="4" w:space="0" w:color="BFBFBF"/>
                  </w:tcBorders>
                </w:tcPr>
                <w:p w14:paraId="0DEE897C" w14:textId="77777777" w:rsidR="007720E8" w:rsidRPr="00284D20" w:rsidRDefault="007720E8" w:rsidP="007720E8">
                  <w:pPr>
                    <w:pStyle w:val="TableBodyText"/>
                  </w:pPr>
                  <w:r w:rsidRPr="00284D20">
                    <w:t>0.37</w:t>
                  </w:r>
                </w:p>
              </w:tc>
              <w:tc>
                <w:tcPr>
                  <w:tcW w:w="347" w:type="pct"/>
                  <w:tcBorders>
                    <w:left w:val="single" w:sz="4" w:space="0" w:color="BFBFBF"/>
                  </w:tcBorders>
                </w:tcPr>
                <w:p w14:paraId="131D177E" w14:textId="77777777" w:rsidR="007720E8" w:rsidRPr="00F30EFE" w:rsidRDefault="007720E8" w:rsidP="007720E8">
                  <w:pPr>
                    <w:pStyle w:val="TableBodyText"/>
                  </w:pPr>
                  <w:r w:rsidRPr="00F30EFE">
                    <w:t>-0.23</w:t>
                  </w:r>
                </w:p>
              </w:tc>
              <w:tc>
                <w:tcPr>
                  <w:tcW w:w="347" w:type="pct"/>
                </w:tcPr>
                <w:p w14:paraId="5E1AEE26" w14:textId="77777777" w:rsidR="007720E8" w:rsidRPr="00F30EFE" w:rsidRDefault="007720E8" w:rsidP="007720E8">
                  <w:pPr>
                    <w:pStyle w:val="TableBodyText"/>
                  </w:pPr>
                  <w:r w:rsidRPr="00F30EFE">
                    <w:t>0.39</w:t>
                  </w:r>
                </w:p>
              </w:tc>
              <w:tc>
                <w:tcPr>
                  <w:tcW w:w="348" w:type="pct"/>
                </w:tcPr>
                <w:p w14:paraId="4A2F1C8B" w14:textId="77777777" w:rsidR="007720E8" w:rsidRPr="00F30EFE" w:rsidRDefault="007720E8" w:rsidP="007720E8">
                  <w:pPr>
                    <w:pStyle w:val="TableBodyText"/>
                  </w:pPr>
                  <w:r w:rsidRPr="00F30EFE">
                    <w:t>0.16</w:t>
                  </w:r>
                </w:p>
              </w:tc>
              <w:tc>
                <w:tcPr>
                  <w:tcW w:w="427" w:type="pct"/>
                </w:tcPr>
                <w:p w14:paraId="0C66DA30" w14:textId="77777777" w:rsidR="007720E8" w:rsidRPr="008B49C7" w:rsidRDefault="007720E8" w:rsidP="007720E8">
                  <w:pPr>
                    <w:pStyle w:val="TableBodyText"/>
                    <w:ind w:right="28"/>
                  </w:pPr>
                  <w:r>
                    <w:t>-25</w:t>
                  </w:r>
                </w:p>
              </w:tc>
            </w:tr>
            <w:tr w:rsidR="007720E8" w14:paraId="67025D06" w14:textId="77777777" w:rsidTr="007720E8">
              <w:tc>
                <w:tcPr>
                  <w:tcW w:w="1429" w:type="pct"/>
                </w:tcPr>
                <w:p w14:paraId="3964A49E" w14:textId="77777777" w:rsidR="007720E8" w:rsidRPr="009E6222" w:rsidRDefault="007720E8" w:rsidP="007720E8">
                  <w:pPr>
                    <w:pStyle w:val="TableBodyText"/>
                    <w:jc w:val="left"/>
                  </w:pPr>
                  <w:r w:rsidRPr="009E6222">
                    <w:t>Manufacturing</w:t>
                  </w:r>
                </w:p>
              </w:tc>
              <w:tc>
                <w:tcPr>
                  <w:tcW w:w="357" w:type="pct"/>
                </w:tcPr>
                <w:p w14:paraId="650C0EDF" w14:textId="77777777" w:rsidR="007720E8" w:rsidRPr="007C70FE" w:rsidRDefault="007720E8" w:rsidP="007720E8">
                  <w:pPr>
                    <w:pStyle w:val="TableBodyText"/>
                  </w:pPr>
                  <w:r w:rsidRPr="007C70FE">
                    <w:t>0.41</w:t>
                  </w:r>
                </w:p>
              </w:tc>
              <w:tc>
                <w:tcPr>
                  <w:tcW w:w="357" w:type="pct"/>
                </w:tcPr>
                <w:p w14:paraId="1AA37A2C" w14:textId="77777777" w:rsidR="007720E8" w:rsidRPr="007C70FE" w:rsidRDefault="007720E8" w:rsidP="007720E8">
                  <w:pPr>
                    <w:pStyle w:val="TableBodyText"/>
                  </w:pPr>
                  <w:r w:rsidRPr="007C70FE">
                    <w:t>0.04</w:t>
                  </w:r>
                </w:p>
              </w:tc>
              <w:tc>
                <w:tcPr>
                  <w:tcW w:w="357" w:type="pct"/>
                  <w:tcBorders>
                    <w:right w:val="single" w:sz="6" w:space="0" w:color="BFBFBF"/>
                  </w:tcBorders>
                </w:tcPr>
                <w:p w14:paraId="0C92B8D0" w14:textId="77777777" w:rsidR="007720E8" w:rsidRPr="007C70FE" w:rsidRDefault="007720E8" w:rsidP="007720E8">
                  <w:pPr>
                    <w:pStyle w:val="TableBodyText"/>
                  </w:pPr>
                  <w:r w:rsidRPr="007C70FE">
                    <w:t>0.44</w:t>
                  </w:r>
                </w:p>
              </w:tc>
              <w:tc>
                <w:tcPr>
                  <w:tcW w:w="293" w:type="pct"/>
                  <w:tcBorders>
                    <w:left w:val="single" w:sz="6" w:space="0" w:color="BFBFBF"/>
                  </w:tcBorders>
                </w:tcPr>
                <w:p w14:paraId="73C8BA55" w14:textId="77777777" w:rsidR="007720E8" w:rsidRPr="00284D20" w:rsidRDefault="007720E8" w:rsidP="007720E8">
                  <w:pPr>
                    <w:pStyle w:val="TableBodyText"/>
                  </w:pPr>
                  <w:r w:rsidRPr="00284D20">
                    <w:t>0.08</w:t>
                  </w:r>
                </w:p>
              </w:tc>
              <w:tc>
                <w:tcPr>
                  <w:tcW w:w="369" w:type="pct"/>
                </w:tcPr>
                <w:p w14:paraId="76A1469C" w14:textId="77777777" w:rsidR="007720E8" w:rsidRPr="00284D20" w:rsidRDefault="007720E8" w:rsidP="007720E8">
                  <w:pPr>
                    <w:pStyle w:val="TableBodyText"/>
                  </w:pPr>
                  <w:r w:rsidRPr="00284D20">
                    <w:t>0.05</w:t>
                  </w:r>
                </w:p>
              </w:tc>
              <w:tc>
                <w:tcPr>
                  <w:tcW w:w="369" w:type="pct"/>
                  <w:tcBorders>
                    <w:right w:val="single" w:sz="4" w:space="0" w:color="BFBFBF"/>
                  </w:tcBorders>
                </w:tcPr>
                <w:p w14:paraId="241ED911" w14:textId="77777777" w:rsidR="007720E8" w:rsidRPr="00284D20" w:rsidRDefault="007720E8" w:rsidP="007720E8">
                  <w:pPr>
                    <w:pStyle w:val="TableBodyText"/>
                  </w:pPr>
                  <w:r w:rsidRPr="00284D20">
                    <w:t>0.13</w:t>
                  </w:r>
                </w:p>
              </w:tc>
              <w:tc>
                <w:tcPr>
                  <w:tcW w:w="347" w:type="pct"/>
                  <w:tcBorders>
                    <w:left w:val="single" w:sz="4" w:space="0" w:color="BFBFBF"/>
                  </w:tcBorders>
                </w:tcPr>
                <w:p w14:paraId="4E7A2788" w14:textId="77777777" w:rsidR="007720E8" w:rsidRPr="00F30EFE" w:rsidRDefault="007720E8" w:rsidP="007720E8">
                  <w:pPr>
                    <w:pStyle w:val="TableBodyText"/>
                  </w:pPr>
                  <w:r w:rsidRPr="00F30EFE">
                    <w:t>-0.33</w:t>
                  </w:r>
                </w:p>
              </w:tc>
              <w:tc>
                <w:tcPr>
                  <w:tcW w:w="347" w:type="pct"/>
                </w:tcPr>
                <w:p w14:paraId="3F4B7BC0" w14:textId="77777777" w:rsidR="007720E8" w:rsidRPr="00F30EFE" w:rsidRDefault="007720E8" w:rsidP="007720E8">
                  <w:pPr>
                    <w:pStyle w:val="TableBodyText"/>
                  </w:pPr>
                  <w:r w:rsidRPr="00F30EFE">
                    <w:t>0.01</w:t>
                  </w:r>
                </w:p>
              </w:tc>
              <w:tc>
                <w:tcPr>
                  <w:tcW w:w="348" w:type="pct"/>
                </w:tcPr>
                <w:p w14:paraId="4DD74B71" w14:textId="77777777" w:rsidR="007720E8" w:rsidRPr="00F30EFE" w:rsidRDefault="007720E8" w:rsidP="007720E8">
                  <w:pPr>
                    <w:pStyle w:val="TableBodyText"/>
                  </w:pPr>
                  <w:r w:rsidRPr="00F30EFE">
                    <w:t>-0.32</w:t>
                  </w:r>
                </w:p>
              </w:tc>
              <w:tc>
                <w:tcPr>
                  <w:tcW w:w="427" w:type="pct"/>
                </w:tcPr>
                <w:p w14:paraId="57760DF5" w14:textId="77777777" w:rsidR="007720E8" w:rsidRPr="008B49C7" w:rsidRDefault="007720E8" w:rsidP="007720E8">
                  <w:pPr>
                    <w:pStyle w:val="TableBodyText"/>
                    <w:ind w:right="28"/>
                  </w:pPr>
                  <w:r>
                    <w:t>51</w:t>
                  </w:r>
                </w:p>
              </w:tc>
            </w:tr>
            <w:tr w:rsidR="007720E8" w14:paraId="0260CEA4" w14:textId="77777777" w:rsidTr="007720E8">
              <w:tc>
                <w:tcPr>
                  <w:tcW w:w="1429" w:type="pct"/>
                </w:tcPr>
                <w:p w14:paraId="60B79408" w14:textId="77777777" w:rsidR="007720E8" w:rsidRPr="009E6222" w:rsidRDefault="007720E8" w:rsidP="007720E8">
                  <w:pPr>
                    <w:pStyle w:val="TableBodyText"/>
                    <w:jc w:val="left"/>
                  </w:pPr>
                  <w:r w:rsidRPr="009E6222">
                    <w:t>Electricity, gas, water and waste services</w:t>
                  </w:r>
                </w:p>
              </w:tc>
              <w:tc>
                <w:tcPr>
                  <w:tcW w:w="357" w:type="pct"/>
                </w:tcPr>
                <w:p w14:paraId="7DB6E379" w14:textId="77777777" w:rsidR="007720E8" w:rsidRPr="007C70FE" w:rsidRDefault="007720E8" w:rsidP="007720E8">
                  <w:pPr>
                    <w:pStyle w:val="TableBodyText"/>
                  </w:pPr>
                  <w:r w:rsidRPr="007C70FE">
                    <w:t>0.17</w:t>
                  </w:r>
                </w:p>
              </w:tc>
              <w:tc>
                <w:tcPr>
                  <w:tcW w:w="357" w:type="pct"/>
                </w:tcPr>
                <w:p w14:paraId="6C41A0BA" w14:textId="77777777" w:rsidR="007720E8" w:rsidRPr="007C70FE" w:rsidRDefault="007720E8" w:rsidP="007720E8">
                  <w:pPr>
                    <w:pStyle w:val="TableBodyText"/>
                  </w:pPr>
                  <w:r w:rsidRPr="007C70FE">
                    <w:t>-0.06</w:t>
                  </w:r>
                </w:p>
              </w:tc>
              <w:tc>
                <w:tcPr>
                  <w:tcW w:w="357" w:type="pct"/>
                  <w:tcBorders>
                    <w:right w:val="single" w:sz="6" w:space="0" w:color="BFBFBF"/>
                  </w:tcBorders>
                </w:tcPr>
                <w:p w14:paraId="2CBFDE82" w14:textId="77777777" w:rsidR="007720E8" w:rsidRPr="007C70FE" w:rsidRDefault="007720E8" w:rsidP="007720E8">
                  <w:pPr>
                    <w:pStyle w:val="TableBodyText"/>
                  </w:pPr>
                  <w:r w:rsidRPr="007C70FE">
                    <w:t>0.12</w:t>
                  </w:r>
                </w:p>
              </w:tc>
              <w:tc>
                <w:tcPr>
                  <w:tcW w:w="293" w:type="pct"/>
                  <w:tcBorders>
                    <w:left w:val="single" w:sz="6" w:space="0" w:color="BFBFBF"/>
                  </w:tcBorders>
                </w:tcPr>
                <w:p w14:paraId="57C7DA19" w14:textId="77777777" w:rsidR="007720E8" w:rsidRPr="00284D20" w:rsidRDefault="007720E8" w:rsidP="007720E8">
                  <w:pPr>
                    <w:pStyle w:val="TableBodyText"/>
                  </w:pPr>
                  <w:r w:rsidRPr="00284D20">
                    <w:t>-0.10</w:t>
                  </w:r>
                </w:p>
              </w:tc>
              <w:tc>
                <w:tcPr>
                  <w:tcW w:w="369" w:type="pct"/>
                </w:tcPr>
                <w:p w14:paraId="2906C5C1" w14:textId="77777777" w:rsidR="007720E8" w:rsidRPr="00284D20" w:rsidRDefault="007720E8" w:rsidP="007720E8">
                  <w:pPr>
                    <w:pStyle w:val="TableBodyText"/>
                  </w:pPr>
                  <w:r w:rsidRPr="00284D20">
                    <w:t>0.06</w:t>
                  </w:r>
                </w:p>
              </w:tc>
              <w:tc>
                <w:tcPr>
                  <w:tcW w:w="369" w:type="pct"/>
                  <w:tcBorders>
                    <w:right w:val="single" w:sz="4" w:space="0" w:color="BFBFBF"/>
                  </w:tcBorders>
                </w:tcPr>
                <w:p w14:paraId="03DD3A55" w14:textId="77777777" w:rsidR="007720E8" w:rsidRPr="00284D20" w:rsidRDefault="007720E8" w:rsidP="007720E8">
                  <w:pPr>
                    <w:pStyle w:val="TableBodyText"/>
                  </w:pPr>
                  <w:r w:rsidRPr="00284D20">
                    <w:t>-0.04</w:t>
                  </w:r>
                </w:p>
              </w:tc>
              <w:tc>
                <w:tcPr>
                  <w:tcW w:w="347" w:type="pct"/>
                  <w:tcBorders>
                    <w:left w:val="single" w:sz="4" w:space="0" w:color="BFBFBF"/>
                  </w:tcBorders>
                </w:tcPr>
                <w:p w14:paraId="591391B7" w14:textId="77777777" w:rsidR="007720E8" w:rsidRPr="00F30EFE" w:rsidRDefault="007720E8" w:rsidP="007720E8">
                  <w:pPr>
                    <w:pStyle w:val="TableBodyText"/>
                  </w:pPr>
                  <w:r w:rsidRPr="00F30EFE">
                    <w:t>-0.28</w:t>
                  </w:r>
                </w:p>
              </w:tc>
              <w:tc>
                <w:tcPr>
                  <w:tcW w:w="347" w:type="pct"/>
                </w:tcPr>
                <w:p w14:paraId="5EC9F438" w14:textId="77777777" w:rsidR="007720E8" w:rsidRPr="00F30EFE" w:rsidRDefault="007720E8" w:rsidP="007720E8">
                  <w:pPr>
                    <w:pStyle w:val="TableBodyText"/>
                  </w:pPr>
                  <w:r w:rsidRPr="00F30EFE">
                    <w:t>0.12</w:t>
                  </w:r>
                </w:p>
              </w:tc>
              <w:tc>
                <w:tcPr>
                  <w:tcW w:w="348" w:type="pct"/>
                </w:tcPr>
                <w:p w14:paraId="04AAE0EA" w14:textId="77777777" w:rsidR="007720E8" w:rsidRPr="00F30EFE" w:rsidRDefault="007720E8" w:rsidP="007720E8">
                  <w:pPr>
                    <w:pStyle w:val="TableBodyText"/>
                  </w:pPr>
                  <w:r w:rsidRPr="00F30EFE">
                    <w:t>-0.16</w:t>
                  </w:r>
                </w:p>
              </w:tc>
              <w:tc>
                <w:tcPr>
                  <w:tcW w:w="427" w:type="pct"/>
                </w:tcPr>
                <w:p w14:paraId="2A8318F2" w14:textId="77777777" w:rsidR="007720E8" w:rsidRPr="008B49C7" w:rsidRDefault="007720E8" w:rsidP="007720E8">
                  <w:pPr>
                    <w:pStyle w:val="TableBodyText"/>
                    <w:ind w:right="28"/>
                  </w:pPr>
                  <w:r>
                    <w:t>25</w:t>
                  </w:r>
                </w:p>
              </w:tc>
            </w:tr>
            <w:tr w:rsidR="007720E8" w14:paraId="73642A2E" w14:textId="77777777" w:rsidTr="007720E8">
              <w:tc>
                <w:tcPr>
                  <w:tcW w:w="1429" w:type="pct"/>
                </w:tcPr>
                <w:p w14:paraId="56E40B12" w14:textId="77777777" w:rsidR="007720E8" w:rsidRPr="009E6222" w:rsidRDefault="007720E8" w:rsidP="007720E8">
                  <w:pPr>
                    <w:pStyle w:val="TableBodyText"/>
                    <w:jc w:val="left"/>
                  </w:pPr>
                  <w:r w:rsidRPr="009E6222">
                    <w:t>Construction</w:t>
                  </w:r>
                </w:p>
              </w:tc>
              <w:tc>
                <w:tcPr>
                  <w:tcW w:w="357" w:type="pct"/>
                </w:tcPr>
                <w:p w14:paraId="058992CD" w14:textId="77777777" w:rsidR="007720E8" w:rsidRPr="007C70FE" w:rsidRDefault="007720E8" w:rsidP="007720E8">
                  <w:pPr>
                    <w:pStyle w:val="TableBodyText"/>
                  </w:pPr>
                  <w:r w:rsidRPr="007C70FE">
                    <w:t>0.16</w:t>
                  </w:r>
                </w:p>
              </w:tc>
              <w:tc>
                <w:tcPr>
                  <w:tcW w:w="357" w:type="pct"/>
                </w:tcPr>
                <w:p w14:paraId="09D1841D" w14:textId="77777777" w:rsidR="007720E8" w:rsidRPr="007C70FE" w:rsidRDefault="007720E8" w:rsidP="007720E8">
                  <w:pPr>
                    <w:pStyle w:val="TableBodyText"/>
                  </w:pPr>
                  <w:r w:rsidRPr="007C70FE">
                    <w:t>0.00</w:t>
                  </w:r>
                </w:p>
              </w:tc>
              <w:tc>
                <w:tcPr>
                  <w:tcW w:w="357" w:type="pct"/>
                  <w:tcBorders>
                    <w:right w:val="single" w:sz="6" w:space="0" w:color="BFBFBF"/>
                  </w:tcBorders>
                </w:tcPr>
                <w:p w14:paraId="45C60482" w14:textId="77777777" w:rsidR="007720E8" w:rsidRPr="007C70FE" w:rsidRDefault="007720E8" w:rsidP="007720E8">
                  <w:pPr>
                    <w:pStyle w:val="TableBodyText"/>
                  </w:pPr>
                  <w:r w:rsidRPr="007C70FE">
                    <w:t>0.16</w:t>
                  </w:r>
                </w:p>
              </w:tc>
              <w:tc>
                <w:tcPr>
                  <w:tcW w:w="293" w:type="pct"/>
                  <w:tcBorders>
                    <w:left w:val="single" w:sz="6" w:space="0" w:color="BFBFBF"/>
                  </w:tcBorders>
                </w:tcPr>
                <w:p w14:paraId="58A7BD00" w14:textId="77777777" w:rsidR="007720E8" w:rsidRPr="00284D20" w:rsidRDefault="007720E8" w:rsidP="007720E8">
                  <w:pPr>
                    <w:pStyle w:val="TableBodyText"/>
                  </w:pPr>
                  <w:r w:rsidRPr="00284D20">
                    <w:t>0.04</w:t>
                  </w:r>
                </w:p>
              </w:tc>
              <w:tc>
                <w:tcPr>
                  <w:tcW w:w="369" w:type="pct"/>
                </w:tcPr>
                <w:p w14:paraId="360A97AC" w14:textId="77777777" w:rsidR="007720E8" w:rsidRPr="00284D20" w:rsidRDefault="007720E8" w:rsidP="007720E8">
                  <w:pPr>
                    <w:pStyle w:val="TableBodyText"/>
                  </w:pPr>
                  <w:r w:rsidRPr="00284D20">
                    <w:t>-0.02</w:t>
                  </w:r>
                </w:p>
              </w:tc>
              <w:tc>
                <w:tcPr>
                  <w:tcW w:w="369" w:type="pct"/>
                  <w:tcBorders>
                    <w:right w:val="single" w:sz="4" w:space="0" w:color="BFBFBF"/>
                  </w:tcBorders>
                </w:tcPr>
                <w:p w14:paraId="4F695FD3" w14:textId="77777777" w:rsidR="007720E8" w:rsidRPr="00284D20" w:rsidRDefault="007720E8" w:rsidP="007720E8">
                  <w:pPr>
                    <w:pStyle w:val="TableBodyText"/>
                  </w:pPr>
                  <w:r w:rsidRPr="00284D20">
                    <w:t>0.02</w:t>
                  </w:r>
                </w:p>
              </w:tc>
              <w:tc>
                <w:tcPr>
                  <w:tcW w:w="347" w:type="pct"/>
                  <w:tcBorders>
                    <w:left w:val="single" w:sz="4" w:space="0" w:color="BFBFBF"/>
                  </w:tcBorders>
                </w:tcPr>
                <w:p w14:paraId="188E004A" w14:textId="77777777" w:rsidR="007720E8" w:rsidRPr="00F30EFE" w:rsidRDefault="007720E8" w:rsidP="007720E8">
                  <w:pPr>
                    <w:pStyle w:val="TableBodyText"/>
                  </w:pPr>
                  <w:r w:rsidRPr="00F30EFE">
                    <w:t>-0.12</w:t>
                  </w:r>
                </w:p>
              </w:tc>
              <w:tc>
                <w:tcPr>
                  <w:tcW w:w="347" w:type="pct"/>
                </w:tcPr>
                <w:p w14:paraId="1AADDA2C" w14:textId="77777777" w:rsidR="007720E8" w:rsidRPr="00F30EFE" w:rsidRDefault="007720E8" w:rsidP="007720E8">
                  <w:pPr>
                    <w:pStyle w:val="TableBodyText"/>
                  </w:pPr>
                  <w:r w:rsidRPr="00F30EFE">
                    <w:t>-0.02</w:t>
                  </w:r>
                </w:p>
              </w:tc>
              <w:tc>
                <w:tcPr>
                  <w:tcW w:w="348" w:type="pct"/>
                </w:tcPr>
                <w:p w14:paraId="1A9781CF" w14:textId="77777777" w:rsidR="007720E8" w:rsidRPr="00F30EFE" w:rsidRDefault="007720E8" w:rsidP="007720E8">
                  <w:pPr>
                    <w:pStyle w:val="TableBodyText"/>
                  </w:pPr>
                  <w:r w:rsidRPr="00F30EFE">
                    <w:t>-0.15</w:t>
                  </w:r>
                </w:p>
              </w:tc>
              <w:tc>
                <w:tcPr>
                  <w:tcW w:w="427" w:type="pct"/>
                </w:tcPr>
                <w:p w14:paraId="415BA20A" w14:textId="77777777" w:rsidR="007720E8" w:rsidRPr="008B49C7" w:rsidRDefault="007720E8" w:rsidP="007720E8">
                  <w:pPr>
                    <w:pStyle w:val="TableBodyText"/>
                    <w:ind w:right="28"/>
                  </w:pPr>
                  <w:r>
                    <w:t>23</w:t>
                  </w:r>
                </w:p>
              </w:tc>
            </w:tr>
            <w:tr w:rsidR="007720E8" w14:paraId="4CADDCB9" w14:textId="77777777" w:rsidTr="007720E8">
              <w:tc>
                <w:tcPr>
                  <w:tcW w:w="1429" w:type="pct"/>
                </w:tcPr>
                <w:p w14:paraId="64B30AAA" w14:textId="77777777" w:rsidR="007720E8" w:rsidRPr="009E6222" w:rsidRDefault="007720E8" w:rsidP="007720E8">
                  <w:pPr>
                    <w:pStyle w:val="TableBodyText"/>
                    <w:jc w:val="left"/>
                  </w:pPr>
                  <w:r w:rsidRPr="009E6222">
                    <w:t>Wholesale trade</w:t>
                  </w:r>
                </w:p>
              </w:tc>
              <w:tc>
                <w:tcPr>
                  <w:tcW w:w="357" w:type="pct"/>
                </w:tcPr>
                <w:p w14:paraId="43AD0196" w14:textId="77777777" w:rsidR="007720E8" w:rsidRPr="007C70FE" w:rsidRDefault="007720E8" w:rsidP="007720E8">
                  <w:pPr>
                    <w:pStyle w:val="TableBodyText"/>
                  </w:pPr>
                  <w:r w:rsidRPr="007C70FE">
                    <w:t>0.14</w:t>
                  </w:r>
                </w:p>
              </w:tc>
              <w:tc>
                <w:tcPr>
                  <w:tcW w:w="357" w:type="pct"/>
                </w:tcPr>
                <w:p w14:paraId="5F22AB8F" w14:textId="77777777" w:rsidR="007720E8" w:rsidRPr="007C70FE" w:rsidRDefault="007720E8" w:rsidP="007720E8">
                  <w:pPr>
                    <w:pStyle w:val="TableBodyText"/>
                  </w:pPr>
                  <w:r w:rsidRPr="007C70FE">
                    <w:t>-0.01</w:t>
                  </w:r>
                </w:p>
              </w:tc>
              <w:tc>
                <w:tcPr>
                  <w:tcW w:w="357" w:type="pct"/>
                  <w:tcBorders>
                    <w:right w:val="single" w:sz="6" w:space="0" w:color="BFBFBF"/>
                  </w:tcBorders>
                </w:tcPr>
                <w:p w14:paraId="501C8582" w14:textId="77777777" w:rsidR="007720E8" w:rsidRPr="007C70FE" w:rsidRDefault="007720E8" w:rsidP="007720E8">
                  <w:pPr>
                    <w:pStyle w:val="TableBodyText"/>
                  </w:pPr>
                  <w:r w:rsidRPr="007C70FE">
                    <w:t>0.14</w:t>
                  </w:r>
                </w:p>
              </w:tc>
              <w:tc>
                <w:tcPr>
                  <w:tcW w:w="293" w:type="pct"/>
                  <w:tcBorders>
                    <w:left w:val="single" w:sz="6" w:space="0" w:color="BFBFBF"/>
                  </w:tcBorders>
                </w:tcPr>
                <w:p w14:paraId="713AB007" w14:textId="77777777" w:rsidR="007720E8" w:rsidRPr="00284D20" w:rsidRDefault="007720E8" w:rsidP="007720E8">
                  <w:pPr>
                    <w:pStyle w:val="TableBodyText"/>
                  </w:pPr>
                  <w:r w:rsidRPr="00284D20">
                    <w:t>0.15</w:t>
                  </w:r>
                </w:p>
              </w:tc>
              <w:tc>
                <w:tcPr>
                  <w:tcW w:w="369" w:type="pct"/>
                </w:tcPr>
                <w:p w14:paraId="737FFAA5" w14:textId="77777777" w:rsidR="007720E8" w:rsidRPr="00284D20" w:rsidRDefault="007720E8" w:rsidP="007720E8">
                  <w:pPr>
                    <w:pStyle w:val="TableBodyText"/>
                  </w:pPr>
                  <w:r w:rsidRPr="00284D20">
                    <w:t>-0.01</w:t>
                  </w:r>
                </w:p>
              </w:tc>
              <w:tc>
                <w:tcPr>
                  <w:tcW w:w="369" w:type="pct"/>
                  <w:tcBorders>
                    <w:right w:val="single" w:sz="4" w:space="0" w:color="BFBFBF"/>
                  </w:tcBorders>
                </w:tcPr>
                <w:p w14:paraId="0FBF80C2" w14:textId="77777777" w:rsidR="007720E8" w:rsidRPr="00284D20" w:rsidRDefault="007720E8" w:rsidP="007720E8">
                  <w:pPr>
                    <w:pStyle w:val="TableBodyText"/>
                  </w:pPr>
                  <w:r w:rsidRPr="00284D20">
                    <w:t>0.14</w:t>
                  </w:r>
                </w:p>
              </w:tc>
              <w:tc>
                <w:tcPr>
                  <w:tcW w:w="347" w:type="pct"/>
                  <w:tcBorders>
                    <w:left w:val="single" w:sz="4" w:space="0" w:color="BFBFBF"/>
                  </w:tcBorders>
                </w:tcPr>
                <w:p w14:paraId="40BB4CD9" w14:textId="77777777" w:rsidR="007720E8" w:rsidRPr="00F30EFE" w:rsidRDefault="007720E8" w:rsidP="007720E8">
                  <w:pPr>
                    <w:pStyle w:val="TableBodyText"/>
                  </w:pPr>
                  <w:r w:rsidRPr="00F30EFE">
                    <w:t>0.01</w:t>
                  </w:r>
                </w:p>
              </w:tc>
              <w:tc>
                <w:tcPr>
                  <w:tcW w:w="347" w:type="pct"/>
                </w:tcPr>
                <w:p w14:paraId="6C7FE769" w14:textId="77777777" w:rsidR="007720E8" w:rsidRPr="00F30EFE" w:rsidRDefault="007720E8" w:rsidP="007720E8">
                  <w:pPr>
                    <w:pStyle w:val="TableBodyText"/>
                  </w:pPr>
                  <w:r w:rsidRPr="00F30EFE">
                    <w:t>-0.01</w:t>
                  </w:r>
                </w:p>
              </w:tc>
              <w:tc>
                <w:tcPr>
                  <w:tcW w:w="348" w:type="pct"/>
                </w:tcPr>
                <w:p w14:paraId="01DDAB66" w14:textId="77777777" w:rsidR="007720E8" w:rsidRPr="00F30EFE" w:rsidRDefault="007720E8" w:rsidP="007720E8">
                  <w:pPr>
                    <w:pStyle w:val="TableBodyText"/>
                  </w:pPr>
                  <w:r w:rsidRPr="00F30EFE">
                    <w:t>0.00</w:t>
                  </w:r>
                </w:p>
              </w:tc>
              <w:tc>
                <w:tcPr>
                  <w:tcW w:w="427" w:type="pct"/>
                </w:tcPr>
                <w:p w14:paraId="30050C19" w14:textId="77777777" w:rsidR="007720E8" w:rsidRPr="008B49C7" w:rsidRDefault="007720E8" w:rsidP="007720E8">
                  <w:pPr>
                    <w:pStyle w:val="TableBodyText"/>
                    <w:ind w:right="28"/>
                  </w:pPr>
                  <w:r>
                    <w:t>0</w:t>
                  </w:r>
                </w:p>
              </w:tc>
            </w:tr>
            <w:tr w:rsidR="007720E8" w14:paraId="30614BA8" w14:textId="77777777" w:rsidTr="007720E8">
              <w:tc>
                <w:tcPr>
                  <w:tcW w:w="1429" w:type="pct"/>
                </w:tcPr>
                <w:p w14:paraId="44F9742E" w14:textId="77777777" w:rsidR="007720E8" w:rsidRPr="009E6222" w:rsidRDefault="007720E8" w:rsidP="007720E8">
                  <w:pPr>
                    <w:pStyle w:val="TableBodyText"/>
                    <w:jc w:val="left"/>
                  </w:pPr>
                  <w:r w:rsidRPr="009E6222">
                    <w:t>Retail trade</w:t>
                  </w:r>
                </w:p>
              </w:tc>
              <w:tc>
                <w:tcPr>
                  <w:tcW w:w="357" w:type="pct"/>
                </w:tcPr>
                <w:p w14:paraId="30EAF3C9" w14:textId="77777777" w:rsidR="007720E8" w:rsidRPr="007C70FE" w:rsidRDefault="007720E8" w:rsidP="007720E8">
                  <w:pPr>
                    <w:pStyle w:val="TableBodyText"/>
                  </w:pPr>
                  <w:r w:rsidRPr="007C70FE">
                    <w:t>0.11</w:t>
                  </w:r>
                </w:p>
              </w:tc>
              <w:tc>
                <w:tcPr>
                  <w:tcW w:w="357" w:type="pct"/>
                </w:tcPr>
                <w:p w14:paraId="40972F26" w14:textId="77777777" w:rsidR="007720E8" w:rsidRPr="007C70FE" w:rsidRDefault="007720E8" w:rsidP="007720E8">
                  <w:pPr>
                    <w:pStyle w:val="TableBodyText"/>
                  </w:pPr>
                  <w:r w:rsidRPr="007C70FE">
                    <w:t>-0.02</w:t>
                  </w:r>
                </w:p>
              </w:tc>
              <w:tc>
                <w:tcPr>
                  <w:tcW w:w="357" w:type="pct"/>
                  <w:tcBorders>
                    <w:right w:val="single" w:sz="6" w:space="0" w:color="BFBFBF"/>
                  </w:tcBorders>
                </w:tcPr>
                <w:p w14:paraId="02F8A970" w14:textId="77777777" w:rsidR="007720E8" w:rsidRPr="007C70FE" w:rsidRDefault="007720E8" w:rsidP="007720E8">
                  <w:pPr>
                    <w:pStyle w:val="TableBodyText"/>
                  </w:pPr>
                  <w:r w:rsidRPr="007C70FE">
                    <w:t>0.09</w:t>
                  </w:r>
                </w:p>
              </w:tc>
              <w:tc>
                <w:tcPr>
                  <w:tcW w:w="293" w:type="pct"/>
                  <w:tcBorders>
                    <w:left w:val="single" w:sz="6" w:space="0" w:color="BFBFBF"/>
                  </w:tcBorders>
                </w:tcPr>
                <w:p w14:paraId="1888DEFE" w14:textId="77777777" w:rsidR="007720E8" w:rsidRPr="00284D20" w:rsidRDefault="007720E8" w:rsidP="007720E8">
                  <w:pPr>
                    <w:pStyle w:val="TableBodyText"/>
                  </w:pPr>
                  <w:r w:rsidRPr="00284D20">
                    <w:t>0.15</w:t>
                  </w:r>
                </w:p>
              </w:tc>
              <w:tc>
                <w:tcPr>
                  <w:tcW w:w="369" w:type="pct"/>
                </w:tcPr>
                <w:p w14:paraId="55DF7DAE" w14:textId="77777777" w:rsidR="007720E8" w:rsidRPr="00284D20" w:rsidRDefault="007720E8" w:rsidP="007720E8">
                  <w:pPr>
                    <w:pStyle w:val="TableBodyText"/>
                  </w:pPr>
                  <w:r w:rsidRPr="00284D20">
                    <w:t>0.05</w:t>
                  </w:r>
                </w:p>
              </w:tc>
              <w:tc>
                <w:tcPr>
                  <w:tcW w:w="369" w:type="pct"/>
                  <w:tcBorders>
                    <w:right w:val="single" w:sz="4" w:space="0" w:color="BFBFBF"/>
                  </w:tcBorders>
                </w:tcPr>
                <w:p w14:paraId="79E57105" w14:textId="77777777" w:rsidR="007720E8" w:rsidRPr="00284D20" w:rsidRDefault="007720E8" w:rsidP="007720E8">
                  <w:pPr>
                    <w:pStyle w:val="TableBodyText"/>
                  </w:pPr>
                  <w:r w:rsidRPr="00284D20">
                    <w:t>0.20</w:t>
                  </w:r>
                </w:p>
              </w:tc>
              <w:tc>
                <w:tcPr>
                  <w:tcW w:w="347" w:type="pct"/>
                  <w:tcBorders>
                    <w:left w:val="single" w:sz="4" w:space="0" w:color="BFBFBF"/>
                  </w:tcBorders>
                </w:tcPr>
                <w:p w14:paraId="722DD3D6" w14:textId="77777777" w:rsidR="007720E8" w:rsidRPr="00F30EFE" w:rsidRDefault="007720E8" w:rsidP="007720E8">
                  <w:pPr>
                    <w:pStyle w:val="TableBodyText"/>
                  </w:pPr>
                  <w:r w:rsidRPr="00F30EFE">
                    <w:t>0.05</w:t>
                  </w:r>
                </w:p>
              </w:tc>
              <w:tc>
                <w:tcPr>
                  <w:tcW w:w="347" w:type="pct"/>
                </w:tcPr>
                <w:p w14:paraId="63249EDE" w14:textId="77777777" w:rsidR="007720E8" w:rsidRPr="00F30EFE" w:rsidRDefault="007720E8" w:rsidP="007720E8">
                  <w:pPr>
                    <w:pStyle w:val="TableBodyText"/>
                  </w:pPr>
                  <w:r w:rsidRPr="00F30EFE">
                    <w:t>0.07</w:t>
                  </w:r>
                </w:p>
              </w:tc>
              <w:tc>
                <w:tcPr>
                  <w:tcW w:w="348" w:type="pct"/>
                </w:tcPr>
                <w:p w14:paraId="0EEF9AAB" w14:textId="77777777" w:rsidR="007720E8" w:rsidRPr="00F30EFE" w:rsidRDefault="007720E8" w:rsidP="007720E8">
                  <w:pPr>
                    <w:pStyle w:val="TableBodyText"/>
                  </w:pPr>
                  <w:r w:rsidRPr="00F30EFE">
                    <w:t>0.11</w:t>
                  </w:r>
                </w:p>
              </w:tc>
              <w:tc>
                <w:tcPr>
                  <w:tcW w:w="427" w:type="pct"/>
                </w:tcPr>
                <w:p w14:paraId="190D5ACE" w14:textId="77777777" w:rsidR="007720E8" w:rsidRPr="008B49C7" w:rsidRDefault="007720E8" w:rsidP="007720E8">
                  <w:pPr>
                    <w:pStyle w:val="TableBodyText"/>
                    <w:ind w:right="28"/>
                  </w:pPr>
                  <w:r>
                    <w:t>-18</w:t>
                  </w:r>
                </w:p>
              </w:tc>
            </w:tr>
            <w:tr w:rsidR="007720E8" w14:paraId="56E5C3A3" w14:textId="77777777" w:rsidTr="007720E8">
              <w:tc>
                <w:tcPr>
                  <w:tcW w:w="1429" w:type="pct"/>
                </w:tcPr>
                <w:p w14:paraId="1FA03610" w14:textId="77777777" w:rsidR="007720E8" w:rsidRPr="009E6222" w:rsidRDefault="007720E8" w:rsidP="007720E8">
                  <w:pPr>
                    <w:pStyle w:val="TableBodyText"/>
                    <w:jc w:val="left"/>
                  </w:pPr>
                  <w:r w:rsidRPr="009E6222">
                    <w:t>Accommodation and food services</w:t>
                  </w:r>
                </w:p>
              </w:tc>
              <w:tc>
                <w:tcPr>
                  <w:tcW w:w="357" w:type="pct"/>
                </w:tcPr>
                <w:p w14:paraId="6046C8F8" w14:textId="77777777" w:rsidR="007720E8" w:rsidRPr="007C70FE" w:rsidRDefault="007720E8" w:rsidP="007720E8">
                  <w:pPr>
                    <w:pStyle w:val="TableBodyText"/>
                  </w:pPr>
                  <w:r w:rsidRPr="007C70FE">
                    <w:t>0.02</w:t>
                  </w:r>
                </w:p>
              </w:tc>
              <w:tc>
                <w:tcPr>
                  <w:tcW w:w="357" w:type="pct"/>
                </w:tcPr>
                <w:p w14:paraId="1698C509" w14:textId="77777777" w:rsidR="007720E8" w:rsidRPr="007C70FE" w:rsidRDefault="007720E8" w:rsidP="007720E8">
                  <w:pPr>
                    <w:pStyle w:val="TableBodyText"/>
                  </w:pPr>
                  <w:r w:rsidRPr="007C70FE">
                    <w:t>-0.03</w:t>
                  </w:r>
                </w:p>
              </w:tc>
              <w:tc>
                <w:tcPr>
                  <w:tcW w:w="357" w:type="pct"/>
                  <w:tcBorders>
                    <w:right w:val="single" w:sz="6" w:space="0" w:color="BFBFBF"/>
                  </w:tcBorders>
                </w:tcPr>
                <w:p w14:paraId="7DCBB62B" w14:textId="77777777" w:rsidR="007720E8" w:rsidRPr="007C70FE" w:rsidRDefault="007720E8" w:rsidP="007720E8">
                  <w:pPr>
                    <w:pStyle w:val="TableBodyText"/>
                  </w:pPr>
                  <w:r w:rsidRPr="007C70FE">
                    <w:t>-0.01</w:t>
                  </w:r>
                </w:p>
              </w:tc>
              <w:tc>
                <w:tcPr>
                  <w:tcW w:w="293" w:type="pct"/>
                  <w:tcBorders>
                    <w:left w:val="single" w:sz="6" w:space="0" w:color="BFBFBF"/>
                  </w:tcBorders>
                </w:tcPr>
                <w:p w14:paraId="0B188FE7" w14:textId="77777777" w:rsidR="007720E8" w:rsidRPr="00284D20" w:rsidRDefault="007720E8" w:rsidP="007720E8">
                  <w:pPr>
                    <w:pStyle w:val="TableBodyText"/>
                  </w:pPr>
                  <w:r w:rsidRPr="00284D20">
                    <w:t>0.01</w:t>
                  </w:r>
                </w:p>
              </w:tc>
              <w:tc>
                <w:tcPr>
                  <w:tcW w:w="369" w:type="pct"/>
                </w:tcPr>
                <w:p w14:paraId="48554332" w14:textId="77777777" w:rsidR="007720E8" w:rsidRPr="00284D20" w:rsidRDefault="007720E8" w:rsidP="007720E8">
                  <w:pPr>
                    <w:pStyle w:val="TableBodyText"/>
                  </w:pPr>
                  <w:r w:rsidRPr="00284D20">
                    <w:t>0.00</w:t>
                  </w:r>
                </w:p>
              </w:tc>
              <w:tc>
                <w:tcPr>
                  <w:tcW w:w="369" w:type="pct"/>
                  <w:tcBorders>
                    <w:right w:val="single" w:sz="4" w:space="0" w:color="BFBFBF"/>
                  </w:tcBorders>
                </w:tcPr>
                <w:p w14:paraId="09FFAA70" w14:textId="77777777" w:rsidR="007720E8" w:rsidRPr="00284D20" w:rsidRDefault="007720E8" w:rsidP="007720E8">
                  <w:pPr>
                    <w:pStyle w:val="TableBodyText"/>
                  </w:pPr>
                  <w:r w:rsidRPr="00284D20">
                    <w:t>0.01</w:t>
                  </w:r>
                </w:p>
              </w:tc>
              <w:tc>
                <w:tcPr>
                  <w:tcW w:w="347" w:type="pct"/>
                  <w:tcBorders>
                    <w:left w:val="single" w:sz="4" w:space="0" w:color="BFBFBF"/>
                  </w:tcBorders>
                </w:tcPr>
                <w:p w14:paraId="303A32ED" w14:textId="77777777" w:rsidR="007720E8" w:rsidRPr="00F30EFE" w:rsidRDefault="007720E8" w:rsidP="007720E8">
                  <w:pPr>
                    <w:pStyle w:val="TableBodyText"/>
                  </w:pPr>
                  <w:r w:rsidRPr="00F30EFE">
                    <w:t>-0.01</w:t>
                  </w:r>
                </w:p>
              </w:tc>
              <w:tc>
                <w:tcPr>
                  <w:tcW w:w="347" w:type="pct"/>
                </w:tcPr>
                <w:p w14:paraId="43C07654" w14:textId="77777777" w:rsidR="007720E8" w:rsidRPr="00F30EFE" w:rsidRDefault="007720E8" w:rsidP="007720E8">
                  <w:pPr>
                    <w:pStyle w:val="TableBodyText"/>
                  </w:pPr>
                  <w:r w:rsidRPr="00F30EFE">
                    <w:t>0.03</w:t>
                  </w:r>
                </w:p>
              </w:tc>
              <w:tc>
                <w:tcPr>
                  <w:tcW w:w="348" w:type="pct"/>
                </w:tcPr>
                <w:p w14:paraId="49885240" w14:textId="77777777" w:rsidR="007720E8" w:rsidRPr="00F30EFE" w:rsidRDefault="007720E8" w:rsidP="007720E8">
                  <w:pPr>
                    <w:pStyle w:val="TableBodyText"/>
                  </w:pPr>
                  <w:r w:rsidRPr="00F30EFE">
                    <w:t>0.02</w:t>
                  </w:r>
                </w:p>
              </w:tc>
              <w:tc>
                <w:tcPr>
                  <w:tcW w:w="427" w:type="pct"/>
                </w:tcPr>
                <w:p w14:paraId="0DC84402" w14:textId="77777777" w:rsidR="007720E8" w:rsidRPr="008B49C7" w:rsidRDefault="007720E8" w:rsidP="007720E8">
                  <w:pPr>
                    <w:pStyle w:val="TableBodyText"/>
                    <w:ind w:right="28"/>
                  </w:pPr>
                  <w:r w:rsidRPr="008B49C7">
                    <w:t>-2</w:t>
                  </w:r>
                </w:p>
              </w:tc>
            </w:tr>
            <w:tr w:rsidR="007720E8" w14:paraId="4BCD9C7C" w14:textId="77777777" w:rsidTr="007720E8">
              <w:tc>
                <w:tcPr>
                  <w:tcW w:w="1429" w:type="pct"/>
                </w:tcPr>
                <w:p w14:paraId="478F25EC" w14:textId="77777777" w:rsidR="007720E8" w:rsidRPr="009E6222" w:rsidRDefault="007720E8" w:rsidP="007720E8">
                  <w:pPr>
                    <w:pStyle w:val="TableBodyText"/>
                    <w:jc w:val="left"/>
                  </w:pPr>
                  <w:r w:rsidRPr="009E6222">
                    <w:t>Transport, postal and warehousing</w:t>
                  </w:r>
                </w:p>
              </w:tc>
              <w:tc>
                <w:tcPr>
                  <w:tcW w:w="357" w:type="pct"/>
                </w:tcPr>
                <w:p w14:paraId="59AEA32D" w14:textId="77777777" w:rsidR="007720E8" w:rsidRPr="007C70FE" w:rsidRDefault="007720E8" w:rsidP="007720E8">
                  <w:pPr>
                    <w:pStyle w:val="TableBodyText"/>
                  </w:pPr>
                  <w:r w:rsidRPr="007C70FE">
                    <w:t>0.19</w:t>
                  </w:r>
                </w:p>
              </w:tc>
              <w:tc>
                <w:tcPr>
                  <w:tcW w:w="357" w:type="pct"/>
                </w:tcPr>
                <w:p w14:paraId="1BB6EA63" w14:textId="77777777" w:rsidR="007720E8" w:rsidRPr="007C70FE" w:rsidRDefault="007720E8" w:rsidP="007720E8">
                  <w:pPr>
                    <w:pStyle w:val="TableBodyText"/>
                  </w:pPr>
                  <w:r w:rsidRPr="007C70FE">
                    <w:t>0.00</w:t>
                  </w:r>
                </w:p>
              </w:tc>
              <w:tc>
                <w:tcPr>
                  <w:tcW w:w="357" w:type="pct"/>
                  <w:tcBorders>
                    <w:right w:val="single" w:sz="6" w:space="0" w:color="BFBFBF"/>
                  </w:tcBorders>
                </w:tcPr>
                <w:p w14:paraId="534AA72A" w14:textId="77777777" w:rsidR="007720E8" w:rsidRPr="007C70FE" w:rsidRDefault="007720E8" w:rsidP="007720E8">
                  <w:pPr>
                    <w:pStyle w:val="TableBodyText"/>
                  </w:pPr>
                  <w:r w:rsidRPr="007C70FE">
                    <w:t>0.19</w:t>
                  </w:r>
                </w:p>
              </w:tc>
              <w:tc>
                <w:tcPr>
                  <w:tcW w:w="293" w:type="pct"/>
                  <w:tcBorders>
                    <w:left w:val="single" w:sz="6" w:space="0" w:color="BFBFBF"/>
                  </w:tcBorders>
                </w:tcPr>
                <w:p w14:paraId="71FBCFDF" w14:textId="77777777" w:rsidR="007720E8" w:rsidRPr="00284D20" w:rsidRDefault="007720E8" w:rsidP="007720E8">
                  <w:pPr>
                    <w:pStyle w:val="TableBodyText"/>
                  </w:pPr>
                  <w:r w:rsidRPr="00284D20">
                    <w:t>0.05</w:t>
                  </w:r>
                </w:p>
              </w:tc>
              <w:tc>
                <w:tcPr>
                  <w:tcW w:w="369" w:type="pct"/>
                </w:tcPr>
                <w:p w14:paraId="64628124" w14:textId="77777777" w:rsidR="007720E8" w:rsidRPr="00284D20" w:rsidRDefault="007720E8" w:rsidP="007720E8">
                  <w:pPr>
                    <w:pStyle w:val="TableBodyText"/>
                  </w:pPr>
                  <w:r w:rsidRPr="00284D20">
                    <w:t>0.00</w:t>
                  </w:r>
                </w:p>
              </w:tc>
              <w:tc>
                <w:tcPr>
                  <w:tcW w:w="369" w:type="pct"/>
                  <w:tcBorders>
                    <w:right w:val="single" w:sz="4" w:space="0" w:color="BFBFBF"/>
                  </w:tcBorders>
                </w:tcPr>
                <w:p w14:paraId="320127E8" w14:textId="77777777" w:rsidR="007720E8" w:rsidRPr="00284D20" w:rsidRDefault="007720E8" w:rsidP="007720E8">
                  <w:pPr>
                    <w:pStyle w:val="TableBodyText"/>
                  </w:pPr>
                  <w:r w:rsidRPr="00284D20">
                    <w:t>0.05</w:t>
                  </w:r>
                </w:p>
              </w:tc>
              <w:tc>
                <w:tcPr>
                  <w:tcW w:w="347" w:type="pct"/>
                  <w:tcBorders>
                    <w:left w:val="single" w:sz="4" w:space="0" w:color="BFBFBF"/>
                  </w:tcBorders>
                </w:tcPr>
                <w:p w14:paraId="7164C359" w14:textId="77777777" w:rsidR="007720E8" w:rsidRPr="00F30EFE" w:rsidRDefault="007720E8" w:rsidP="007720E8">
                  <w:pPr>
                    <w:pStyle w:val="TableBodyText"/>
                  </w:pPr>
                  <w:r w:rsidRPr="00F30EFE">
                    <w:t>-0.13</w:t>
                  </w:r>
                </w:p>
              </w:tc>
              <w:tc>
                <w:tcPr>
                  <w:tcW w:w="347" w:type="pct"/>
                </w:tcPr>
                <w:p w14:paraId="41A725E4" w14:textId="77777777" w:rsidR="007720E8" w:rsidRPr="00F30EFE" w:rsidRDefault="007720E8" w:rsidP="007720E8">
                  <w:pPr>
                    <w:pStyle w:val="TableBodyText"/>
                  </w:pPr>
                  <w:r w:rsidRPr="00F30EFE">
                    <w:t>0.00</w:t>
                  </w:r>
                </w:p>
              </w:tc>
              <w:tc>
                <w:tcPr>
                  <w:tcW w:w="348" w:type="pct"/>
                </w:tcPr>
                <w:p w14:paraId="44657FB5" w14:textId="77777777" w:rsidR="007720E8" w:rsidRPr="00F30EFE" w:rsidRDefault="007720E8" w:rsidP="007720E8">
                  <w:pPr>
                    <w:pStyle w:val="TableBodyText"/>
                  </w:pPr>
                  <w:r w:rsidRPr="00F30EFE">
                    <w:t>-0.13</w:t>
                  </w:r>
                </w:p>
              </w:tc>
              <w:tc>
                <w:tcPr>
                  <w:tcW w:w="427" w:type="pct"/>
                </w:tcPr>
                <w:p w14:paraId="04E12178" w14:textId="77777777" w:rsidR="007720E8" w:rsidRPr="008B49C7" w:rsidRDefault="007720E8" w:rsidP="007720E8">
                  <w:pPr>
                    <w:pStyle w:val="TableBodyText"/>
                    <w:ind w:right="28"/>
                  </w:pPr>
                  <w:r w:rsidRPr="008B49C7">
                    <w:t>21</w:t>
                  </w:r>
                </w:p>
              </w:tc>
            </w:tr>
            <w:tr w:rsidR="007720E8" w14:paraId="07EB9768" w14:textId="77777777" w:rsidTr="007720E8">
              <w:tc>
                <w:tcPr>
                  <w:tcW w:w="1429" w:type="pct"/>
                </w:tcPr>
                <w:p w14:paraId="29F91B1D" w14:textId="77777777" w:rsidR="007720E8" w:rsidRPr="009E6222" w:rsidRDefault="007720E8" w:rsidP="007720E8">
                  <w:pPr>
                    <w:pStyle w:val="TableBodyText"/>
                    <w:jc w:val="left"/>
                  </w:pPr>
                  <w:r w:rsidRPr="009E6222">
                    <w:t>Information media and telecommunications</w:t>
                  </w:r>
                </w:p>
              </w:tc>
              <w:tc>
                <w:tcPr>
                  <w:tcW w:w="357" w:type="pct"/>
                </w:tcPr>
                <w:p w14:paraId="5491E7BF" w14:textId="77777777" w:rsidR="007720E8" w:rsidRPr="007C70FE" w:rsidRDefault="007720E8" w:rsidP="007720E8">
                  <w:pPr>
                    <w:pStyle w:val="TableBodyText"/>
                  </w:pPr>
                  <w:r w:rsidRPr="007C70FE">
                    <w:t>0.12</w:t>
                  </w:r>
                </w:p>
              </w:tc>
              <w:tc>
                <w:tcPr>
                  <w:tcW w:w="357" w:type="pct"/>
                </w:tcPr>
                <w:p w14:paraId="7C747DC6" w14:textId="77777777" w:rsidR="007720E8" w:rsidRPr="007C70FE" w:rsidRDefault="007720E8" w:rsidP="007720E8">
                  <w:pPr>
                    <w:pStyle w:val="TableBodyText"/>
                  </w:pPr>
                  <w:r w:rsidRPr="007C70FE">
                    <w:t>0.00</w:t>
                  </w:r>
                </w:p>
              </w:tc>
              <w:tc>
                <w:tcPr>
                  <w:tcW w:w="357" w:type="pct"/>
                  <w:tcBorders>
                    <w:right w:val="single" w:sz="6" w:space="0" w:color="BFBFBF"/>
                  </w:tcBorders>
                </w:tcPr>
                <w:p w14:paraId="1C0A0AA5" w14:textId="77777777" w:rsidR="007720E8" w:rsidRPr="007C70FE" w:rsidRDefault="007720E8" w:rsidP="007720E8">
                  <w:pPr>
                    <w:pStyle w:val="TableBodyText"/>
                  </w:pPr>
                  <w:r w:rsidRPr="007C70FE">
                    <w:t>0.12</w:t>
                  </w:r>
                </w:p>
              </w:tc>
              <w:tc>
                <w:tcPr>
                  <w:tcW w:w="293" w:type="pct"/>
                  <w:tcBorders>
                    <w:left w:val="single" w:sz="6" w:space="0" w:color="BFBFBF"/>
                  </w:tcBorders>
                </w:tcPr>
                <w:p w14:paraId="48471D34" w14:textId="77777777" w:rsidR="007720E8" w:rsidRPr="00284D20" w:rsidRDefault="007720E8" w:rsidP="007720E8">
                  <w:pPr>
                    <w:pStyle w:val="TableBodyText"/>
                  </w:pPr>
                  <w:r w:rsidRPr="00284D20">
                    <w:t>0.16</w:t>
                  </w:r>
                </w:p>
              </w:tc>
              <w:tc>
                <w:tcPr>
                  <w:tcW w:w="369" w:type="pct"/>
                </w:tcPr>
                <w:p w14:paraId="6B3835BF" w14:textId="77777777" w:rsidR="007720E8" w:rsidRPr="00284D20" w:rsidRDefault="007720E8" w:rsidP="007720E8">
                  <w:pPr>
                    <w:pStyle w:val="TableBodyText"/>
                  </w:pPr>
                  <w:r w:rsidRPr="00284D20">
                    <w:t>-0.02</w:t>
                  </w:r>
                </w:p>
              </w:tc>
              <w:tc>
                <w:tcPr>
                  <w:tcW w:w="369" w:type="pct"/>
                  <w:tcBorders>
                    <w:right w:val="single" w:sz="4" w:space="0" w:color="BFBFBF"/>
                  </w:tcBorders>
                </w:tcPr>
                <w:p w14:paraId="6672C2C4" w14:textId="77777777" w:rsidR="007720E8" w:rsidRPr="00284D20" w:rsidRDefault="007720E8" w:rsidP="007720E8">
                  <w:pPr>
                    <w:pStyle w:val="TableBodyText"/>
                  </w:pPr>
                  <w:r w:rsidRPr="00284D20">
                    <w:t>0.15</w:t>
                  </w:r>
                </w:p>
              </w:tc>
              <w:tc>
                <w:tcPr>
                  <w:tcW w:w="347" w:type="pct"/>
                  <w:tcBorders>
                    <w:left w:val="single" w:sz="4" w:space="0" w:color="BFBFBF"/>
                  </w:tcBorders>
                </w:tcPr>
                <w:p w14:paraId="5BA6C613" w14:textId="77777777" w:rsidR="007720E8" w:rsidRPr="00F30EFE" w:rsidRDefault="007720E8" w:rsidP="007720E8">
                  <w:pPr>
                    <w:pStyle w:val="TableBodyText"/>
                  </w:pPr>
                  <w:r w:rsidRPr="00F30EFE">
                    <w:t>0.04</w:t>
                  </w:r>
                </w:p>
              </w:tc>
              <w:tc>
                <w:tcPr>
                  <w:tcW w:w="347" w:type="pct"/>
                </w:tcPr>
                <w:p w14:paraId="28099DD2" w14:textId="77777777" w:rsidR="007720E8" w:rsidRPr="00F30EFE" w:rsidRDefault="007720E8" w:rsidP="007720E8">
                  <w:pPr>
                    <w:pStyle w:val="TableBodyText"/>
                  </w:pPr>
                  <w:r w:rsidRPr="00F30EFE">
                    <w:t>-0.02</w:t>
                  </w:r>
                </w:p>
              </w:tc>
              <w:tc>
                <w:tcPr>
                  <w:tcW w:w="348" w:type="pct"/>
                </w:tcPr>
                <w:p w14:paraId="13F84FBE" w14:textId="77777777" w:rsidR="007720E8" w:rsidRPr="00F30EFE" w:rsidRDefault="007720E8" w:rsidP="007720E8">
                  <w:pPr>
                    <w:pStyle w:val="TableBodyText"/>
                  </w:pPr>
                  <w:r w:rsidRPr="00F30EFE">
                    <w:t>0.02</w:t>
                  </w:r>
                </w:p>
              </w:tc>
              <w:tc>
                <w:tcPr>
                  <w:tcW w:w="427" w:type="pct"/>
                </w:tcPr>
                <w:p w14:paraId="3817E652" w14:textId="77777777" w:rsidR="007720E8" w:rsidRPr="008B49C7" w:rsidRDefault="007720E8" w:rsidP="007720E8">
                  <w:pPr>
                    <w:pStyle w:val="TableBodyText"/>
                    <w:ind w:right="28"/>
                  </w:pPr>
                  <w:r w:rsidRPr="008B49C7">
                    <w:t>-</w:t>
                  </w:r>
                  <w:r>
                    <w:t>4</w:t>
                  </w:r>
                </w:p>
              </w:tc>
            </w:tr>
            <w:tr w:rsidR="007720E8" w14:paraId="5A98C8EC" w14:textId="77777777" w:rsidTr="007720E8">
              <w:tc>
                <w:tcPr>
                  <w:tcW w:w="1429" w:type="pct"/>
                </w:tcPr>
                <w:p w14:paraId="741C2C6C" w14:textId="77777777" w:rsidR="007720E8" w:rsidRPr="009E6222" w:rsidRDefault="007720E8" w:rsidP="007720E8">
                  <w:pPr>
                    <w:pStyle w:val="TableBodyText"/>
                    <w:jc w:val="left"/>
                  </w:pPr>
                  <w:r w:rsidRPr="009E6222">
                    <w:t>Financial and insurance services</w:t>
                  </w:r>
                </w:p>
              </w:tc>
              <w:tc>
                <w:tcPr>
                  <w:tcW w:w="357" w:type="pct"/>
                </w:tcPr>
                <w:p w14:paraId="77E11B8C" w14:textId="77777777" w:rsidR="007720E8" w:rsidRPr="007C70FE" w:rsidRDefault="007720E8" w:rsidP="007720E8">
                  <w:pPr>
                    <w:pStyle w:val="TableBodyText"/>
                  </w:pPr>
                  <w:r w:rsidRPr="007C70FE">
                    <w:t>0.27</w:t>
                  </w:r>
                </w:p>
              </w:tc>
              <w:tc>
                <w:tcPr>
                  <w:tcW w:w="357" w:type="pct"/>
                </w:tcPr>
                <w:p w14:paraId="11EAD4DB" w14:textId="77777777" w:rsidR="007720E8" w:rsidRPr="007C70FE" w:rsidRDefault="007720E8" w:rsidP="007720E8">
                  <w:pPr>
                    <w:pStyle w:val="TableBodyText"/>
                  </w:pPr>
                  <w:r w:rsidRPr="007C70FE">
                    <w:t>0.06</w:t>
                  </w:r>
                </w:p>
              </w:tc>
              <w:tc>
                <w:tcPr>
                  <w:tcW w:w="357" w:type="pct"/>
                  <w:tcBorders>
                    <w:right w:val="single" w:sz="6" w:space="0" w:color="BFBFBF"/>
                  </w:tcBorders>
                </w:tcPr>
                <w:p w14:paraId="78F486EF" w14:textId="77777777" w:rsidR="007720E8" w:rsidRPr="007C70FE" w:rsidRDefault="007720E8" w:rsidP="007720E8">
                  <w:pPr>
                    <w:pStyle w:val="TableBodyText"/>
                  </w:pPr>
                  <w:r w:rsidRPr="007C70FE">
                    <w:t>0.33</w:t>
                  </w:r>
                </w:p>
              </w:tc>
              <w:tc>
                <w:tcPr>
                  <w:tcW w:w="293" w:type="pct"/>
                  <w:tcBorders>
                    <w:left w:val="single" w:sz="6" w:space="0" w:color="BFBFBF"/>
                  </w:tcBorders>
                </w:tcPr>
                <w:p w14:paraId="57E97390" w14:textId="77777777" w:rsidR="007720E8" w:rsidRPr="00284D20" w:rsidRDefault="007720E8" w:rsidP="007720E8">
                  <w:pPr>
                    <w:pStyle w:val="TableBodyText"/>
                  </w:pPr>
                  <w:r w:rsidRPr="00284D20">
                    <w:t>0.27</w:t>
                  </w:r>
                </w:p>
              </w:tc>
              <w:tc>
                <w:tcPr>
                  <w:tcW w:w="369" w:type="pct"/>
                </w:tcPr>
                <w:p w14:paraId="32033527" w14:textId="77777777" w:rsidR="007720E8" w:rsidRPr="00284D20" w:rsidRDefault="007720E8" w:rsidP="007720E8">
                  <w:pPr>
                    <w:pStyle w:val="TableBodyText"/>
                  </w:pPr>
                  <w:r w:rsidRPr="00284D20">
                    <w:t>0.02</w:t>
                  </w:r>
                </w:p>
              </w:tc>
              <w:tc>
                <w:tcPr>
                  <w:tcW w:w="369" w:type="pct"/>
                  <w:tcBorders>
                    <w:right w:val="single" w:sz="4" w:space="0" w:color="BFBFBF"/>
                  </w:tcBorders>
                </w:tcPr>
                <w:p w14:paraId="401AEAD7" w14:textId="77777777" w:rsidR="007720E8" w:rsidRPr="00284D20" w:rsidRDefault="007720E8" w:rsidP="007720E8">
                  <w:pPr>
                    <w:pStyle w:val="TableBodyText"/>
                  </w:pPr>
                  <w:r w:rsidRPr="00284D20">
                    <w:t>0.29</w:t>
                  </w:r>
                </w:p>
              </w:tc>
              <w:tc>
                <w:tcPr>
                  <w:tcW w:w="347" w:type="pct"/>
                  <w:tcBorders>
                    <w:left w:val="single" w:sz="4" w:space="0" w:color="BFBFBF"/>
                  </w:tcBorders>
                </w:tcPr>
                <w:p w14:paraId="63B0137E" w14:textId="77777777" w:rsidR="007720E8" w:rsidRPr="00F30EFE" w:rsidRDefault="007720E8" w:rsidP="007720E8">
                  <w:pPr>
                    <w:pStyle w:val="TableBodyText"/>
                  </w:pPr>
                  <w:r w:rsidRPr="00F30EFE">
                    <w:t>0.00</w:t>
                  </w:r>
                </w:p>
              </w:tc>
              <w:tc>
                <w:tcPr>
                  <w:tcW w:w="347" w:type="pct"/>
                </w:tcPr>
                <w:p w14:paraId="74E8BD5C" w14:textId="77777777" w:rsidR="007720E8" w:rsidRPr="00F30EFE" w:rsidRDefault="007720E8" w:rsidP="007720E8">
                  <w:pPr>
                    <w:pStyle w:val="TableBodyText"/>
                  </w:pPr>
                  <w:r w:rsidRPr="00F30EFE">
                    <w:t>-0.04</w:t>
                  </w:r>
                </w:p>
              </w:tc>
              <w:tc>
                <w:tcPr>
                  <w:tcW w:w="348" w:type="pct"/>
                </w:tcPr>
                <w:p w14:paraId="1FB5648A" w14:textId="77777777" w:rsidR="007720E8" w:rsidRPr="00F30EFE" w:rsidRDefault="007720E8" w:rsidP="007720E8">
                  <w:pPr>
                    <w:pStyle w:val="TableBodyText"/>
                  </w:pPr>
                  <w:r w:rsidRPr="00F30EFE">
                    <w:t>-0.04</w:t>
                  </w:r>
                </w:p>
              </w:tc>
              <w:tc>
                <w:tcPr>
                  <w:tcW w:w="427" w:type="pct"/>
                </w:tcPr>
                <w:p w14:paraId="0CDECE30" w14:textId="77777777" w:rsidR="007720E8" w:rsidRPr="008B49C7" w:rsidRDefault="007720E8" w:rsidP="007720E8">
                  <w:pPr>
                    <w:pStyle w:val="TableBodyText"/>
                    <w:ind w:right="28"/>
                  </w:pPr>
                  <w:r>
                    <w:t>7</w:t>
                  </w:r>
                </w:p>
              </w:tc>
            </w:tr>
            <w:tr w:rsidR="007720E8" w14:paraId="7664F90F" w14:textId="77777777" w:rsidTr="007720E8">
              <w:tc>
                <w:tcPr>
                  <w:tcW w:w="1429" w:type="pct"/>
                </w:tcPr>
                <w:p w14:paraId="3260FC7F" w14:textId="77777777" w:rsidR="007720E8" w:rsidRPr="009E6222" w:rsidRDefault="007720E8" w:rsidP="007720E8">
                  <w:pPr>
                    <w:pStyle w:val="TableBodyText"/>
                    <w:jc w:val="left"/>
                  </w:pPr>
                  <w:r w:rsidRPr="009E6222">
                    <w:t>Rental, hiring and real estate services</w:t>
                  </w:r>
                </w:p>
              </w:tc>
              <w:tc>
                <w:tcPr>
                  <w:tcW w:w="357" w:type="pct"/>
                </w:tcPr>
                <w:p w14:paraId="4DC36A27" w14:textId="77777777" w:rsidR="007720E8" w:rsidRPr="007C70FE" w:rsidRDefault="007720E8" w:rsidP="007720E8">
                  <w:pPr>
                    <w:pStyle w:val="TableBodyText"/>
                  </w:pPr>
                  <w:r w:rsidRPr="007C70FE">
                    <w:t>0.02</w:t>
                  </w:r>
                </w:p>
              </w:tc>
              <w:tc>
                <w:tcPr>
                  <w:tcW w:w="357" w:type="pct"/>
                </w:tcPr>
                <w:p w14:paraId="5CCC4816" w14:textId="77777777" w:rsidR="007720E8" w:rsidRPr="007C70FE" w:rsidRDefault="007720E8" w:rsidP="007720E8">
                  <w:pPr>
                    <w:pStyle w:val="TableBodyText"/>
                  </w:pPr>
                  <w:r w:rsidRPr="007C70FE">
                    <w:t>0.05</w:t>
                  </w:r>
                </w:p>
              </w:tc>
              <w:tc>
                <w:tcPr>
                  <w:tcW w:w="357" w:type="pct"/>
                  <w:tcBorders>
                    <w:right w:val="single" w:sz="6" w:space="0" w:color="BFBFBF"/>
                  </w:tcBorders>
                </w:tcPr>
                <w:p w14:paraId="23F65FBE" w14:textId="77777777" w:rsidR="007720E8" w:rsidRPr="007C70FE" w:rsidRDefault="007720E8" w:rsidP="007720E8">
                  <w:pPr>
                    <w:pStyle w:val="TableBodyText"/>
                  </w:pPr>
                  <w:r w:rsidRPr="007C70FE">
                    <w:t>0.07</w:t>
                  </w:r>
                </w:p>
              </w:tc>
              <w:tc>
                <w:tcPr>
                  <w:tcW w:w="293" w:type="pct"/>
                  <w:tcBorders>
                    <w:left w:val="single" w:sz="6" w:space="0" w:color="BFBFBF"/>
                  </w:tcBorders>
                </w:tcPr>
                <w:p w14:paraId="3DC3B724" w14:textId="77777777" w:rsidR="007720E8" w:rsidRPr="00284D20" w:rsidRDefault="007720E8" w:rsidP="007720E8">
                  <w:pPr>
                    <w:pStyle w:val="TableBodyText"/>
                  </w:pPr>
                  <w:r w:rsidRPr="00284D20">
                    <w:t>0.07</w:t>
                  </w:r>
                </w:p>
              </w:tc>
              <w:tc>
                <w:tcPr>
                  <w:tcW w:w="369" w:type="pct"/>
                </w:tcPr>
                <w:p w14:paraId="1855C5FC" w14:textId="77777777" w:rsidR="007720E8" w:rsidRPr="00284D20" w:rsidRDefault="007720E8" w:rsidP="007720E8">
                  <w:pPr>
                    <w:pStyle w:val="TableBodyText"/>
                  </w:pPr>
                  <w:r w:rsidRPr="00284D20">
                    <w:t>0.00</w:t>
                  </w:r>
                </w:p>
              </w:tc>
              <w:tc>
                <w:tcPr>
                  <w:tcW w:w="369" w:type="pct"/>
                  <w:tcBorders>
                    <w:right w:val="single" w:sz="4" w:space="0" w:color="BFBFBF"/>
                  </w:tcBorders>
                </w:tcPr>
                <w:p w14:paraId="2D990939" w14:textId="77777777" w:rsidR="007720E8" w:rsidRPr="00284D20" w:rsidRDefault="007720E8" w:rsidP="007720E8">
                  <w:pPr>
                    <w:pStyle w:val="TableBodyText"/>
                  </w:pPr>
                  <w:r w:rsidRPr="00284D20">
                    <w:t>0.07</w:t>
                  </w:r>
                </w:p>
              </w:tc>
              <w:tc>
                <w:tcPr>
                  <w:tcW w:w="347" w:type="pct"/>
                  <w:tcBorders>
                    <w:left w:val="single" w:sz="4" w:space="0" w:color="BFBFBF"/>
                  </w:tcBorders>
                </w:tcPr>
                <w:p w14:paraId="63039DC8" w14:textId="77777777" w:rsidR="007720E8" w:rsidRPr="00F30EFE" w:rsidRDefault="007720E8" w:rsidP="007720E8">
                  <w:pPr>
                    <w:pStyle w:val="TableBodyText"/>
                  </w:pPr>
                  <w:r w:rsidRPr="00F30EFE">
                    <w:t>0.05</w:t>
                  </w:r>
                </w:p>
              </w:tc>
              <w:tc>
                <w:tcPr>
                  <w:tcW w:w="347" w:type="pct"/>
                </w:tcPr>
                <w:p w14:paraId="1CC8E5D6" w14:textId="77777777" w:rsidR="007720E8" w:rsidRPr="00F30EFE" w:rsidRDefault="007720E8" w:rsidP="007720E8">
                  <w:pPr>
                    <w:pStyle w:val="TableBodyText"/>
                  </w:pPr>
                  <w:r w:rsidRPr="00F30EFE">
                    <w:t>-0.05</w:t>
                  </w:r>
                </w:p>
              </w:tc>
              <w:tc>
                <w:tcPr>
                  <w:tcW w:w="348" w:type="pct"/>
                </w:tcPr>
                <w:p w14:paraId="622616F6" w14:textId="77777777" w:rsidR="007720E8" w:rsidRPr="00F30EFE" w:rsidRDefault="007720E8" w:rsidP="007720E8">
                  <w:pPr>
                    <w:pStyle w:val="TableBodyText"/>
                  </w:pPr>
                  <w:r w:rsidRPr="00F30EFE">
                    <w:t>0.00</w:t>
                  </w:r>
                </w:p>
              </w:tc>
              <w:tc>
                <w:tcPr>
                  <w:tcW w:w="427" w:type="pct"/>
                </w:tcPr>
                <w:p w14:paraId="6A4BBB7F" w14:textId="77777777" w:rsidR="007720E8" w:rsidRPr="008B49C7" w:rsidRDefault="007720E8" w:rsidP="007720E8">
                  <w:pPr>
                    <w:pStyle w:val="TableBodyText"/>
                    <w:ind w:right="28"/>
                  </w:pPr>
                  <w:r>
                    <w:t>0</w:t>
                  </w:r>
                </w:p>
              </w:tc>
            </w:tr>
            <w:tr w:rsidR="007720E8" w14:paraId="3C51E5BB" w14:textId="77777777" w:rsidTr="007720E8">
              <w:tc>
                <w:tcPr>
                  <w:tcW w:w="1429" w:type="pct"/>
                </w:tcPr>
                <w:p w14:paraId="1AB3B34E" w14:textId="77777777" w:rsidR="007720E8" w:rsidRPr="009E6222" w:rsidRDefault="007720E8" w:rsidP="007720E8">
                  <w:pPr>
                    <w:pStyle w:val="TableBodyText"/>
                    <w:jc w:val="left"/>
                  </w:pPr>
                  <w:r w:rsidRPr="009E6222">
                    <w:t>Professional, scientific and technical services</w:t>
                  </w:r>
                </w:p>
              </w:tc>
              <w:tc>
                <w:tcPr>
                  <w:tcW w:w="357" w:type="pct"/>
                </w:tcPr>
                <w:p w14:paraId="7AF27EBD" w14:textId="77777777" w:rsidR="007720E8" w:rsidRPr="007C70FE" w:rsidRDefault="007720E8" w:rsidP="007720E8">
                  <w:pPr>
                    <w:pStyle w:val="TableBodyText"/>
                  </w:pPr>
                  <w:r w:rsidRPr="007C70FE">
                    <w:t>0.04</w:t>
                  </w:r>
                </w:p>
              </w:tc>
              <w:tc>
                <w:tcPr>
                  <w:tcW w:w="357" w:type="pct"/>
                </w:tcPr>
                <w:p w14:paraId="43F51CD5" w14:textId="77777777" w:rsidR="007720E8" w:rsidRPr="007C70FE" w:rsidRDefault="007720E8" w:rsidP="007720E8">
                  <w:pPr>
                    <w:pStyle w:val="TableBodyText"/>
                  </w:pPr>
                  <w:r w:rsidRPr="007C70FE">
                    <w:t>0.03</w:t>
                  </w:r>
                </w:p>
              </w:tc>
              <w:tc>
                <w:tcPr>
                  <w:tcW w:w="357" w:type="pct"/>
                  <w:tcBorders>
                    <w:right w:val="single" w:sz="6" w:space="0" w:color="BFBFBF"/>
                  </w:tcBorders>
                </w:tcPr>
                <w:p w14:paraId="2D60011B" w14:textId="77777777" w:rsidR="007720E8" w:rsidRPr="007C70FE" w:rsidRDefault="007720E8" w:rsidP="007720E8">
                  <w:pPr>
                    <w:pStyle w:val="TableBodyText"/>
                  </w:pPr>
                  <w:r w:rsidRPr="007C70FE">
                    <w:t>0.07</w:t>
                  </w:r>
                </w:p>
              </w:tc>
              <w:tc>
                <w:tcPr>
                  <w:tcW w:w="293" w:type="pct"/>
                  <w:tcBorders>
                    <w:left w:val="single" w:sz="6" w:space="0" w:color="BFBFBF"/>
                  </w:tcBorders>
                </w:tcPr>
                <w:p w14:paraId="57172799" w14:textId="77777777" w:rsidR="007720E8" w:rsidRPr="00284D20" w:rsidRDefault="007720E8" w:rsidP="007720E8">
                  <w:pPr>
                    <w:pStyle w:val="TableBodyText"/>
                  </w:pPr>
                  <w:r w:rsidRPr="00284D20">
                    <w:t>0.09</w:t>
                  </w:r>
                </w:p>
              </w:tc>
              <w:tc>
                <w:tcPr>
                  <w:tcW w:w="369" w:type="pct"/>
                </w:tcPr>
                <w:p w14:paraId="2E56FAAA" w14:textId="77777777" w:rsidR="007720E8" w:rsidRPr="00284D20" w:rsidRDefault="007720E8" w:rsidP="007720E8">
                  <w:pPr>
                    <w:pStyle w:val="TableBodyText"/>
                  </w:pPr>
                  <w:r w:rsidRPr="00284D20">
                    <w:t>-0.03</w:t>
                  </w:r>
                </w:p>
              </w:tc>
              <w:tc>
                <w:tcPr>
                  <w:tcW w:w="369" w:type="pct"/>
                  <w:tcBorders>
                    <w:right w:val="single" w:sz="4" w:space="0" w:color="BFBFBF"/>
                  </w:tcBorders>
                </w:tcPr>
                <w:p w14:paraId="59DB1CAE" w14:textId="77777777" w:rsidR="007720E8" w:rsidRPr="00284D20" w:rsidRDefault="007720E8" w:rsidP="007720E8">
                  <w:pPr>
                    <w:pStyle w:val="TableBodyText"/>
                  </w:pPr>
                  <w:r w:rsidRPr="00284D20">
                    <w:t>0.06</w:t>
                  </w:r>
                </w:p>
              </w:tc>
              <w:tc>
                <w:tcPr>
                  <w:tcW w:w="347" w:type="pct"/>
                  <w:tcBorders>
                    <w:left w:val="single" w:sz="4" w:space="0" w:color="BFBFBF"/>
                  </w:tcBorders>
                </w:tcPr>
                <w:p w14:paraId="45E81FA5" w14:textId="77777777" w:rsidR="007720E8" w:rsidRPr="00F30EFE" w:rsidRDefault="007720E8" w:rsidP="007720E8">
                  <w:pPr>
                    <w:pStyle w:val="TableBodyText"/>
                  </w:pPr>
                  <w:r w:rsidRPr="00F30EFE">
                    <w:t>0.05</w:t>
                  </w:r>
                </w:p>
              </w:tc>
              <w:tc>
                <w:tcPr>
                  <w:tcW w:w="347" w:type="pct"/>
                </w:tcPr>
                <w:p w14:paraId="7512CE03" w14:textId="77777777" w:rsidR="007720E8" w:rsidRPr="00F30EFE" w:rsidRDefault="007720E8" w:rsidP="007720E8">
                  <w:pPr>
                    <w:pStyle w:val="TableBodyText"/>
                  </w:pPr>
                  <w:r w:rsidRPr="00F30EFE">
                    <w:t>-0.05</w:t>
                  </w:r>
                </w:p>
              </w:tc>
              <w:tc>
                <w:tcPr>
                  <w:tcW w:w="348" w:type="pct"/>
                </w:tcPr>
                <w:p w14:paraId="6D763775" w14:textId="77777777" w:rsidR="007720E8" w:rsidRPr="00F30EFE" w:rsidRDefault="007720E8" w:rsidP="007720E8">
                  <w:pPr>
                    <w:pStyle w:val="TableBodyText"/>
                  </w:pPr>
                  <w:r w:rsidRPr="00F30EFE">
                    <w:t>-0.01</w:t>
                  </w:r>
                </w:p>
              </w:tc>
              <w:tc>
                <w:tcPr>
                  <w:tcW w:w="427" w:type="pct"/>
                </w:tcPr>
                <w:p w14:paraId="6B3A72C5" w14:textId="77777777" w:rsidR="007720E8" w:rsidRPr="008B49C7" w:rsidRDefault="007720E8" w:rsidP="007720E8">
                  <w:pPr>
                    <w:pStyle w:val="TableBodyText"/>
                    <w:ind w:right="28"/>
                  </w:pPr>
                  <w:r>
                    <w:t>1</w:t>
                  </w:r>
                </w:p>
              </w:tc>
            </w:tr>
            <w:tr w:rsidR="007720E8" w14:paraId="73AC7E7F" w14:textId="77777777" w:rsidTr="007720E8">
              <w:tc>
                <w:tcPr>
                  <w:tcW w:w="1429" w:type="pct"/>
                </w:tcPr>
                <w:p w14:paraId="2CE6FBA5" w14:textId="77777777" w:rsidR="007720E8" w:rsidRPr="009E6222" w:rsidRDefault="007720E8" w:rsidP="007720E8">
                  <w:pPr>
                    <w:pStyle w:val="TableBodyText"/>
                    <w:jc w:val="left"/>
                  </w:pPr>
                  <w:r w:rsidRPr="009E6222">
                    <w:t>Administrative and support services</w:t>
                  </w:r>
                </w:p>
              </w:tc>
              <w:tc>
                <w:tcPr>
                  <w:tcW w:w="357" w:type="pct"/>
                </w:tcPr>
                <w:p w14:paraId="3450B213" w14:textId="77777777" w:rsidR="007720E8" w:rsidRPr="007C70FE" w:rsidRDefault="007720E8" w:rsidP="007720E8">
                  <w:pPr>
                    <w:pStyle w:val="TableBodyText"/>
                  </w:pPr>
                  <w:r w:rsidRPr="007C70FE">
                    <w:t>0.01</w:t>
                  </w:r>
                </w:p>
              </w:tc>
              <w:tc>
                <w:tcPr>
                  <w:tcW w:w="357" w:type="pct"/>
                </w:tcPr>
                <w:p w14:paraId="16CC412C" w14:textId="77777777" w:rsidR="007720E8" w:rsidRPr="007C70FE" w:rsidRDefault="007720E8" w:rsidP="007720E8">
                  <w:pPr>
                    <w:pStyle w:val="TableBodyText"/>
                  </w:pPr>
                  <w:r w:rsidRPr="007C70FE">
                    <w:t>0.05</w:t>
                  </w:r>
                </w:p>
              </w:tc>
              <w:tc>
                <w:tcPr>
                  <w:tcW w:w="357" w:type="pct"/>
                  <w:tcBorders>
                    <w:right w:val="single" w:sz="6" w:space="0" w:color="BFBFBF"/>
                  </w:tcBorders>
                </w:tcPr>
                <w:p w14:paraId="34ECE64A" w14:textId="77777777" w:rsidR="007720E8" w:rsidRPr="007C70FE" w:rsidRDefault="007720E8" w:rsidP="007720E8">
                  <w:pPr>
                    <w:pStyle w:val="TableBodyText"/>
                  </w:pPr>
                  <w:r w:rsidRPr="007C70FE">
                    <w:t>0.07</w:t>
                  </w:r>
                </w:p>
              </w:tc>
              <w:tc>
                <w:tcPr>
                  <w:tcW w:w="293" w:type="pct"/>
                  <w:tcBorders>
                    <w:left w:val="single" w:sz="6" w:space="0" w:color="BFBFBF"/>
                  </w:tcBorders>
                </w:tcPr>
                <w:p w14:paraId="7F4B6C49" w14:textId="77777777" w:rsidR="007720E8" w:rsidRPr="00284D20" w:rsidRDefault="007720E8" w:rsidP="007720E8">
                  <w:pPr>
                    <w:pStyle w:val="TableBodyText"/>
                  </w:pPr>
                  <w:r w:rsidRPr="00284D20">
                    <w:t>0.09</w:t>
                  </w:r>
                </w:p>
              </w:tc>
              <w:tc>
                <w:tcPr>
                  <w:tcW w:w="369" w:type="pct"/>
                </w:tcPr>
                <w:p w14:paraId="0B8630B2" w14:textId="77777777" w:rsidR="007720E8" w:rsidRPr="00284D20" w:rsidRDefault="007720E8" w:rsidP="007720E8">
                  <w:pPr>
                    <w:pStyle w:val="TableBodyText"/>
                  </w:pPr>
                  <w:r w:rsidRPr="00284D20">
                    <w:t>0.00</w:t>
                  </w:r>
                </w:p>
              </w:tc>
              <w:tc>
                <w:tcPr>
                  <w:tcW w:w="369" w:type="pct"/>
                  <w:tcBorders>
                    <w:right w:val="single" w:sz="4" w:space="0" w:color="BFBFBF"/>
                  </w:tcBorders>
                </w:tcPr>
                <w:p w14:paraId="3606E007" w14:textId="77777777" w:rsidR="007720E8" w:rsidRPr="00284D20" w:rsidRDefault="007720E8" w:rsidP="007720E8">
                  <w:pPr>
                    <w:pStyle w:val="TableBodyText"/>
                  </w:pPr>
                  <w:r w:rsidRPr="00284D20">
                    <w:t>0.08</w:t>
                  </w:r>
                </w:p>
              </w:tc>
              <w:tc>
                <w:tcPr>
                  <w:tcW w:w="347" w:type="pct"/>
                  <w:tcBorders>
                    <w:left w:val="single" w:sz="4" w:space="0" w:color="BFBFBF"/>
                  </w:tcBorders>
                </w:tcPr>
                <w:p w14:paraId="40CD2B55" w14:textId="77777777" w:rsidR="007720E8" w:rsidRPr="00F30EFE" w:rsidRDefault="007720E8" w:rsidP="007720E8">
                  <w:pPr>
                    <w:pStyle w:val="TableBodyText"/>
                  </w:pPr>
                  <w:r w:rsidRPr="00F30EFE">
                    <w:t>0.07</w:t>
                  </w:r>
                </w:p>
              </w:tc>
              <w:tc>
                <w:tcPr>
                  <w:tcW w:w="347" w:type="pct"/>
                </w:tcPr>
                <w:p w14:paraId="1A043DF6" w14:textId="77777777" w:rsidR="007720E8" w:rsidRPr="00F30EFE" w:rsidRDefault="007720E8" w:rsidP="007720E8">
                  <w:pPr>
                    <w:pStyle w:val="TableBodyText"/>
                  </w:pPr>
                  <w:r w:rsidRPr="00F30EFE">
                    <w:t>-0.06</w:t>
                  </w:r>
                </w:p>
              </w:tc>
              <w:tc>
                <w:tcPr>
                  <w:tcW w:w="348" w:type="pct"/>
                </w:tcPr>
                <w:p w14:paraId="2FC9D74B" w14:textId="77777777" w:rsidR="007720E8" w:rsidRPr="00F30EFE" w:rsidRDefault="007720E8" w:rsidP="007720E8">
                  <w:pPr>
                    <w:pStyle w:val="TableBodyText"/>
                  </w:pPr>
                  <w:r w:rsidRPr="00F30EFE">
                    <w:t>0.02</w:t>
                  </w:r>
                </w:p>
              </w:tc>
              <w:tc>
                <w:tcPr>
                  <w:tcW w:w="427" w:type="pct"/>
                </w:tcPr>
                <w:p w14:paraId="6D551250" w14:textId="77777777" w:rsidR="007720E8" w:rsidRPr="008B49C7" w:rsidRDefault="007720E8" w:rsidP="007720E8">
                  <w:pPr>
                    <w:pStyle w:val="TableBodyText"/>
                    <w:ind w:right="28"/>
                  </w:pPr>
                  <w:r w:rsidRPr="008B49C7">
                    <w:t>-</w:t>
                  </w:r>
                  <w:r>
                    <w:t>3</w:t>
                  </w:r>
                </w:p>
              </w:tc>
            </w:tr>
            <w:tr w:rsidR="007720E8" w14:paraId="29528F94" w14:textId="77777777" w:rsidTr="007720E8">
              <w:tc>
                <w:tcPr>
                  <w:tcW w:w="1429" w:type="pct"/>
                </w:tcPr>
                <w:p w14:paraId="3B7DBCA8" w14:textId="77777777" w:rsidR="007720E8" w:rsidRPr="009E6222" w:rsidRDefault="007720E8" w:rsidP="007720E8">
                  <w:pPr>
                    <w:pStyle w:val="TableBodyText"/>
                    <w:jc w:val="left"/>
                  </w:pPr>
                  <w:r w:rsidRPr="009E6222">
                    <w:t>Arts and recreation services</w:t>
                  </w:r>
                </w:p>
              </w:tc>
              <w:tc>
                <w:tcPr>
                  <w:tcW w:w="357" w:type="pct"/>
                </w:tcPr>
                <w:p w14:paraId="61BB4FDF" w14:textId="77777777" w:rsidR="007720E8" w:rsidRPr="007C70FE" w:rsidRDefault="007720E8" w:rsidP="007720E8">
                  <w:pPr>
                    <w:pStyle w:val="TableBodyText"/>
                  </w:pPr>
                  <w:r w:rsidRPr="007C70FE">
                    <w:t>-0.14</w:t>
                  </w:r>
                </w:p>
              </w:tc>
              <w:tc>
                <w:tcPr>
                  <w:tcW w:w="357" w:type="pct"/>
                </w:tcPr>
                <w:p w14:paraId="69F40BDB" w14:textId="77777777" w:rsidR="007720E8" w:rsidRPr="007C70FE" w:rsidRDefault="007720E8" w:rsidP="007720E8">
                  <w:pPr>
                    <w:pStyle w:val="TableBodyText"/>
                  </w:pPr>
                  <w:r w:rsidRPr="007C70FE">
                    <w:t>0.14</w:t>
                  </w:r>
                </w:p>
              </w:tc>
              <w:tc>
                <w:tcPr>
                  <w:tcW w:w="357" w:type="pct"/>
                  <w:tcBorders>
                    <w:right w:val="single" w:sz="6" w:space="0" w:color="BFBFBF"/>
                  </w:tcBorders>
                </w:tcPr>
                <w:p w14:paraId="5277B556" w14:textId="77777777" w:rsidR="007720E8" w:rsidRPr="007C70FE" w:rsidRDefault="007720E8" w:rsidP="007720E8">
                  <w:pPr>
                    <w:pStyle w:val="TableBodyText"/>
                  </w:pPr>
                  <w:r w:rsidRPr="007C70FE">
                    <w:t>-0.01</w:t>
                  </w:r>
                </w:p>
              </w:tc>
              <w:tc>
                <w:tcPr>
                  <w:tcW w:w="293" w:type="pct"/>
                  <w:tcBorders>
                    <w:left w:val="single" w:sz="6" w:space="0" w:color="BFBFBF"/>
                  </w:tcBorders>
                </w:tcPr>
                <w:p w14:paraId="557489D8" w14:textId="77777777" w:rsidR="007720E8" w:rsidRPr="00284D20" w:rsidRDefault="007720E8" w:rsidP="007720E8">
                  <w:pPr>
                    <w:pStyle w:val="TableBodyText"/>
                  </w:pPr>
                  <w:r w:rsidRPr="00284D20">
                    <w:t>-0.04</w:t>
                  </w:r>
                </w:p>
              </w:tc>
              <w:tc>
                <w:tcPr>
                  <w:tcW w:w="369" w:type="pct"/>
                </w:tcPr>
                <w:p w14:paraId="72D908FE" w14:textId="77777777" w:rsidR="007720E8" w:rsidRPr="00284D20" w:rsidRDefault="007720E8" w:rsidP="007720E8">
                  <w:pPr>
                    <w:pStyle w:val="TableBodyText"/>
                  </w:pPr>
                  <w:r w:rsidRPr="00284D20">
                    <w:t>0.00</w:t>
                  </w:r>
                </w:p>
              </w:tc>
              <w:tc>
                <w:tcPr>
                  <w:tcW w:w="369" w:type="pct"/>
                  <w:tcBorders>
                    <w:right w:val="single" w:sz="4" w:space="0" w:color="BFBFBF"/>
                  </w:tcBorders>
                </w:tcPr>
                <w:p w14:paraId="0B3AFD33" w14:textId="77777777" w:rsidR="007720E8" w:rsidRPr="00284D20" w:rsidRDefault="007720E8" w:rsidP="007720E8">
                  <w:pPr>
                    <w:pStyle w:val="TableBodyText"/>
                  </w:pPr>
                  <w:r w:rsidRPr="00284D20">
                    <w:t>-0.04</w:t>
                  </w:r>
                </w:p>
              </w:tc>
              <w:tc>
                <w:tcPr>
                  <w:tcW w:w="347" w:type="pct"/>
                  <w:tcBorders>
                    <w:left w:val="single" w:sz="4" w:space="0" w:color="BFBFBF"/>
                  </w:tcBorders>
                </w:tcPr>
                <w:p w14:paraId="711049FE" w14:textId="77777777" w:rsidR="007720E8" w:rsidRPr="00F30EFE" w:rsidRDefault="007720E8" w:rsidP="007720E8">
                  <w:pPr>
                    <w:pStyle w:val="TableBodyText"/>
                  </w:pPr>
                  <w:r w:rsidRPr="00F30EFE">
                    <w:t>0.10</w:t>
                  </w:r>
                </w:p>
              </w:tc>
              <w:tc>
                <w:tcPr>
                  <w:tcW w:w="347" w:type="pct"/>
                </w:tcPr>
                <w:p w14:paraId="18F38585" w14:textId="77777777" w:rsidR="007720E8" w:rsidRPr="00F30EFE" w:rsidRDefault="007720E8" w:rsidP="007720E8">
                  <w:pPr>
                    <w:pStyle w:val="TableBodyText"/>
                  </w:pPr>
                  <w:r w:rsidRPr="00F30EFE">
                    <w:t>-0.13</w:t>
                  </w:r>
                </w:p>
              </w:tc>
              <w:tc>
                <w:tcPr>
                  <w:tcW w:w="348" w:type="pct"/>
                </w:tcPr>
                <w:p w14:paraId="5155F6B0" w14:textId="77777777" w:rsidR="007720E8" w:rsidRPr="00F30EFE" w:rsidRDefault="007720E8" w:rsidP="007720E8">
                  <w:pPr>
                    <w:pStyle w:val="TableBodyText"/>
                  </w:pPr>
                  <w:r w:rsidRPr="00F30EFE">
                    <w:t>-0.03</w:t>
                  </w:r>
                </w:p>
              </w:tc>
              <w:tc>
                <w:tcPr>
                  <w:tcW w:w="427" w:type="pct"/>
                </w:tcPr>
                <w:p w14:paraId="69E5A0B1" w14:textId="77777777" w:rsidR="007720E8" w:rsidRPr="008B49C7" w:rsidRDefault="007720E8" w:rsidP="007720E8">
                  <w:pPr>
                    <w:pStyle w:val="TableBodyText"/>
                    <w:ind w:right="28"/>
                  </w:pPr>
                  <w:r w:rsidRPr="008B49C7">
                    <w:t>4</w:t>
                  </w:r>
                </w:p>
              </w:tc>
            </w:tr>
            <w:tr w:rsidR="007720E8" w14:paraId="396124E7" w14:textId="77777777" w:rsidTr="007720E8">
              <w:tc>
                <w:tcPr>
                  <w:tcW w:w="1429" w:type="pct"/>
                  <w:shd w:val="clear" w:color="auto" w:fill="auto"/>
                </w:tcPr>
                <w:p w14:paraId="5F5ADC1B" w14:textId="77777777" w:rsidR="007720E8" w:rsidRPr="009E6222" w:rsidRDefault="007720E8" w:rsidP="007720E8">
                  <w:pPr>
                    <w:pStyle w:val="TableBodyText"/>
                    <w:jc w:val="left"/>
                  </w:pPr>
                  <w:r w:rsidRPr="009E6222">
                    <w:t>Other services</w:t>
                  </w:r>
                </w:p>
              </w:tc>
              <w:tc>
                <w:tcPr>
                  <w:tcW w:w="357" w:type="pct"/>
                </w:tcPr>
                <w:p w14:paraId="3BBAF29E" w14:textId="77777777" w:rsidR="007720E8" w:rsidRPr="007C70FE" w:rsidRDefault="007720E8" w:rsidP="007720E8">
                  <w:pPr>
                    <w:pStyle w:val="TableBodyText"/>
                  </w:pPr>
                  <w:r w:rsidRPr="007C70FE">
                    <w:t>0.03</w:t>
                  </w:r>
                </w:p>
              </w:tc>
              <w:tc>
                <w:tcPr>
                  <w:tcW w:w="357" w:type="pct"/>
                </w:tcPr>
                <w:p w14:paraId="0DFA6614" w14:textId="77777777" w:rsidR="007720E8" w:rsidRPr="007C70FE" w:rsidRDefault="007720E8" w:rsidP="007720E8">
                  <w:pPr>
                    <w:pStyle w:val="TableBodyText"/>
                  </w:pPr>
                  <w:r w:rsidRPr="007C70FE">
                    <w:t>-0.04</w:t>
                  </w:r>
                </w:p>
              </w:tc>
              <w:tc>
                <w:tcPr>
                  <w:tcW w:w="357" w:type="pct"/>
                  <w:tcBorders>
                    <w:right w:val="single" w:sz="6" w:space="0" w:color="BFBFBF"/>
                  </w:tcBorders>
                </w:tcPr>
                <w:p w14:paraId="5A2AB61A" w14:textId="77777777" w:rsidR="007720E8" w:rsidRPr="007C70FE" w:rsidRDefault="007720E8" w:rsidP="007720E8">
                  <w:pPr>
                    <w:pStyle w:val="TableBodyText"/>
                  </w:pPr>
                  <w:r w:rsidRPr="007C70FE">
                    <w:t>-0.02</w:t>
                  </w:r>
                </w:p>
              </w:tc>
              <w:tc>
                <w:tcPr>
                  <w:tcW w:w="293" w:type="pct"/>
                  <w:tcBorders>
                    <w:left w:val="single" w:sz="6" w:space="0" w:color="BFBFBF"/>
                  </w:tcBorders>
                </w:tcPr>
                <w:p w14:paraId="3398DD10" w14:textId="77777777" w:rsidR="007720E8" w:rsidRPr="00284D20" w:rsidRDefault="007720E8" w:rsidP="007720E8">
                  <w:pPr>
                    <w:pStyle w:val="TableBodyText"/>
                  </w:pPr>
                  <w:r w:rsidRPr="00284D20">
                    <w:t>0.02</w:t>
                  </w:r>
                </w:p>
              </w:tc>
              <w:tc>
                <w:tcPr>
                  <w:tcW w:w="369" w:type="pct"/>
                </w:tcPr>
                <w:p w14:paraId="0A656B95" w14:textId="77777777" w:rsidR="007720E8" w:rsidRPr="00284D20" w:rsidRDefault="007720E8" w:rsidP="007720E8">
                  <w:pPr>
                    <w:pStyle w:val="TableBodyText"/>
                  </w:pPr>
                  <w:r w:rsidRPr="00284D20">
                    <w:t>0.02</w:t>
                  </w:r>
                </w:p>
              </w:tc>
              <w:tc>
                <w:tcPr>
                  <w:tcW w:w="369" w:type="pct"/>
                  <w:tcBorders>
                    <w:right w:val="single" w:sz="4" w:space="0" w:color="BFBFBF"/>
                  </w:tcBorders>
                </w:tcPr>
                <w:p w14:paraId="6FDCF284" w14:textId="77777777" w:rsidR="007720E8" w:rsidRPr="00284D20" w:rsidRDefault="007720E8" w:rsidP="007720E8">
                  <w:pPr>
                    <w:pStyle w:val="TableBodyText"/>
                  </w:pPr>
                  <w:r w:rsidRPr="00284D20">
                    <w:t>0.04</w:t>
                  </w:r>
                </w:p>
              </w:tc>
              <w:tc>
                <w:tcPr>
                  <w:tcW w:w="347" w:type="pct"/>
                  <w:tcBorders>
                    <w:left w:val="single" w:sz="4" w:space="0" w:color="BFBFBF"/>
                  </w:tcBorders>
                </w:tcPr>
                <w:p w14:paraId="0A50A56C" w14:textId="77777777" w:rsidR="007720E8" w:rsidRPr="00F30EFE" w:rsidRDefault="007720E8" w:rsidP="007720E8">
                  <w:pPr>
                    <w:pStyle w:val="TableBodyText"/>
                  </w:pPr>
                  <w:r w:rsidRPr="00F30EFE">
                    <w:t>0.00</w:t>
                  </w:r>
                </w:p>
              </w:tc>
              <w:tc>
                <w:tcPr>
                  <w:tcW w:w="347" w:type="pct"/>
                </w:tcPr>
                <w:p w14:paraId="52E6D043" w14:textId="77777777" w:rsidR="007720E8" w:rsidRPr="00F30EFE" w:rsidRDefault="007720E8" w:rsidP="007720E8">
                  <w:pPr>
                    <w:pStyle w:val="TableBodyText"/>
                  </w:pPr>
                  <w:r w:rsidRPr="00F30EFE">
                    <w:t>0.06</w:t>
                  </w:r>
                </w:p>
              </w:tc>
              <w:tc>
                <w:tcPr>
                  <w:tcW w:w="348" w:type="pct"/>
                  <w:shd w:val="clear" w:color="auto" w:fill="auto"/>
                </w:tcPr>
                <w:p w14:paraId="7BD084BC" w14:textId="77777777" w:rsidR="007720E8" w:rsidRPr="00F30EFE" w:rsidRDefault="007720E8" w:rsidP="007720E8">
                  <w:pPr>
                    <w:pStyle w:val="TableBodyText"/>
                  </w:pPr>
                  <w:r w:rsidRPr="00F30EFE">
                    <w:t>0.06</w:t>
                  </w:r>
                </w:p>
              </w:tc>
              <w:tc>
                <w:tcPr>
                  <w:tcW w:w="427" w:type="pct"/>
                  <w:shd w:val="clear" w:color="auto" w:fill="auto"/>
                </w:tcPr>
                <w:p w14:paraId="09811DCE" w14:textId="77777777" w:rsidR="007720E8" w:rsidRDefault="007720E8" w:rsidP="007720E8">
                  <w:pPr>
                    <w:pStyle w:val="TableBodyText"/>
                    <w:ind w:right="28"/>
                  </w:pPr>
                  <w:r w:rsidRPr="008B49C7">
                    <w:t>-</w:t>
                  </w:r>
                  <w:r>
                    <w:t>9</w:t>
                  </w:r>
                </w:p>
              </w:tc>
            </w:tr>
            <w:tr w:rsidR="007720E8" w14:paraId="7BE695B9" w14:textId="77777777" w:rsidTr="007720E8">
              <w:tc>
                <w:tcPr>
                  <w:tcW w:w="1429" w:type="pct"/>
                  <w:tcBorders>
                    <w:bottom w:val="single" w:sz="6" w:space="0" w:color="BFBFBF"/>
                  </w:tcBorders>
                  <w:shd w:val="clear" w:color="auto" w:fill="auto"/>
                </w:tcPr>
                <w:p w14:paraId="5ED18D2E" w14:textId="77777777" w:rsidR="007720E8" w:rsidRPr="009E6222" w:rsidRDefault="007720E8" w:rsidP="007720E8">
                  <w:pPr>
                    <w:pStyle w:val="TableBodyText"/>
                    <w:jc w:val="left"/>
                  </w:pPr>
                  <w:r>
                    <w:t>Total market sector</w:t>
                  </w:r>
                </w:p>
              </w:tc>
              <w:tc>
                <w:tcPr>
                  <w:tcW w:w="357" w:type="pct"/>
                  <w:tcBorders>
                    <w:bottom w:val="single" w:sz="6" w:space="0" w:color="BFBFBF"/>
                  </w:tcBorders>
                </w:tcPr>
                <w:p w14:paraId="282200B1" w14:textId="77777777" w:rsidR="007720E8" w:rsidRPr="007C70FE" w:rsidRDefault="007720E8" w:rsidP="007720E8">
                  <w:pPr>
                    <w:pStyle w:val="TableBodyText"/>
                  </w:pPr>
                  <w:r w:rsidRPr="007C70FE">
                    <w:t>1.94</w:t>
                  </w:r>
                </w:p>
              </w:tc>
              <w:tc>
                <w:tcPr>
                  <w:tcW w:w="357" w:type="pct"/>
                  <w:tcBorders>
                    <w:bottom w:val="single" w:sz="6" w:space="0" w:color="BFBFBF"/>
                  </w:tcBorders>
                </w:tcPr>
                <w:p w14:paraId="3B815E1E" w14:textId="77777777" w:rsidR="007720E8" w:rsidRPr="007C70FE" w:rsidRDefault="007720E8" w:rsidP="007720E8">
                  <w:pPr>
                    <w:pStyle w:val="TableBodyText"/>
                  </w:pPr>
                  <w:r w:rsidRPr="007C70FE">
                    <w:t>0.27</w:t>
                  </w:r>
                </w:p>
              </w:tc>
              <w:tc>
                <w:tcPr>
                  <w:tcW w:w="357" w:type="pct"/>
                  <w:tcBorders>
                    <w:bottom w:val="single" w:sz="6" w:space="0" w:color="BFBFBF"/>
                    <w:right w:val="single" w:sz="6" w:space="0" w:color="BFBFBF"/>
                  </w:tcBorders>
                </w:tcPr>
                <w:p w14:paraId="6D047A3D" w14:textId="77777777" w:rsidR="007720E8" w:rsidRDefault="007720E8" w:rsidP="007720E8">
                  <w:pPr>
                    <w:pStyle w:val="TableBodyText"/>
                  </w:pPr>
                  <w:r w:rsidRPr="007C70FE">
                    <w:t>2.21</w:t>
                  </w:r>
                </w:p>
              </w:tc>
              <w:tc>
                <w:tcPr>
                  <w:tcW w:w="293" w:type="pct"/>
                  <w:tcBorders>
                    <w:left w:val="single" w:sz="6" w:space="0" w:color="BFBFBF"/>
                    <w:bottom w:val="single" w:sz="6" w:space="0" w:color="BFBFBF"/>
                  </w:tcBorders>
                </w:tcPr>
                <w:p w14:paraId="5FD27217" w14:textId="77777777" w:rsidR="007720E8" w:rsidRPr="00284D20" w:rsidRDefault="007720E8" w:rsidP="007720E8">
                  <w:pPr>
                    <w:pStyle w:val="TableBodyText"/>
                  </w:pPr>
                  <w:r w:rsidRPr="00284D20">
                    <w:t>1.05</w:t>
                  </w:r>
                </w:p>
              </w:tc>
              <w:tc>
                <w:tcPr>
                  <w:tcW w:w="369" w:type="pct"/>
                  <w:tcBorders>
                    <w:bottom w:val="single" w:sz="6" w:space="0" w:color="BFBFBF"/>
                  </w:tcBorders>
                </w:tcPr>
                <w:p w14:paraId="276FC6FB" w14:textId="77777777" w:rsidR="007720E8" w:rsidRPr="00284D20" w:rsidRDefault="007720E8" w:rsidP="007720E8">
                  <w:pPr>
                    <w:pStyle w:val="TableBodyText"/>
                  </w:pPr>
                  <w:r w:rsidRPr="00284D20">
                    <w:t>0.53</w:t>
                  </w:r>
                </w:p>
              </w:tc>
              <w:tc>
                <w:tcPr>
                  <w:tcW w:w="369" w:type="pct"/>
                  <w:tcBorders>
                    <w:bottom w:val="single" w:sz="6" w:space="0" w:color="BFBFBF"/>
                    <w:right w:val="single" w:sz="4" w:space="0" w:color="BFBFBF"/>
                  </w:tcBorders>
                </w:tcPr>
                <w:p w14:paraId="063150DF" w14:textId="77777777" w:rsidR="007720E8" w:rsidRDefault="007720E8" w:rsidP="007720E8">
                  <w:pPr>
                    <w:pStyle w:val="TableBodyText"/>
                  </w:pPr>
                  <w:r w:rsidRPr="00284D20">
                    <w:t>1.58</w:t>
                  </w:r>
                </w:p>
              </w:tc>
              <w:tc>
                <w:tcPr>
                  <w:tcW w:w="347" w:type="pct"/>
                  <w:tcBorders>
                    <w:left w:val="single" w:sz="4" w:space="0" w:color="BFBFBF"/>
                    <w:bottom w:val="single" w:sz="6" w:space="0" w:color="BFBFBF"/>
                  </w:tcBorders>
                </w:tcPr>
                <w:p w14:paraId="2CF82BA4" w14:textId="77777777" w:rsidR="007720E8" w:rsidRPr="00F30EFE" w:rsidRDefault="007720E8" w:rsidP="007720E8">
                  <w:pPr>
                    <w:pStyle w:val="TableBodyText"/>
                  </w:pPr>
                  <w:r w:rsidRPr="00F30EFE">
                    <w:t>-0.89</w:t>
                  </w:r>
                </w:p>
              </w:tc>
              <w:tc>
                <w:tcPr>
                  <w:tcW w:w="347" w:type="pct"/>
                  <w:tcBorders>
                    <w:bottom w:val="single" w:sz="6" w:space="0" w:color="BFBFBF"/>
                  </w:tcBorders>
                </w:tcPr>
                <w:p w14:paraId="47AF07FF" w14:textId="77777777" w:rsidR="007720E8" w:rsidRPr="00F30EFE" w:rsidRDefault="007720E8" w:rsidP="007720E8">
                  <w:pPr>
                    <w:pStyle w:val="TableBodyText"/>
                  </w:pPr>
                  <w:r w:rsidRPr="00F30EFE">
                    <w:t>0.26</w:t>
                  </w:r>
                </w:p>
              </w:tc>
              <w:tc>
                <w:tcPr>
                  <w:tcW w:w="348" w:type="pct"/>
                  <w:tcBorders>
                    <w:bottom w:val="single" w:sz="6" w:space="0" w:color="BFBFBF"/>
                  </w:tcBorders>
                  <w:shd w:val="clear" w:color="auto" w:fill="auto"/>
                </w:tcPr>
                <w:p w14:paraId="20D29E2D" w14:textId="77777777" w:rsidR="007720E8" w:rsidRDefault="007720E8" w:rsidP="007720E8">
                  <w:pPr>
                    <w:pStyle w:val="TableBodyText"/>
                  </w:pPr>
                  <w:r w:rsidRPr="00F30EFE">
                    <w:t>-0.63</w:t>
                  </w:r>
                </w:p>
              </w:tc>
              <w:tc>
                <w:tcPr>
                  <w:tcW w:w="427" w:type="pct"/>
                  <w:tcBorders>
                    <w:bottom w:val="single" w:sz="6" w:space="0" w:color="BFBFBF"/>
                  </w:tcBorders>
                  <w:shd w:val="clear" w:color="auto" w:fill="auto"/>
                </w:tcPr>
                <w:p w14:paraId="4B0AE456" w14:textId="77777777" w:rsidR="007720E8" w:rsidRDefault="007720E8" w:rsidP="007720E8">
                  <w:pPr>
                    <w:pStyle w:val="TableBodyText"/>
                    <w:ind w:right="28"/>
                  </w:pPr>
                  <w:r w:rsidRPr="00172CB3">
                    <w:t>100</w:t>
                  </w:r>
                </w:p>
              </w:tc>
            </w:tr>
          </w:tbl>
          <w:p w14:paraId="580ADC48" w14:textId="77777777" w:rsidR="007720E8" w:rsidRDefault="007720E8" w:rsidP="007720E8">
            <w:pPr>
              <w:pStyle w:val="Box"/>
            </w:pPr>
          </w:p>
        </w:tc>
      </w:tr>
      <w:tr w:rsidR="007720E8" w14:paraId="4C045CB8" w14:textId="77777777" w:rsidTr="007720E8">
        <w:tc>
          <w:tcPr>
            <w:tcW w:w="5000" w:type="pct"/>
            <w:tcBorders>
              <w:top w:val="nil"/>
              <w:left w:val="nil"/>
              <w:bottom w:val="nil"/>
              <w:right w:val="nil"/>
            </w:tcBorders>
            <w:shd w:val="clear" w:color="auto" w:fill="auto"/>
          </w:tcPr>
          <w:p w14:paraId="3FD0E595" w14:textId="77777777" w:rsidR="007720E8" w:rsidRPr="002078EC" w:rsidRDefault="007720E8" w:rsidP="007720E8">
            <w:pPr>
              <w:pStyle w:val="Source"/>
              <w:rPr>
                <w:spacing w:val="-2"/>
              </w:rPr>
            </w:pPr>
            <w:r w:rsidRPr="002078EC">
              <w:rPr>
                <w:i/>
                <w:spacing w:val="-2"/>
              </w:rPr>
              <w:t>Source</w:t>
            </w:r>
            <w:r w:rsidRPr="002078EC">
              <w:rPr>
                <w:spacing w:val="-2"/>
              </w:rPr>
              <w:t xml:space="preserve">: Commission estimates using ABS (2018, </w:t>
            </w:r>
            <w:r w:rsidRPr="002078EC">
              <w:rPr>
                <w:i/>
                <w:spacing w:val="-2"/>
              </w:rPr>
              <w:t>Estimates of Industry Multifactor Productivity, 2018-19</w:t>
            </w:r>
            <w:r w:rsidRPr="002078EC">
              <w:rPr>
                <w:spacing w:val="-2"/>
              </w:rPr>
              <w:t>, Cat. no. 5260.0.55.002, Tables 1–19) and unpublished ABS data.</w:t>
            </w:r>
          </w:p>
        </w:tc>
      </w:tr>
      <w:tr w:rsidR="007720E8" w14:paraId="0627CCE0" w14:textId="77777777" w:rsidTr="007720E8">
        <w:tc>
          <w:tcPr>
            <w:tcW w:w="5000" w:type="pct"/>
            <w:tcBorders>
              <w:top w:val="nil"/>
              <w:left w:val="nil"/>
              <w:bottom w:val="single" w:sz="6" w:space="0" w:color="78A22F"/>
              <w:right w:val="nil"/>
            </w:tcBorders>
            <w:shd w:val="clear" w:color="auto" w:fill="auto"/>
          </w:tcPr>
          <w:p w14:paraId="5E65E5A5" w14:textId="77777777" w:rsidR="007720E8" w:rsidRDefault="007720E8" w:rsidP="007720E8">
            <w:pPr>
              <w:pStyle w:val="Box"/>
              <w:spacing w:before="0" w:line="120" w:lineRule="exact"/>
            </w:pPr>
          </w:p>
        </w:tc>
      </w:tr>
      <w:tr w:rsidR="007720E8" w:rsidRPr="000863A5" w14:paraId="46426219" w14:textId="77777777" w:rsidTr="007720E8">
        <w:tc>
          <w:tcPr>
            <w:tcW w:w="5000" w:type="pct"/>
            <w:tcBorders>
              <w:top w:val="single" w:sz="6" w:space="0" w:color="78A22F"/>
              <w:left w:val="nil"/>
              <w:bottom w:val="nil"/>
              <w:right w:val="nil"/>
            </w:tcBorders>
          </w:tcPr>
          <w:p w14:paraId="3FEB705C" w14:textId="77777777" w:rsidR="007720E8" w:rsidRPr="00626D32" w:rsidRDefault="007720E8" w:rsidP="007720E8">
            <w:pPr>
              <w:pStyle w:val="BoxSpaceBelow"/>
            </w:pPr>
          </w:p>
        </w:tc>
      </w:tr>
    </w:tbl>
    <w:p w14:paraId="7BBA2967" w14:textId="77777777" w:rsidR="007720E8" w:rsidRDefault="007720E8" w:rsidP="007720E8">
      <w:pPr>
        <w:pStyle w:val="BodyText"/>
        <w:sectPr w:rsidR="007720E8" w:rsidSect="007720E8">
          <w:headerReference w:type="default" r:id="rId46"/>
          <w:footerReference w:type="default" r:id="rId47"/>
          <w:pgSz w:w="16840" w:h="11907" w:orient="landscape" w:code="9"/>
          <w:pgMar w:top="1814" w:right="1985" w:bottom="1304" w:left="1247" w:header="1701" w:footer="397" w:gutter="0"/>
          <w:pgNumType w:chapStyle="1" w:chapSep="period"/>
          <w:cols w:space="720"/>
          <w:docGrid w:linePitch="326"/>
        </w:sectPr>
      </w:pPr>
    </w:p>
    <w:p w14:paraId="2FD349D5" w14:textId="77777777" w:rsidR="007720E8" w:rsidRDefault="00AE4410" w:rsidP="007720E8">
      <w:pPr>
        <w:pStyle w:val="Heading2"/>
      </w:pPr>
      <w:r>
        <w:fldChar w:fldCharType="begin"/>
      </w:r>
      <w:r>
        <w:instrText xml:space="preserve"> COMMENTS  \* MERGEFORMAT </w:instrText>
      </w:r>
      <w:r>
        <w:fldChar w:fldCharType="separate"/>
      </w:r>
      <w:r w:rsidR="007720E8">
        <w:t>A.</w:t>
      </w:r>
      <w:r>
        <w:fldChar w:fldCharType="end"/>
      </w:r>
      <w:r w:rsidR="007720E8">
        <w:rPr>
          <w:noProof/>
        </w:rPr>
        <w:fldChar w:fldCharType="begin"/>
      </w:r>
      <w:r w:rsidR="007720E8">
        <w:rPr>
          <w:noProof/>
        </w:rPr>
        <w:instrText xml:space="preserve"> SEQ Heading2 </w:instrText>
      </w:r>
      <w:r w:rsidR="007720E8">
        <w:rPr>
          <w:noProof/>
        </w:rPr>
        <w:fldChar w:fldCharType="separate"/>
      </w:r>
      <w:r w:rsidR="005007F4">
        <w:rPr>
          <w:noProof/>
        </w:rPr>
        <w:t>2</w:t>
      </w:r>
      <w:r w:rsidR="007720E8">
        <w:rPr>
          <w:noProof/>
        </w:rPr>
        <w:fldChar w:fldCharType="end"/>
      </w:r>
      <w:r w:rsidR="007720E8">
        <w:tab/>
        <w:t>Decomposing the wage slowdown</w:t>
      </w:r>
    </w:p>
    <w:p w14:paraId="57C43C21" w14:textId="77777777" w:rsidR="007720E8" w:rsidRDefault="007720E8" w:rsidP="007720E8">
      <w:pPr>
        <w:pStyle w:val="BodyText"/>
      </w:pPr>
      <w:r>
        <w:t>This wage decomposition makes use of the following identity for consumer wages:</w:t>
      </w:r>
    </w:p>
    <w:p w14:paraId="1E43B055" w14:textId="77777777" w:rsidR="007720E8" w:rsidRDefault="007720E8" w:rsidP="007720E8">
      <w:pPr>
        <w:pStyle w:val="BodyText"/>
      </w:pPr>
      <m:oMathPara>
        <m:oMath>
          <m:r>
            <w:rPr>
              <w:rFonts w:ascii="Cambria Math" w:hAnsi="Cambria Math"/>
            </w:rPr>
            <m:t>w=LIS×</m:t>
          </m:r>
          <m:f>
            <m:fPr>
              <m:ctrlPr>
                <w:rPr>
                  <w:rFonts w:ascii="Cambria Math" w:hAnsi="Cambria Math"/>
                  <w:i/>
                </w:rPr>
              </m:ctrlPr>
            </m:fPr>
            <m:num>
              <m:sSub>
                <m:sSubPr>
                  <m:ctrlPr>
                    <w:rPr>
                      <w:rFonts w:ascii="Cambria Math" w:hAnsi="Cambria Math"/>
                      <w:i/>
                    </w:rPr>
                  </m:ctrlPr>
                </m:sSubPr>
                <m:e>
                  <m:r>
                    <w:rPr>
                      <w:rFonts w:ascii="Cambria Math" w:hAnsi="Cambria Math"/>
                    </w:rPr>
                    <m:t>TFI</m:t>
                  </m:r>
                </m:e>
                <m:sub>
                  <m:r>
                    <w:rPr>
                      <w:rFonts w:ascii="Cambria Math" w:hAnsi="Cambria Math"/>
                    </w:rPr>
                    <m:t>CW</m:t>
                  </m:r>
                </m:sub>
              </m:sSub>
            </m:num>
            <m:den>
              <m:r>
                <w:rPr>
                  <w:rFonts w:ascii="Cambria Math" w:hAnsi="Cambria Math"/>
                </w:rPr>
                <m:t>H</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GVA</m:t>
                  </m:r>
                </m:sub>
              </m:sSub>
            </m:num>
            <m:den>
              <m:sSub>
                <m:sSubPr>
                  <m:ctrlPr>
                    <w:rPr>
                      <w:rFonts w:ascii="Cambria Math" w:hAnsi="Cambria Math"/>
                      <w:i/>
                    </w:rPr>
                  </m:ctrlPr>
                </m:sSubPr>
                <m:e>
                  <m:r>
                    <w:rPr>
                      <w:rFonts w:ascii="Cambria Math" w:hAnsi="Cambria Math"/>
                    </w:rPr>
                    <m:t>P</m:t>
                  </m:r>
                </m:e>
                <m:sub>
                  <m:r>
                    <w:rPr>
                      <w:rFonts w:ascii="Cambria Math" w:hAnsi="Cambria Math"/>
                    </w:rPr>
                    <m:t>CPI</m:t>
                  </m:r>
                </m:sub>
              </m:sSub>
            </m:den>
          </m:f>
        </m:oMath>
      </m:oMathPara>
    </w:p>
    <w:p w14:paraId="25D06766" w14:textId="77777777" w:rsidR="007720E8" w:rsidRDefault="007720E8" w:rsidP="007720E8">
      <w:pPr>
        <w:pStyle w:val="BodyText"/>
      </w:pPr>
      <w:r>
        <w:t xml:space="preserve">Where: </w:t>
      </w:r>
      <m:oMath>
        <m:r>
          <w:rPr>
            <w:rFonts w:ascii="Cambria Math" w:hAnsi="Cambria Math"/>
          </w:rPr>
          <m:t>LIS</m:t>
        </m:r>
      </m:oMath>
      <w:r>
        <w:t xml:space="preserve"> is the labour income share, </w:t>
      </w:r>
      <m:oMath>
        <m:sSub>
          <m:sSubPr>
            <m:ctrlPr>
              <w:rPr>
                <w:rFonts w:ascii="Cambria Math" w:hAnsi="Cambria Math"/>
                <w:i/>
              </w:rPr>
            </m:ctrlPr>
          </m:sSubPr>
          <m:e>
            <m:r>
              <w:rPr>
                <w:rFonts w:ascii="Cambria Math" w:hAnsi="Cambria Math"/>
              </w:rPr>
              <m:t>TFI</m:t>
            </m:r>
          </m:e>
          <m:sub>
            <m:r>
              <w:rPr>
                <w:rFonts w:ascii="Cambria Math" w:hAnsi="Cambria Math"/>
              </w:rPr>
              <m:t>CW</m:t>
            </m:r>
          </m:sub>
        </m:sSub>
      </m:oMath>
      <w:r>
        <w:t xml:space="preserve"> is the total factor income (chain weighted volume measure), </w:t>
      </w:r>
      <m:oMath>
        <m:r>
          <w:rPr>
            <w:rFonts w:ascii="Cambria Math" w:hAnsi="Cambria Math"/>
          </w:rPr>
          <m:t>H</m:t>
        </m:r>
      </m:oMath>
      <w:r>
        <w:t xml:space="preserve"> is hours, </w:t>
      </w:r>
      <m:oMath>
        <m:sSub>
          <m:sSubPr>
            <m:ctrlPr>
              <w:rPr>
                <w:rFonts w:ascii="Cambria Math" w:hAnsi="Cambria Math"/>
                <w:i/>
              </w:rPr>
            </m:ctrlPr>
          </m:sSubPr>
          <m:e>
            <m:r>
              <w:rPr>
                <w:rFonts w:ascii="Cambria Math" w:hAnsi="Cambria Math"/>
              </w:rPr>
              <m:t>P</m:t>
            </m:r>
          </m:e>
          <m:sub>
            <m:r>
              <w:rPr>
                <w:rFonts w:ascii="Cambria Math" w:hAnsi="Cambria Math"/>
              </w:rPr>
              <m:t>CPI</m:t>
            </m:r>
          </m:sub>
        </m:sSub>
      </m:oMath>
      <w:r>
        <w:t xml:space="preserve"> is the price level for the CPI, </w:t>
      </w:r>
      <m:oMath>
        <m:sSub>
          <m:sSubPr>
            <m:ctrlPr>
              <w:rPr>
                <w:rFonts w:ascii="Cambria Math" w:hAnsi="Cambria Math"/>
                <w:i/>
              </w:rPr>
            </m:ctrlPr>
          </m:sSubPr>
          <m:e>
            <m:r>
              <w:rPr>
                <w:rFonts w:ascii="Cambria Math" w:hAnsi="Cambria Math"/>
              </w:rPr>
              <m:t>P</m:t>
            </m:r>
          </m:e>
          <m:sub>
            <m:r>
              <w:rPr>
                <w:rFonts w:ascii="Cambria Math" w:hAnsi="Cambria Math"/>
              </w:rPr>
              <m:t>GVA</m:t>
            </m:r>
          </m:sub>
        </m:sSub>
      </m:oMath>
      <w:r>
        <w:t xml:space="preserve"> is the price level for the implicit price deflator for market sector gross value added.</w:t>
      </w:r>
    </w:p>
    <w:p w14:paraId="471B8893" w14:textId="77777777" w:rsidR="007720E8" w:rsidRDefault="007720E8" w:rsidP="007720E8">
      <w:pPr>
        <w:pStyle w:val="BodyText"/>
      </w:pPr>
      <w:r>
        <w:t>Then the growth in wages should be:</w:t>
      </w:r>
    </w:p>
    <w:p w14:paraId="0653450D" w14:textId="77777777" w:rsidR="007720E8" w:rsidRDefault="00AE4410" w:rsidP="007720E8">
      <w:pPr>
        <w:pStyle w:val="BodyText"/>
      </w:pPr>
      <m:oMathPara>
        <m:oMath>
          <m:sSub>
            <m:sSubPr>
              <m:ctrlPr>
                <w:rPr>
                  <w:rFonts w:ascii="Cambria Math" w:hAnsi="Cambria Math"/>
                  <w:i/>
                </w:rPr>
              </m:ctrlPr>
            </m:sSubPr>
            <m:e>
              <m:r>
                <w:rPr>
                  <w:rFonts w:ascii="Cambria Math" w:hAnsi="Cambria Math"/>
                </w:rPr>
                <m:t>w</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LIS</m:t>
              </m:r>
            </m:e>
            <m:sub>
              <m:r>
                <w:rPr>
                  <w:rFonts w:ascii="Cambria Math" w:hAnsi="Cambria Math"/>
                </w:rPr>
                <m:t>g</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TFI</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g</m:t>
                  </m:r>
                </m:sub>
              </m:sSub>
            </m:e>
          </m:d>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GVA</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CPI</m:t>
              </m:r>
            </m:sub>
          </m:sSub>
          <m:r>
            <w:rPr>
              <w:rFonts w:ascii="Cambria Math" w:hAnsi="Cambria Math"/>
            </w:rPr>
            <m:t>)</m:t>
          </m:r>
        </m:oMath>
      </m:oMathPara>
    </w:p>
    <w:p w14:paraId="438CA870" w14:textId="77777777" w:rsidR="007720E8" w:rsidRDefault="007720E8" w:rsidP="007720E8">
      <w:pPr>
        <w:pStyle w:val="BodyText"/>
      </w:pPr>
      <w:r>
        <w:t>Where:</w:t>
      </w:r>
      <m:oMath>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GVA</m:t>
            </m:r>
          </m:sub>
        </m:sSub>
      </m:oMath>
      <w:r>
        <w:t xml:space="preserve"> is inflation in the implicit price deflator for market sector gross value added, </w:t>
      </w:r>
      <m:oMath>
        <m:sSub>
          <m:sSubPr>
            <m:ctrlPr>
              <w:rPr>
                <w:rFonts w:ascii="Cambria Math" w:hAnsi="Cambria Math"/>
                <w:i/>
              </w:rPr>
            </m:ctrlPr>
          </m:sSubPr>
          <m:e>
            <m:r>
              <w:rPr>
                <w:rFonts w:ascii="Cambria Math" w:hAnsi="Cambria Math"/>
              </w:rPr>
              <m:t>π</m:t>
            </m:r>
          </m:e>
          <m:sub>
            <m:r>
              <w:rPr>
                <w:rFonts w:ascii="Cambria Math" w:hAnsi="Cambria Math"/>
              </w:rPr>
              <m:t>CPI</m:t>
            </m:r>
          </m:sub>
        </m:sSub>
      </m:oMath>
      <w:r>
        <w:t xml:space="preserve"> is CPI inflation, and subscript </w:t>
      </w:r>
      <m:oMath>
        <m:r>
          <w:rPr>
            <w:rFonts w:ascii="Cambria Math" w:hAnsi="Cambria Math"/>
          </w:rPr>
          <m:t>g</m:t>
        </m:r>
      </m:oMath>
      <w:r>
        <w:t xml:space="preserve"> refers to the growth rates of a variable.</w:t>
      </w:r>
    </w:p>
    <w:p w14:paraId="0626AAAE" w14:textId="77777777" w:rsidR="007720E8" w:rsidRDefault="007720E8" w:rsidP="007720E8">
      <w:pPr>
        <w:pStyle w:val="BodyText"/>
      </w:pPr>
      <w:r>
        <w:t>It can be seen then that there are three contributors to consumer wage growth: growth in the labour share of income, growth in total factor income per hour, and producer price inflation (measured as the implicit market sector GVA deflator) outpacing consumer price inflation. The remaining task is then to replace total factor income per hour with some function of labour productivity. Starting with the definition of total factor income (nominal):</w:t>
      </w:r>
    </w:p>
    <w:p w14:paraId="146E8E76" w14:textId="09294270" w:rsidR="007720E8" w:rsidRDefault="007720E8" w:rsidP="007720E8">
      <w:pPr>
        <w:pStyle w:val="BodyText"/>
      </w:pPr>
      <m:oMathPara>
        <m:oMath>
          <m:r>
            <w:rPr>
              <w:rFonts w:ascii="Cambria Math" w:hAnsi="Cambria Math"/>
            </w:rPr>
            <m:t>Total factor income+Taxes-Subsidies=Gross value added</m:t>
          </m:r>
        </m:oMath>
      </m:oMathPara>
    </w:p>
    <w:p w14:paraId="705BEFA6" w14:textId="77777777" w:rsidR="007720E8" w:rsidRDefault="007720E8" w:rsidP="007720E8">
      <w:pPr>
        <w:pStyle w:val="BodyText"/>
      </w:pPr>
      <w:r>
        <w:t>Where the taxes and subsidies on factor income. In growth terms this becomes:</w:t>
      </w:r>
    </w:p>
    <w:p w14:paraId="1205A8A5" w14:textId="77777777" w:rsidR="007720E8" w:rsidRDefault="00AE4410" w:rsidP="007720E8">
      <w:pPr>
        <w:pStyle w:val="BodyText"/>
      </w:pPr>
      <m:oMathPara>
        <m:oMath>
          <m:sSub>
            <m:sSubPr>
              <m:ctrlPr>
                <w:rPr>
                  <w:rFonts w:ascii="Cambria Math" w:hAnsi="Cambria Math"/>
                  <w:i/>
                </w:rPr>
              </m:ctrlPr>
            </m:sSubPr>
            <m:e>
              <m:r>
                <w:rPr>
                  <w:rFonts w:ascii="Cambria Math" w:hAnsi="Cambria Math"/>
                </w:rPr>
                <m:t>TFI</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NT</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LP</m:t>
              </m:r>
            </m:e>
            <m:sub>
              <m:r>
                <w:rPr>
                  <w:rFonts w:ascii="Cambria Math" w:hAnsi="Cambria Math"/>
                </w:rPr>
                <m:t>g</m:t>
              </m:r>
            </m:sub>
          </m:sSub>
        </m:oMath>
      </m:oMathPara>
    </w:p>
    <w:p w14:paraId="7E2386CC" w14:textId="77777777" w:rsidR="007720E8" w:rsidRDefault="007720E8" w:rsidP="007720E8">
      <w:pPr>
        <w:pStyle w:val="BodyText"/>
      </w:pPr>
      <w:r>
        <w:t xml:space="preserve">Where: </w:t>
      </w:r>
      <m:oMath>
        <m:sSub>
          <m:sSubPr>
            <m:ctrlPr>
              <w:rPr>
                <w:rFonts w:ascii="Cambria Math" w:hAnsi="Cambria Math"/>
                <w:i/>
              </w:rPr>
            </m:ctrlPr>
          </m:sSubPr>
          <m:e>
            <m:r>
              <w:rPr>
                <w:rFonts w:ascii="Cambria Math" w:hAnsi="Cambria Math"/>
              </w:rPr>
              <m:t>NT</m:t>
            </m:r>
          </m:e>
          <m:sub>
            <m:r>
              <w:rPr>
                <w:rFonts w:ascii="Cambria Math" w:hAnsi="Cambria Math"/>
              </w:rPr>
              <m:t>g</m:t>
            </m:r>
          </m:sub>
        </m:sSub>
      </m:oMath>
      <w:r>
        <w:t xml:space="preserve"> is the growth in net taxes on the factors of production. It is calculated as the difference in labour productivity growth and growth in real total factor income per hour.</w:t>
      </w:r>
    </w:p>
    <w:p w14:paraId="33F73D8A" w14:textId="77777777" w:rsidR="007720E8" w:rsidRDefault="007720E8" w:rsidP="007720E8">
      <w:pPr>
        <w:pStyle w:val="BodyText"/>
      </w:pPr>
      <w:r>
        <w:t>Putting these together we have:</w:t>
      </w:r>
    </w:p>
    <w:p w14:paraId="2F00B3AC" w14:textId="77777777" w:rsidR="007720E8" w:rsidRDefault="00AE4410" w:rsidP="007720E8">
      <w:pPr>
        <w:pStyle w:val="BodyText"/>
      </w:pPr>
      <m:oMathPara>
        <m:oMath>
          <m:sSub>
            <m:sSubPr>
              <m:ctrlPr>
                <w:rPr>
                  <w:rFonts w:ascii="Cambria Math" w:hAnsi="Cambria Math"/>
                  <w:i/>
                </w:rPr>
              </m:ctrlPr>
            </m:sSubPr>
            <m:e>
              <m:r>
                <w:rPr>
                  <w:rFonts w:ascii="Cambria Math" w:hAnsi="Cambria Math"/>
                </w:rPr>
                <m:t>w</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LIS</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LP</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NT</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GVA</m:t>
              </m:r>
            </m:sub>
          </m:sSub>
          <m:r>
            <w:rPr>
              <w:rFonts w:ascii="Cambria Math" w:hAnsi="Cambria Math"/>
            </w:rPr>
            <m:t xml:space="preserve">- </m:t>
          </m:r>
          <m:sSub>
            <m:sSubPr>
              <m:ctrlPr>
                <w:rPr>
                  <w:rFonts w:ascii="Cambria Math" w:hAnsi="Cambria Math"/>
                  <w:i/>
                </w:rPr>
              </m:ctrlPr>
            </m:sSubPr>
            <m:e>
              <m:r>
                <w:rPr>
                  <w:rFonts w:ascii="Cambria Math" w:hAnsi="Cambria Math"/>
                </w:rPr>
                <m:t>π</m:t>
              </m:r>
            </m:e>
            <m:sub>
              <m:r>
                <w:rPr>
                  <w:rFonts w:ascii="Cambria Math" w:hAnsi="Cambria Math"/>
                </w:rPr>
                <m:t>CPI</m:t>
              </m:r>
            </m:sub>
          </m:sSub>
          <m:r>
            <w:rPr>
              <w:rFonts w:ascii="Cambria Math" w:hAnsi="Cambria Math"/>
            </w:rPr>
            <m:t>)</m:t>
          </m:r>
        </m:oMath>
      </m:oMathPara>
    </w:p>
    <w:p w14:paraId="48F98D79" w14:textId="77777777" w:rsidR="007720E8" w:rsidRDefault="007720E8" w:rsidP="007720E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720E8" w14:paraId="4B697FC3" w14:textId="77777777" w:rsidTr="007720E8">
        <w:trPr>
          <w:tblHeader/>
        </w:trPr>
        <w:tc>
          <w:tcPr>
            <w:tcW w:w="5000" w:type="pct"/>
            <w:tcBorders>
              <w:top w:val="single" w:sz="6" w:space="0" w:color="78A22F"/>
              <w:left w:val="nil"/>
              <w:bottom w:val="nil"/>
              <w:right w:val="nil"/>
            </w:tcBorders>
            <w:shd w:val="clear" w:color="auto" w:fill="auto"/>
          </w:tcPr>
          <w:p w14:paraId="28B53971" w14:textId="77777777" w:rsidR="007720E8" w:rsidRPr="00784A05" w:rsidRDefault="007720E8" w:rsidP="007720E8">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Pr>
                <w:b w:val="0"/>
              </w:rPr>
              <w:t>A.</w:t>
            </w:r>
            <w:r>
              <w:rPr>
                <w:b w:val="0"/>
              </w:rPr>
              <w:fldChar w:fldCharType="end"/>
            </w:r>
            <w:r>
              <w:rPr>
                <w:b w:val="0"/>
              </w:rPr>
              <w:fldChar w:fldCharType="begin"/>
            </w:r>
            <w:r>
              <w:rPr>
                <w:b w:val="0"/>
              </w:rPr>
              <w:instrText xml:space="preserve"> SEQ Table \* ARABIC </w:instrText>
            </w:r>
            <w:r>
              <w:rPr>
                <w:b w:val="0"/>
              </w:rPr>
              <w:fldChar w:fldCharType="separate"/>
            </w:r>
            <w:r w:rsidR="005007F4">
              <w:rPr>
                <w:b w:val="0"/>
                <w:noProof/>
              </w:rPr>
              <w:t>2</w:t>
            </w:r>
            <w:r>
              <w:rPr>
                <w:b w:val="0"/>
              </w:rPr>
              <w:fldChar w:fldCharType="end"/>
            </w:r>
            <w:r>
              <w:tab/>
              <w:t>Contributors to the wage slowdown</w:t>
            </w:r>
          </w:p>
        </w:tc>
      </w:tr>
      <w:tr w:rsidR="007720E8" w14:paraId="433B1D6C" w14:textId="77777777" w:rsidTr="007720E8">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36"/>
              <w:gridCol w:w="1323"/>
              <w:gridCol w:w="1323"/>
              <w:gridCol w:w="1325"/>
              <w:gridCol w:w="1698"/>
            </w:tblGrid>
            <w:tr w:rsidR="007720E8" w14:paraId="5BE4575F" w14:textId="77777777" w:rsidTr="007720E8">
              <w:trPr>
                <w:tblHeader/>
              </w:trPr>
              <w:tc>
                <w:tcPr>
                  <w:tcW w:w="1667" w:type="pct"/>
                  <w:tcBorders>
                    <w:top w:val="single" w:sz="6" w:space="0" w:color="BFBFBF"/>
                  </w:tcBorders>
                  <w:shd w:val="clear" w:color="auto" w:fill="auto"/>
                  <w:tcMar>
                    <w:top w:w="28" w:type="dxa"/>
                  </w:tcMar>
                </w:tcPr>
                <w:p w14:paraId="29574245" w14:textId="77777777" w:rsidR="007720E8" w:rsidRDefault="007720E8" w:rsidP="007720E8">
                  <w:pPr>
                    <w:pStyle w:val="TableColumnHeading"/>
                    <w:jc w:val="left"/>
                  </w:pPr>
                  <w:r>
                    <w:t>Contributions from:</w:t>
                  </w:r>
                </w:p>
              </w:tc>
              <w:tc>
                <w:tcPr>
                  <w:tcW w:w="778" w:type="pct"/>
                  <w:tcBorders>
                    <w:top w:val="single" w:sz="6" w:space="0" w:color="BFBFBF"/>
                  </w:tcBorders>
                </w:tcPr>
                <w:p w14:paraId="13961029" w14:textId="77777777" w:rsidR="007720E8" w:rsidRDefault="007720E8" w:rsidP="007720E8">
                  <w:pPr>
                    <w:pStyle w:val="TableColumnHeading"/>
                  </w:pPr>
                  <w:r>
                    <w:t xml:space="preserve">1994-95 to </w:t>
                  </w:r>
                  <w:r>
                    <w:br/>
                    <w:t>2012-13</w:t>
                  </w:r>
                </w:p>
              </w:tc>
              <w:tc>
                <w:tcPr>
                  <w:tcW w:w="778" w:type="pct"/>
                  <w:tcBorders>
                    <w:top w:val="single" w:sz="6" w:space="0" w:color="BFBFBF"/>
                  </w:tcBorders>
                </w:tcPr>
                <w:p w14:paraId="7EF6A61E" w14:textId="77777777" w:rsidR="007720E8" w:rsidRDefault="007720E8" w:rsidP="007720E8">
                  <w:pPr>
                    <w:pStyle w:val="TableColumnHeading"/>
                  </w:pPr>
                  <w:r>
                    <w:t xml:space="preserve">2012-13 to </w:t>
                  </w:r>
                  <w:r>
                    <w:br/>
                    <w:t>2018-19</w:t>
                  </w:r>
                </w:p>
              </w:tc>
              <w:tc>
                <w:tcPr>
                  <w:tcW w:w="778" w:type="pct"/>
                  <w:tcBorders>
                    <w:top w:val="single" w:sz="6" w:space="0" w:color="BFBFBF"/>
                  </w:tcBorders>
                  <w:shd w:val="clear" w:color="auto" w:fill="auto"/>
                  <w:tcMar>
                    <w:top w:w="28" w:type="dxa"/>
                  </w:tcMar>
                </w:tcPr>
                <w:p w14:paraId="574FDA10" w14:textId="77777777" w:rsidR="007720E8" w:rsidRDefault="007720E8" w:rsidP="007720E8">
                  <w:pPr>
                    <w:pStyle w:val="TableColumnHeading"/>
                  </w:pPr>
                  <w:r>
                    <w:t>Difference</w:t>
                  </w:r>
                </w:p>
              </w:tc>
              <w:tc>
                <w:tcPr>
                  <w:tcW w:w="998" w:type="pct"/>
                  <w:tcBorders>
                    <w:top w:val="single" w:sz="6" w:space="0" w:color="BFBFBF"/>
                  </w:tcBorders>
                  <w:shd w:val="clear" w:color="auto" w:fill="auto"/>
                  <w:tcMar>
                    <w:top w:w="28" w:type="dxa"/>
                  </w:tcMar>
                </w:tcPr>
                <w:p w14:paraId="2D6D79BF" w14:textId="77777777" w:rsidR="007720E8" w:rsidRDefault="007720E8" w:rsidP="007720E8">
                  <w:pPr>
                    <w:pStyle w:val="TableColumnHeading"/>
                    <w:ind w:right="28"/>
                  </w:pPr>
                  <w:r>
                    <w:t>Proportion of difference</w:t>
                  </w:r>
                </w:p>
              </w:tc>
            </w:tr>
            <w:tr w:rsidR="007720E8" w14:paraId="7CCB0A81" w14:textId="77777777" w:rsidTr="007720E8">
              <w:tc>
                <w:tcPr>
                  <w:tcW w:w="1667" w:type="pct"/>
                  <w:tcBorders>
                    <w:bottom w:val="single" w:sz="6" w:space="0" w:color="BFBFBF"/>
                  </w:tcBorders>
                </w:tcPr>
                <w:p w14:paraId="61F8C02F" w14:textId="77777777" w:rsidR="007720E8" w:rsidRDefault="007720E8" w:rsidP="007720E8">
                  <w:pPr>
                    <w:pStyle w:val="TableUnitsRow"/>
                    <w:jc w:val="left"/>
                  </w:pPr>
                </w:p>
              </w:tc>
              <w:tc>
                <w:tcPr>
                  <w:tcW w:w="2335" w:type="pct"/>
                  <w:gridSpan w:val="3"/>
                  <w:tcBorders>
                    <w:bottom w:val="single" w:sz="6" w:space="0" w:color="BFBFBF"/>
                  </w:tcBorders>
                </w:tcPr>
                <w:p w14:paraId="1EF1C1C3" w14:textId="77777777" w:rsidR="007720E8" w:rsidRDefault="007720E8" w:rsidP="007720E8">
                  <w:pPr>
                    <w:pStyle w:val="TableUnitsRow"/>
                    <w:ind w:left="567"/>
                    <w:jc w:val="center"/>
                  </w:pPr>
                  <w:r>
                    <w:t>Percentage point</w:t>
                  </w:r>
                </w:p>
              </w:tc>
              <w:tc>
                <w:tcPr>
                  <w:tcW w:w="998" w:type="pct"/>
                  <w:tcBorders>
                    <w:bottom w:val="single" w:sz="6" w:space="0" w:color="BFBFBF"/>
                  </w:tcBorders>
                </w:tcPr>
                <w:p w14:paraId="3BA324E4" w14:textId="77777777" w:rsidR="007720E8" w:rsidRDefault="007720E8" w:rsidP="007720E8">
                  <w:pPr>
                    <w:pStyle w:val="TableUnitsRow"/>
                    <w:ind w:right="28"/>
                  </w:pPr>
                  <w:r>
                    <w:t>Per cent</w:t>
                  </w:r>
                </w:p>
              </w:tc>
            </w:tr>
            <w:tr w:rsidR="007720E8" w14:paraId="1CD95B20" w14:textId="77777777" w:rsidTr="007720E8">
              <w:tc>
                <w:tcPr>
                  <w:tcW w:w="1667" w:type="pct"/>
                  <w:tcBorders>
                    <w:top w:val="single" w:sz="6" w:space="0" w:color="BFBFBF"/>
                  </w:tcBorders>
                </w:tcPr>
                <w:p w14:paraId="145EE23D" w14:textId="77777777" w:rsidR="007720E8" w:rsidRPr="00E266C7" w:rsidRDefault="007720E8" w:rsidP="007720E8">
                  <w:pPr>
                    <w:pStyle w:val="TableBodyText"/>
                    <w:spacing w:before="40"/>
                    <w:jc w:val="left"/>
                  </w:pPr>
                  <w:r>
                    <w:t>Slower labour productivity growth</w:t>
                  </w:r>
                </w:p>
              </w:tc>
              <w:tc>
                <w:tcPr>
                  <w:tcW w:w="778" w:type="pct"/>
                  <w:tcBorders>
                    <w:top w:val="single" w:sz="6" w:space="0" w:color="BFBFBF"/>
                  </w:tcBorders>
                </w:tcPr>
                <w:p w14:paraId="1719FCE1" w14:textId="77777777" w:rsidR="007720E8" w:rsidRPr="00D371C0" w:rsidRDefault="007720E8" w:rsidP="007720E8">
                  <w:pPr>
                    <w:pStyle w:val="TableBodyText"/>
                    <w:spacing w:before="40"/>
                  </w:pPr>
                  <w:r w:rsidRPr="00D371C0">
                    <w:t>2.19</w:t>
                  </w:r>
                </w:p>
              </w:tc>
              <w:tc>
                <w:tcPr>
                  <w:tcW w:w="778" w:type="pct"/>
                  <w:tcBorders>
                    <w:top w:val="single" w:sz="6" w:space="0" w:color="BFBFBF"/>
                  </w:tcBorders>
                </w:tcPr>
                <w:p w14:paraId="5B06F87D" w14:textId="77777777" w:rsidR="007720E8" w:rsidRPr="00D371C0" w:rsidRDefault="007720E8" w:rsidP="007720E8">
                  <w:pPr>
                    <w:pStyle w:val="TableBodyText"/>
                    <w:spacing w:before="40"/>
                  </w:pPr>
                  <w:r w:rsidRPr="00D371C0">
                    <w:t>1.32</w:t>
                  </w:r>
                </w:p>
              </w:tc>
              <w:tc>
                <w:tcPr>
                  <w:tcW w:w="778" w:type="pct"/>
                  <w:tcBorders>
                    <w:top w:val="single" w:sz="6" w:space="0" w:color="BFBFBF"/>
                  </w:tcBorders>
                </w:tcPr>
                <w:p w14:paraId="3577A874" w14:textId="77777777" w:rsidR="007720E8" w:rsidRPr="00D371C0" w:rsidRDefault="007720E8" w:rsidP="007720E8">
                  <w:pPr>
                    <w:pStyle w:val="TableBodyText"/>
                    <w:spacing w:before="40"/>
                  </w:pPr>
                  <w:r w:rsidRPr="00D371C0">
                    <w:t>-0.87</w:t>
                  </w:r>
                </w:p>
              </w:tc>
              <w:tc>
                <w:tcPr>
                  <w:tcW w:w="998" w:type="pct"/>
                  <w:tcBorders>
                    <w:top w:val="single" w:sz="6" w:space="0" w:color="BFBFBF"/>
                  </w:tcBorders>
                </w:tcPr>
                <w:p w14:paraId="4A864A33" w14:textId="77777777" w:rsidR="007720E8" w:rsidRDefault="007720E8" w:rsidP="007720E8">
                  <w:pPr>
                    <w:pStyle w:val="TableBodyText"/>
                    <w:spacing w:before="40"/>
                    <w:ind w:right="28"/>
                  </w:pPr>
                  <w:r>
                    <w:t>52</w:t>
                  </w:r>
                </w:p>
              </w:tc>
            </w:tr>
            <w:tr w:rsidR="007720E8" w14:paraId="6C83469C" w14:textId="77777777" w:rsidTr="007720E8">
              <w:tc>
                <w:tcPr>
                  <w:tcW w:w="1667" w:type="pct"/>
                </w:tcPr>
                <w:p w14:paraId="598990DF" w14:textId="77777777" w:rsidR="007720E8" w:rsidRPr="00E266C7" w:rsidRDefault="007720E8" w:rsidP="007720E8">
                  <w:pPr>
                    <w:pStyle w:val="TableBodyText"/>
                    <w:jc w:val="left"/>
                  </w:pPr>
                  <w:r w:rsidRPr="00E266C7">
                    <w:t>Relative inflation</w:t>
                  </w:r>
                </w:p>
              </w:tc>
              <w:tc>
                <w:tcPr>
                  <w:tcW w:w="778" w:type="pct"/>
                </w:tcPr>
                <w:p w14:paraId="0D87A856" w14:textId="77777777" w:rsidR="007720E8" w:rsidRPr="002F05B4" w:rsidRDefault="007720E8" w:rsidP="007720E8">
                  <w:pPr>
                    <w:pStyle w:val="TableBodyText"/>
                  </w:pPr>
                  <w:r w:rsidRPr="002F05B4">
                    <w:t>0.32</w:t>
                  </w:r>
                </w:p>
              </w:tc>
              <w:tc>
                <w:tcPr>
                  <w:tcW w:w="778" w:type="pct"/>
                </w:tcPr>
                <w:p w14:paraId="28519F3F" w14:textId="77777777" w:rsidR="007720E8" w:rsidRPr="002F05B4" w:rsidRDefault="007720E8" w:rsidP="007720E8">
                  <w:pPr>
                    <w:pStyle w:val="TableBodyText"/>
                  </w:pPr>
                  <w:r w:rsidRPr="002F05B4">
                    <w:t>-0.22</w:t>
                  </w:r>
                </w:p>
              </w:tc>
              <w:tc>
                <w:tcPr>
                  <w:tcW w:w="778" w:type="pct"/>
                </w:tcPr>
                <w:p w14:paraId="5E56E99C" w14:textId="77777777" w:rsidR="007720E8" w:rsidRPr="002F05B4" w:rsidRDefault="007720E8" w:rsidP="007720E8">
                  <w:pPr>
                    <w:pStyle w:val="TableBodyText"/>
                  </w:pPr>
                  <w:r w:rsidRPr="002F05B4">
                    <w:t>-0.54</w:t>
                  </w:r>
                </w:p>
              </w:tc>
              <w:tc>
                <w:tcPr>
                  <w:tcW w:w="998" w:type="pct"/>
                </w:tcPr>
                <w:p w14:paraId="474CE894" w14:textId="77777777" w:rsidR="007720E8" w:rsidRPr="002F05B4" w:rsidRDefault="007720E8" w:rsidP="007720E8">
                  <w:pPr>
                    <w:pStyle w:val="TableBodyText"/>
                    <w:ind w:right="28"/>
                  </w:pPr>
                  <w:r>
                    <w:t>32</w:t>
                  </w:r>
                </w:p>
              </w:tc>
            </w:tr>
            <w:tr w:rsidR="007720E8" w14:paraId="6ED35704" w14:textId="77777777" w:rsidTr="007720E8">
              <w:tc>
                <w:tcPr>
                  <w:tcW w:w="1667" w:type="pct"/>
                </w:tcPr>
                <w:p w14:paraId="0338CE81" w14:textId="77777777" w:rsidR="007720E8" w:rsidRPr="00E266C7" w:rsidRDefault="007720E8" w:rsidP="007720E8">
                  <w:pPr>
                    <w:pStyle w:val="TableBodyText"/>
                    <w:jc w:val="left"/>
                  </w:pPr>
                  <w:r w:rsidRPr="00E266C7">
                    <w:t>Labour income share change</w:t>
                  </w:r>
                </w:p>
              </w:tc>
              <w:tc>
                <w:tcPr>
                  <w:tcW w:w="778" w:type="pct"/>
                </w:tcPr>
                <w:p w14:paraId="3556D9D8" w14:textId="77777777" w:rsidR="007720E8" w:rsidRPr="002F05B4" w:rsidRDefault="007720E8" w:rsidP="007720E8">
                  <w:pPr>
                    <w:pStyle w:val="TableBodyText"/>
                  </w:pPr>
                  <w:r w:rsidRPr="002F05B4">
                    <w:t>-0.21</w:t>
                  </w:r>
                </w:p>
              </w:tc>
              <w:tc>
                <w:tcPr>
                  <w:tcW w:w="778" w:type="pct"/>
                </w:tcPr>
                <w:p w14:paraId="5FF0090A" w14:textId="77777777" w:rsidR="007720E8" w:rsidRPr="002F05B4" w:rsidRDefault="007720E8" w:rsidP="007720E8">
                  <w:pPr>
                    <w:pStyle w:val="TableBodyText"/>
                  </w:pPr>
                  <w:r w:rsidRPr="002F05B4">
                    <w:t>-0.54</w:t>
                  </w:r>
                </w:p>
              </w:tc>
              <w:tc>
                <w:tcPr>
                  <w:tcW w:w="778" w:type="pct"/>
                </w:tcPr>
                <w:p w14:paraId="16979FC0" w14:textId="77777777" w:rsidR="007720E8" w:rsidRPr="002F05B4" w:rsidRDefault="007720E8" w:rsidP="007720E8">
                  <w:pPr>
                    <w:pStyle w:val="TableBodyText"/>
                  </w:pPr>
                  <w:r w:rsidRPr="002F05B4">
                    <w:t>-0.32</w:t>
                  </w:r>
                </w:p>
              </w:tc>
              <w:tc>
                <w:tcPr>
                  <w:tcW w:w="998" w:type="pct"/>
                </w:tcPr>
                <w:p w14:paraId="51D8376E" w14:textId="77777777" w:rsidR="007720E8" w:rsidRPr="002F05B4" w:rsidRDefault="007720E8" w:rsidP="007720E8">
                  <w:pPr>
                    <w:pStyle w:val="TableBodyText"/>
                    <w:ind w:right="28"/>
                  </w:pPr>
                  <w:r>
                    <w:t>19</w:t>
                  </w:r>
                </w:p>
              </w:tc>
            </w:tr>
            <w:tr w:rsidR="007720E8" w14:paraId="74F8A09A" w14:textId="77777777" w:rsidTr="007720E8">
              <w:tc>
                <w:tcPr>
                  <w:tcW w:w="1667" w:type="pct"/>
                  <w:shd w:val="clear" w:color="auto" w:fill="auto"/>
                </w:tcPr>
                <w:p w14:paraId="3CBE2F69" w14:textId="77777777" w:rsidR="007720E8" w:rsidRPr="00E266C7" w:rsidRDefault="007720E8" w:rsidP="007720E8">
                  <w:pPr>
                    <w:pStyle w:val="TableBodyText"/>
                    <w:jc w:val="left"/>
                  </w:pPr>
                  <w:r w:rsidRPr="00E266C7">
                    <w:t>Net taxes</w:t>
                  </w:r>
                </w:p>
              </w:tc>
              <w:tc>
                <w:tcPr>
                  <w:tcW w:w="778" w:type="pct"/>
                </w:tcPr>
                <w:p w14:paraId="672DABD4" w14:textId="77777777" w:rsidR="007720E8" w:rsidRPr="002F05B4" w:rsidRDefault="007720E8" w:rsidP="007720E8">
                  <w:pPr>
                    <w:pStyle w:val="TableBodyText"/>
                  </w:pPr>
                  <w:r w:rsidRPr="002F05B4">
                    <w:t>-0.13</w:t>
                  </w:r>
                </w:p>
              </w:tc>
              <w:tc>
                <w:tcPr>
                  <w:tcW w:w="778" w:type="pct"/>
                </w:tcPr>
                <w:p w14:paraId="5E25D84E" w14:textId="77777777" w:rsidR="007720E8" w:rsidRPr="002F05B4" w:rsidRDefault="007720E8" w:rsidP="007720E8">
                  <w:pPr>
                    <w:pStyle w:val="TableBodyText"/>
                  </w:pPr>
                  <w:r w:rsidRPr="002F05B4">
                    <w:t>-0.08</w:t>
                  </w:r>
                </w:p>
              </w:tc>
              <w:tc>
                <w:tcPr>
                  <w:tcW w:w="778" w:type="pct"/>
                  <w:shd w:val="clear" w:color="auto" w:fill="auto"/>
                </w:tcPr>
                <w:p w14:paraId="6CE7FE93" w14:textId="77777777" w:rsidR="007720E8" w:rsidRPr="002F05B4" w:rsidRDefault="007720E8" w:rsidP="007720E8">
                  <w:pPr>
                    <w:pStyle w:val="TableBodyText"/>
                  </w:pPr>
                  <w:r w:rsidRPr="002F05B4">
                    <w:t>0.05</w:t>
                  </w:r>
                </w:p>
              </w:tc>
              <w:tc>
                <w:tcPr>
                  <w:tcW w:w="998" w:type="pct"/>
                  <w:shd w:val="clear" w:color="auto" w:fill="auto"/>
                </w:tcPr>
                <w:p w14:paraId="1B1E503B" w14:textId="77777777" w:rsidR="007720E8" w:rsidRPr="002F05B4" w:rsidRDefault="007720E8" w:rsidP="007720E8">
                  <w:pPr>
                    <w:pStyle w:val="TableBodyText"/>
                    <w:ind w:right="28"/>
                  </w:pPr>
                  <w:r w:rsidRPr="002F05B4">
                    <w:t>-3</w:t>
                  </w:r>
                </w:p>
              </w:tc>
            </w:tr>
            <w:tr w:rsidR="007720E8" w14:paraId="73AC017F" w14:textId="77777777" w:rsidTr="007720E8">
              <w:tc>
                <w:tcPr>
                  <w:tcW w:w="1667" w:type="pct"/>
                  <w:tcBorders>
                    <w:bottom w:val="single" w:sz="6" w:space="0" w:color="BFBFBF"/>
                  </w:tcBorders>
                  <w:shd w:val="clear" w:color="auto" w:fill="auto"/>
                </w:tcPr>
                <w:p w14:paraId="0136247E" w14:textId="77777777" w:rsidR="007720E8" w:rsidRPr="00901149" w:rsidRDefault="007720E8" w:rsidP="007720E8">
                  <w:pPr>
                    <w:pStyle w:val="TableBodyText"/>
                    <w:spacing w:before="40"/>
                    <w:jc w:val="left"/>
                    <w:rPr>
                      <w:b/>
                    </w:rPr>
                  </w:pPr>
                  <w:r w:rsidRPr="00901149">
                    <w:rPr>
                      <w:b/>
                    </w:rPr>
                    <w:t>Total</w:t>
                  </w:r>
                </w:p>
              </w:tc>
              <w:tc>
                <w:tcPr>
                  <w:tcW w:w="778" w:type="pct"/>
                  <w:tcBorders>
                    <w:bottom w:val="single" w:sz="6" w:space="0" w:color="BFBFBF"/>
                  </w:tcBorders>
                </w:tcPr>
                <w:p w14:paraId="1522A2A9" w14:textId="77777777" w:rsidR="007720E8" w:rsidRPr="00901149" w:rsidRDefault="007720E8" w:rsidP="007720E8">
                  <w:pPr>
                    <w:pStyle w:val="TableBodyText"/>
                    <w:spacing w:before="40"/>
                    <w:rPr>
                      <w:b/>
                    </w:rPr>
                  </w:pPr>
                  <w:r w:rsidRPr="00901149">
                    <w:rPr>
                      <w:b/>
                    </w:rPr>
                    <w:t>2.17</w:t>
                  </w:r>
                </w:p>
              </w:tc>
              <w:tc>
                <w:tcPr>
                  <w:tcW w:w="778" w:type="pct"/>
                  <w:tcBorders>
                    <w:bottom w:val="single" w:sz="6" w:space="0" w:color="BFBFBF"/>
                  </w:tcBorders>
                </w:tcPr>
                <w:p w14:paraId="6CC6D94D" w14:textId="77777777" w:rsidR="007720E8" w:rsidRPr="00901149" w:rsidRDefault="007720E8" w:rsidP="007720E8">
                  <w:pPr>
                    <w:pStyle w:val="TableBodyText"/>
                    <w:spacing w:before="40"/>
                    <w:rPr>
                      <w:b/>
                    </w:rPr>
                  </w:pPr>
                  <w:r w:rsidRPr="00901149">
                    <w:rPr>
                      <w:b/>
                    </w:rPr>
                    <w:t>0.49</w:t>
                  </w:r>
                </w:p>
              </w:tc>
              <w:tc>
                <w:tcPr>
                  <w:tcW w:w="778" w:type="pct"/>
                  <w:tcBorders>
                    <w:bottom w:val="single" w:sz="6" w:space="0" w:color="BFBFBF"/>
                  </w:tcBorders>
                  <w:shd w:val="clear" w:color="auto" w:fill="auto"/>
                </w:tcPr>
                <w:p w14:paraId="238B5540" w14:textId="77777777" w:rsidR="007720E8" w:rsidRPr="00901149" w:rsidRDefault="007720E8" w:rsidP="007720E8">
                  <w:pPr>
                    <w:pStyle w:val="TableBodyText"/>
                    <w:spacing w:before="40"/>
                    <w:rPr>
                      <w:b/>
                    </w:rPr>
                  </w:pPr>
                  <w:r w:rsidRPr="00901149">
                    <w:rPr>
                      <w:b/>
                    </w:rPr>
                    <w:t>-1.68</w:t>
                  </w:r>
                </w:p>
              </w:tc>
              <w:tc>
                <w:tcPr>
                  <w:tcW w:w="998" w:type="pct"/>
                  <w:tcBorders>
                    <w:bottom w:val="single" w:sz="6" w:space="0" w:color="BFBFBF"/>
                  </w:tcBorders>
                  <w:shd w:val="clear" w:color="auto" w:fill="auto"/>
                </w:tcPr>
                <w:p w14:paraId="33523445" w14:textId="77777777" w:rsidR="007720E8" w:rsidRPr="00901149" w:rsidRDefault="007720E8" w:rsidP="007720E8">
                  <w:pPr>
                    <w:pStyle w:val="TableBodyText"/>
                    <w:spacing w:before="40"/>
                    <w:ind w:right="28"/>
                    <w:rPr>
                      <w:b/>
                    </w:rPr>
                  </w:pPr>
                </w:p>
              </w:tc>
            </w:tr>
          </w:tbl>
          <w:p w14:paraId="28C25B73" w14:textId="77777777" w:rsidR="007720E8" w:rsidRDefault="007720E8" w:rsidP="007720E8">
            <w:pPr>
              <w:pStyle w:val="Box"/>
            </w:pPr>
          </w:p>
        </w:tc>
      </w:tr>
      <w:tr w:rsidR="007720E8" w14:paraId="56C73D6C" w14:textId="77777777" w:rsidTr="007720E8">
        <w:tc>
          <w:tcPr>
            <w:tcW w:w="5000" w:type="pct"/>
            <w:tcBorders>
              <w:top w:val="nil"/>
              <w:left w:val="nil"/>
              <w:bottom w:val="nil"/>
              <w:right w:val="nil"/>
            </w:tcBorders>
            <w:shd w:val="clear" w:color="auto" w:fill="auto"/>
          </w:tcPr>
          <w:p w14:paraId="4DE49F7C" w14:textId="77777777" w:rsidR="007720E8" w:rsidRDefault="007720E8" w:rsidP="007720E8">
            <w:pPr>
              <w:pStyle w:val="Source"/>
            </w:pPr>
            <w:r>
              <w:rPr>
                <w:i/>
              </w:rPr>
              <w:t>Source</w:t>
            </w:r>
            <w:r w:rsidRPr="00167F06">
              <w:t xml:space="preserve">: </w:t>
            </w:r>
            <w:r>
              <w:t>Commission estimates based on ABS (2019,</w:t>
            </w:r>
            <w:r w:rsidRPr="003C1D8F">
              <w:t xml:space="preserve"> </w:t>
            </w:r>
            <w:r w:rsidRPr="003C1D8F">
              <w:rPr>
                <w:i/>
              </w:rPr>
              <w:t>Australian System of National Accounts, 2018 19</w:t>
            </w:r>
            <w:r>
              <w:t>, Cat. no. </w:t>
            </w:r>
            <w:r w:rsidRPr="003C1D8F">
              <w:t>5204.0, table</w:t>
            </w:r>
            <w:r>
              <w:t xml:space="preserve">s 1 and 5; 2019, </w:t>
            </w:r>
            <w:r w:rsidRPr="00D93D05">
              <w:rPr>
                <w:i/>
              </w:rPr>
              <w:t>Estimates of Industry Multifactor Productivity, 2018 19</w:t>
            </w:r>
            <w:r>
              <w:t>, Cat. no. 5260.0.55.002, tables 1–</w:t>
            </w:r>
            <w:r w:rsidRPr="00D93D05">
              <w:t>19</w:t>
            </w:r>
            <w:r>
              <w:t xml:space="preserve"> ).</w:t>
            </w:r>
          </w:p>
        </w:tc>
      </w:tr>
      <w:tr w:rsidR="007720E8" w14:paraId="05C80245" w14:textId="77777777" w:rsidTr="007720E8">
        <w:tc>
          <w:tcPr>
            <w:tcW w:w="5000" w:type="pct"/>
            <w:tcBorders>
              <w:top w:val="nil"/>
              <w:left w:val="nil"/>
              <w:bottom w:val="single" w:sz="6" w:space="0" w:color="78A22F"/>
              <w:right w:val="nil"/>
            </w:tcBorders>
            <w:shd w:val="clear" w:color="auto" w:fill="auto"/>
          </w:tcPr>
          <w:p w14:paraId="348C4F39" w14:textId="77777777" w:rsidR="007720E8" w:rsidRDefault="007720E8" w:rsidP="007720E8">
            <w:pPr>
              <w:pStyle w:val="Box"/>
              <w:spacing w:before="0" w:line="120" w:lineRule="exact"/>
            </w:pPr>
          </w:p>
        </w:tc>
      </w:tr>
      <w:tr w:rsidR="007720E8" w:rsidRPr="000863A5" w14:paraId="10A7ECDA" w14:textId="77777777" w:rsidTr="007720E8">
        <w:tc>
          <w:tcPr>
            <w:tcW w:w="5000" w:type="pct"/>
            <w:tcBorders>
              <w:top w:val="single" w:sz="6" w:space="0" w:color="78A22F"/>
              <w:left w:val="nil"/>
              <w:bottom w:val="nil"/>
              <w:right w:val="nil"/>
            </w:tcBorders>
          </w:tcPr>
          <w:p w14:paraId="650BCC42" w14:textId="77777777" w:rsidR="007720E8" w:rsidRPr="00626D32" w:rsidRDefault="007720E8" w:rsidP="007720E8">
            <w:pPr>
              <w:pStyle w:val="BoxSpaceBelow"/>
            </w:pPr>
          </w:p>
        </w:tc>
      </w:tr>
    </w:tbl>
    <w:p w14:paraId="153617C0" w14:textId="77777777" w:rsidR="007720E8" w:rsidRDefault="00AE4410" w:rsidP="007720E8">
      <w:pPr>
        <w:pStyle w:val="Heading2"/>
      </w:pPr>
      <w:r>
        <w:fldChar w:fldCharType="begin"/>
      </w:r>
      <w:r>
        <w:instrText xml:space="preserve"> COMMENTS  \* MERGEFORMAT </w:instrText>
      </w:r>
      <w:r>
        <w:fldChar w:fldCharType="separate"/>
      </w:r>
      <w:r w:rsidR="007720E8">
        <w:t>A.</w:t>
      </w:r>
      <w:r>
        <w:fldChar w:fldCharType="end"/>
      </w:r>
      <w:r w:rsidR="007720E8">
        <w:rPr>
          <w:noProof/>
        </w:rPr>
        <w:fldChar w:fldCharType="begin"/>
      </w:r>
      <w:r w:rsidR="007720E8">
        <w:rPr>
          <w:noProof/>
        </w:rPr>
        <w:instrText xml:space="preserve"> SEQ Heading2 </w:instrText>
      </w:r>
      <w:r w:rsidR="007720E8">
        <w:rPr>
          <w:noProof/>
        </w:rPr>
        <w:fldChar w:fldCharType="separate"/>
      </w:r>
      <w:r w:rsidR="005007F4">
        <w:rPr>
          <w:noProof/>
        </w:rPr>
        <w:t>3</w:t>
      </w:r>
      <w:r w:rsidR="007720E8">
        <w:rPr>
          <w:noProof/>
        </w:rPr>
        <w:fldChar w:fldCharType="end"/>
      </w:r>
      <w:r w:rsidR="007720E8">
        <w:tab/>
        <w:t>Industry contributions to the fall in the labour share of income</w:t>
      </w:r>
    </w:p>
    <w:p w14:paraId="5739EF33" w14:textId="77777777" w:rsidR="007720E8" w:rsidRDefault="007720E8" w:rsidP="007720E8">
      <w:pPr>
        <w:pStyle w:val="BodyText"/>
      </w:pPr>
      <w:r>
        <w:t>A similar decomposition to the one used for decomposing the change in productivity. The formula is:</w:t>
      </w:r>
    </w:p>
    <w:p w14:paraId="649A582F" w14:textId="77777777" w:rsidR="007720E8" w:rsidRPr="00582E7E" w:rsidRDefault="00AE4410" w:rsidP="007720E8">
      <w:pPr>
        <w:pStyle w:val="BodyText"/>
      </w:pPr>
      <m:oMathPara>
        <m:oMath>
          <m:sSub>
            <m:sSubPr>
              <m:ctrlPr>
                <w:rPr>
                  <w:rFonts w:ascii="Cambria Math" w:hAnsi="Cambria Math"/>
                  <w:i/>
                </w:rPr>
              </m:ctrlPr>
            </m:sSubPr>
            <m:e>
              <m:r>
                <w:rPr>
                  <w:rFonts w:ascii="Cambria Math" w:hAnsi="Cambria Math"/>
                </w:rPr>
                <m:t>∆LIC</m:t>
              </m:r>
            </m:e>
            <m:sub>
              <m:r>
                <w:rPr>
                  <w:rFonts w:ascii="Cambria Math" w:hAnsi="Cambria Math"/>
                </w:rPr>
                <m:t>m</m:t>
              </m:r>
            </m:sub>
          </m:sSub>
          <m:r>
            <w:rPr>
              <w:rFonts w:ascii="Cambria Math" w:hAnsi="Cambria Math"/>
            </w:rPr>
            <m:t xml:space="preserve">= </m:t>
          </m:r>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LIC</m:t>
                  </m:r>
                </m:e>
                <m:sub>
                  <m:r>
                    <w:rPr>
                      <w:rFonts w:ascii="Cambria Math" w:hAnsi="Cambria Math"/>
                    </w:rPr>
                    <m:t>i</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m:t>
                  </m:r>
                </m:sub>
              </m:sSub>
            </m:e>
          </m:nary>
          <m:r>
            <w:rPr>
              <w:rFonts w:ascii="Cambria Math" w:hAnsi="Cambria Math"/>
            </w:rPr>
            <m:t xml:space="preserve">+ </m:t>
          </m:r>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LIC</m:t>
                      </m:r>
                    </m:e>
                  </m:acc>
                </m:e>
                <m:sub>
                  <m:r>
                    <w:rPr>
                      <w:rFonts w:ascii="Cambria Math" w:hAnsi="Cambria Math"/>
                    </w:rPr>
                    <m:t>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LIC</m:t>
                      </m:r>
                    </m:e>
                  </m:acc>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m:t>
                  </m:r>
                </m:sub>
              </m:sSub>
            </m:e>
          </m:nary>
        </m:oMath>
      </m:oMathPara>
    </w:p>
    <w:p w14:paraId="1035E90E" w14:textId="77777777" w:rsidR="007720E8" w:rsidRPr="00E862F8" w:rsidRDefault="007720E8" w:rsidP="007720E8">
      <w:pPr>
        <w:pStyle w:val="BodyText"/>
      </w:pPr>
      <w:r>
        <w:t>Where:</w:t>
      </w:r>
      <m:oMath>
        <m:r>
          <w:rPr>
            <w:rFonts w:ascii="Cambria Math" w:hAnsi="Cambria Math"/>
          </w:rPr>
          <m:t xml:space="preserve"> LIC</m:t>
        </m:r>
      </m:oMath>
      <w:r>
        <w:t xml:space="preserve"> is the labour income share, </w:t>
      </w:r>
      <m:oMath>
        <m:r>
          <w:rPr>
            <w:rFonts w:ascii="Cambria Math" w:hAnsi="Cambria Math"/>
          </w:rPr>
          <m:t>s</m:t>
        </m:r>
      </m:oMath>
      <w:r>
        <w:t xml:space="preserve"> is the share of a particular industry of total gross value added, </w:t>
      </w:r>
      <m:oMath>
        <m:r>
          <w:rPr>
            <w:rFonts w:ascii="Cambria Math" w:hAnsi="Cambria Math"/>
          </w:rPr>
          <m:t>∆</m:t>
        </m:r>
      </m:oMath>
      <w:r>
        <w:t xml:space="preserve"> is the arithmetic change in a variable, a bar denotes the average of a variable across both time periods, subscript </w:t>
      </w:r>
      <m:oMath>
        <m:r>
          <w:rPr>
            <w:rFonts w:ascii="Cambria Math" w:hAnsi="Cambria Math"/>
          </w:rPr>
          <m:t>i</m:t>
        </m:r>
      </m:oMath>
      <w:r>
        <w:t xml:space="preserve"> refers to industry i, and subscript </w:t>
      </w:r>
      <m:oMath>
        <m:r>
          <w:rPr>
            <w:rFonts w:ascii="Cambria Math" w:hAnsi="Cambria Math"/>
          </w:rPr>
          <m:t>m</m:t>
        </m:r>
      </m:oMath>
      <w:r>
        <w:t xml:space="preserve"> refers to the market sector as a whole. </w:t>
      </w:r>
    </w:p>
    <w:p w14:paraId="7F3A79BA" w14:textId="77777777" w:rsidR="007720E8" w:rsidRDefault="007720E8" w:rsidP="007720E8">
      <w:pPr>
        <w:pStyle w:val="BodyText"/>
      </w:pPr>
      <w:r>
        <w:t>This decomposition was done for the financial years 1999</w:t>
      </w:r>
      <w:r>
        <w:noBreakHyphen/>
        <w:t>00 and 2018</w:t>
      </w:r>
      <w:r>
        <w:noBreakHyphen/>
        <w:t xml:space="preserve">19, with the results shown below (table A.3). </w:t>
      </w:r>
    </w:p>
    <w:p w14:paraId="015CC4E4" w14:textId="77777777" w:rsidR="007720E8" w:rsidRDefault="007720E8" w:rsidP="007720E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720E8" w14:paraId="3D7E1DD6" w14:textId="77777777" w:rsidTr="007720E8">
        <w:trPr>
          <w:tblHeader/>
        </w:trPr>
        <w:tc>
          <w:tcPr>
            <w:tcW w:w="5000" w:type="pct"/>
            <w:tcBorders>
              <w:top w:val="single" w:sz="6" w:space="0" w:color="78A22F"/>
              <w:left w:val="nil"/>
              <w:bottom w:val="nil"/>
              <w:right w:val="nil"/>
            </w:tcBorders>
            <w:shd w:val="clear" w:color="auto" w:fill="auto"/>
          </w:tcPr>
          <w:p w14:paraId="5EFA1D18" w14:textId="77777777" w:rsidR="007720E8" w:rsidRDefault="007720E8" w:rsidP="007720E8">
            <w:pPr>
              <w:pStyle w:val="TableTitle"/>
            </w:pPr>
            <w:r>
              <w:rPr>
                <w:b w:val="0"/>
              </w:rPr>
              <w:t xml:space="preserve">Table </w:t>
            </w:r>
            <w:r>
              <w:rPr>
                <w:b w:val="0"/>
              </w:rPr>
              <w:fldChar w:fldCharType="begin"/>
            </w:r>
            <w:r>
              <w:rPr>
                <w:b w:val="0"/>
              </w:rPr>
              <w:instrText xml:space="preserve"> COMMENTS  \* MERGEFORMAT </w:instrText>
            </w:r>
            <w:r>
              <w:rPr>
                <w:b w:val="0"/>
              </w:rPr>
              <w:fldChar w:fldCharType="separate"/>
            </w:r>
            <w:r>
              <w:rPr>
                <w:b w:val="0"/>
              </w:rPr>
              <w:t>A.</w:t>
            </w:r>
            <w:r>
              <w:rPr>
                <w:b w:val="0"/>
              </w:rPr>
              <w:fldChar w:fldCharType="end"/>
            </w:r>
            <w:r>
              <w:rPr>
                <w:b w:val="0"/>
              </w:rPr>
              <w:fldChar w:fldCharType="begin"/>
            </w:r>
            <w:r>
              <w:rPr>
                <w:b w:val="0"/>
              </w:rPr>
              <w:instrText xml:space="preserve"> SEQ Table \* ARABIC </w:instrText>
            </w:r>
            <w:r>
              <w:rPr>
                <w:b w:val="0"/>
              </w:rPr>
              <w:fldChar w:fldCharType="separate"/>
            </w:r>
            <w:r w:rsidR="005007F4">
              <w:rPr>
                <w:b w:val="0"/>
                <w:noProof/>
              </w:rPr>
              <w:t>3</w:t>
            </w:r>
            <w:r>
              <w:rPr>
                <w:b w:val="0"/>
              </w:rPr>
              <w:fldChar w:fldCharType="end"/>
            </w:r>
            <w:r>
              <w:tab/>
              <w:t>Industry contributions to the change in the labour income share</w:t>
            </w:r>
          </w:p>
          <w:p w14:paraId="3C3AF963" w14:textId="77777777" w:rsidR="007720E8" w:rsidRPr="00784A05" w:rsidRDefault="007720E8" w:rsidP="007720E8">
            <w:pPr>
              <w:pStyle w:val="Subtitle"/>
            </w:pPr>
            <w:r>
              <w:t>1999-00 to 2018-19</w:t>
            </w:r>
          </w:p>
        </w:tc>
      </w:tr>
      <w:tr w:rsidR="007720E8" w14:paraId="00B50511" w14:textId="77777777" w:rsidTr="007720E8">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3"/>
              <w:gridCol w:w="139"/>
              <w:gridCol w:w="1562"/>
              <w:gridCol w:w="1701"/>
              <w:gridCol w:w="1701"/>
              <w:gridCol w:w="1699"/>
            </w:tblGrid>
            <w:tr w:rsidR="007720E8" w14:paraId="3B883213" w14:textId="77777777" w:rsidTr="007720E8">
              <w:trPr>
                <w:tblHeader/>
              </w:trPr>
              <w:tc>
                <w:tcPr>
                  <w:tcW w:w="1001" w:type="pct"/>
                  <w:tcBorders>
                    <w:top w:val="single" w:sz="6" w:space="0" w:color="BFBFBF"/>
                    <w:bottom w:val="single" w:sz="6" w:space="0" w:color="BFBFBF"/>
                  </w:tcBorders>
                  <w:shd w:val="clear" w:color="auto" w:fill="auto"/>
                  <w:tcMar>
                    <w:top w:w="28" w:type="dxa"/>
                  </w:tcMar>
                </w:tcPr>
                <w:p w14:paraId="2A4B7089" w14:textId="77777777" w:rsidR="007720E8" w:rsidRDefault="007720E8" w:rsidP="007720E8">
                  <w:pPr>
                    <w:pStyle w:val="TableColumnHeading"/>
                    <w:jc w:val="left"/>
                  </w:pPr>
                </w:p>
              </w:tc>
              <w:tc>
                <w:tcPr>
                  <w:tcW w:w="1000" w:type="pct"/>
                  <w:gridSpan w:val="2"/>
                  <w:tcBorders>
                    <w:top w:val="single" w:sz="6" w:space="0" w:color="BFBFBF"/>
                    <w:bottom w:val="single" w:sz="6" w:space="0" w:color="BFBFBF"/>
                  </w:tcBorders>
                </w:tcPr>
                <w:p w14:paraId="2B2910C9" w14:textId="77777777" w:rsidR="007720E8" w:rsidRDefault="007720E8" w:rsidP="007720E8">
                  <w:pPr>
                    <w:pStyle w:val="TableColumnHeading"/>
                  </w:pPr>
                  <w:r>
                    <w:t>Within effect</w:t>
                  </w:r>
                </w:p>
              </w:tc>
              <w:tc>
                <w:tcPr>
                  <w:tcW w:w="1000" w:type="pct"/>
                  <w:tcBorders>
                    <w:top w:val="single" w:sz="6" w:space="0" w:color="BFBFBF"/>
                    <w:bottom w:val="single" w:sz="6" w:space="0" w:color="BFBFBF"/>
                  </w:tcBorders>
                </w:tcPr>
                <w:p w14:paraId="6175C0C4" w14:textId="77777777" w:rsidR="007720E8" w:rsidRDefault="007720E8" w:rsidP="007720E8">
                  <w:pPr>
                    <w:pStyle w:val="TableColumnHeading"/>
                  </w:pPr>
                  <w:r>
                    <w:t>Between effect</w:t>
                  </w:r>
                </w:p>
              </w:tc>
              <w:tc>
                <w:tcPr>
                  <w:tcW w:w="1000" w:type="pct"/>
                  <w:tcBorders>
                    <w:top w:val="single" w:sz="6" w:space="0" w:color="BFBFBF"/>
                    <w:bottom w:val="single" w:sz="6" w:space="0" w:color="BFBFBF"/>
                  </w:tcBorders>
                  <w:shd w:val="clear" w:color="auto" w:fill="auto"/>
                  <w:tcMar>
                    <w:top w:w="28" w:type="dxa"/>
                  </w:tcMar>
                </w:tcPr>
                <w:p w14:paraId="7D70FF8F" w14:textId="77777777" w:rsidR="007720E8" w:rsidRDefault="007720E8" w:rsidP="007720E8">
                  <w:pPr>
                    <w:pStyle w:val="TableColumnHeading"/>
                  </w:pPr>
                  <w:r>
                    <w:t>Total contribution</w:t>
                  </w:r>
                </w:p>
              </w:tc>
              <w:tc>
                <w:tcPr>
                  <w:tcW w:w="999" w:type="pct"/>
                  <w:tcBorders>
                    <w:top w:val="single" w:sz="6" w:space="0" w:color="BFBFBF"/>
                    <w:bottom w:val="single" w:sz="6" w:space="0" w:color="BFBFBF"/>
                  </w:tcBorders>
                  <w:shd w:val="clear" w:color="auto" w:fill="auto"/>
                  <w:tcMar>
                    <w:top w:w="28" w:type="dxa"/>
                  </w:tcMar>
                </w:tcPr>
                <w:p w14:paraId="7309016A" w14:textId="5277F68B" w:rsidR="007720E8" w:rsidRDefault="007720E8" w:rsidP="007720E8">
                  <w:pPr>
                    <w:pStyle w:val="TableColumnHeading"/>
                    <w:ind w:right="28"/>
                  </w:pPr>
                  <w:r>
                    <w:t xml:space="preserve">Proportion of </w:t>
                  </w:r>
                  <w:r w:rsidR="005007F4">
                    <w:br/>
                  </w:r>
                  <w:r>
                    <w:t>the change</w:t>
                  </w:r>
                </w:p>
              </w:tc>
            </w:tr>
            <w:tr w:rsidR="007720E8" w14:paraId="1918C7D1" w14:textId="77777777" w:rsidTr="007720E8">
              <w:tc>
                <w:tcPr>
                  <w:tcW w:w="1001" w:type="pct"/>
                  <w:tcBorders>
                    <w:top w:val="single" w:sz="6" w:space="0" w:color="BFBFBF"/>
                  </w:tcBorders>
                </w:tcPr>
                <w:p w14:paraId="72F5D266" w14:textId="77777777" w:rsidR="007720E8" w:rsidRDefault="007720E8" w:rsidP="007720E8">
                  <w:pPr>
                    <w:pStyle w:val="TableUnitsRow"/>
                    <w:jc w:val="left"/>
                  </w:pPr>
                </w:p>
              </w:tc>
              <w:tc>
                <w:tcPr>
                  <w:tcW w:w="1000" w:type="pct"/>
                  <w:gridSpan w:val="2"/>
                  <w:tcBorders>
                    <w:top w:val="single" w:sz="6" w:space="0" w:color="BFBFBF"/>
                  </w:tcBorders>
                </w:tcPr>
                <w:p w14:paraId="5B95888A" w14:textId="341394DE" w:rsidR="007720E8" w:rsidRDefault="007720E8" w:rsidP="00CF1F6B">
                  <w:pPr>
                    <w:pStyle w:val="TableUnitsRow"/>
                  </w:pPr>
                  <w:r>
                    <w:t>Percentage point</w:t>
                  </w:r>
                </w:p>
              </w:tc>
              <w:tc>
                <w:tcPr>
                  <w:tcW w:w="1000" w:type="pct"/>
                  <w:tcBorders>
                    <w:top w:val="single" w:sz="6" w:space="0" w:color="BFBFBF"/>
                  </w:tcBorders>
                </w:tcPr>
                <w:p w14:paraId="12A40F25" w14:textId="68ABF03E" w:rsidR="007720E8" w:rsidRDefault="007720E8" w:rsidP="007720E8">
                  <w:pPr>
                    <w:pStyle w:val="TableUnitsRow"/>
                  </w:pPr>
                  <w:r>
                    <w:t>Percentage poin</w:t>
                  </w:r>
                  <w:r w:rsidR="00CF1F6B">
                    <w:t>t</w:t>
                  </w:r>
                </w:p>
              </w:tc>
              <w:tc>
                <w:tcPr>
                  <w:tcW w:w="1000" w:type="pct"/>
                  <w:tcBorders>
                    <w:top w:val="single" w:sz="6" w:space="0" w:color="BFBFBF"/>
                  </w:tcBorders>
                </w:tcPr>
                <w:p w14:paraId="3AE5BF54" w14:textId="65118DF9" w:rsidR="007720E8" w:rsidRDefault="00CF1F6B" w:rsidP="007720E8">
                  <w:pPr>
                    <w:pStyle w:val="TableUnitsRow"/>
                  </w:pPr>
                  <w:r>
                    <w:t>Percentage point</w:t>
                  </w:r>
                </w:p>
              </w:tc>
              <w:tc>
                <w:tcPr>
                  <w:tcW w:w="999" w:type="pct"/>
                  <w:tcBorders>
                    <w:top w:val="single" w:sz="6" w:space="0" w:color="BFBFBF"/>
                  </w:tcBorders>
                </w:tcPr>
                <w:p w14:paraId="1AE9DEE5" w14:textId="77777777" w:rsidR="007720E8" w:rsidRDefault="007720E8" w:rsidP="007720E8">
                  <w:pPr>
                    <w:pStyle w:val="TableUnitsRow"/>
                    <w:ind w:right="28"/>
                  </w:pPr>
                  <w:r>
                    <w:t>Per cent</w:t>
                  </w:r>
                </w:p>
              </w:tc>
            </w:tr>
            <w:tr w:rsidR="007720E8" w14:paraId="0D8C08EC" w14:textId="77777777" w:rsidTr="007720E8">
              <w:tc>
                <w:tcPr>
                  <w:tcW w:w="1001" w:type="pct"/>
                </w:tcPr>
                <w:p w14:paraId="66B6617C" w14:textId="77777777" w:rsidR="007720E8" w:rsidRPr="00F7590B" w:rsidRDefault="007720E8" w:rsidP="007720E8">
                  <w:pPr>
                    <w:rPr>
                      <w:rFonts w:asciiTheme="minorHAnsi" w:hAnsiTheme="minorHAnsi" w:cstheme="minorHAnsi"/>
                      <w:sz w:val="18"/>
                      <w:szCs w:val="18"/>
                    </w:rPr>
                  </w:pPr>
                  <w:r w:rsidRPr="00F7590B">
                    <w:rPr>
                      <w:rFonts w:asciiTheme="minorHAnsi" w:hAnsiTheme="minorHAnsi" w:cstheme="minorHAnsi"/>
                      <w:sz w:val="18"/>
                      <w:szCs w:val="18"/>
                    </w:rPr>
                    <w:t>Agriculture, forestry and fishing</w:t>
                  </w:r>
                </w:p>
              </w:tc>
              <w:tc>
                <w:tcPr>
                  <w:tcW w:w="1000" w:type="pct"/>
                  <w:gridSpan w:val="2"/>
                </w:tcPr>
                <w:p w14:paraId="7DC6B39A"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-0.38</w:t>
                  </w:r>
                </w:p>
              </w:tc>
              <w:tc>
                <w:tcPr>
                  <w:tcW w:w="1000" w:type="pct"/>
                </w:tcPr>
                <w:p w14:paraId="4AE507D1"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0.33</w:t>
                  </w:r>
                </w:p>
              </w:tc>
              <w:tc>
                <w:tcPr>
                  <w:tcW w:w="1000" w:type="pct"/>
                </w:tcPr>
                <w:p w14:paraId="4F69B3EB"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-0.05</w:t>
                  </w:r>
                </w:p>
              </w:tc>
              <w:tc>
                <w:tcPr>
                  <w:tcW w:w="999" w:type="pct"/>
                </w:tcPr>
                <w:p w14:paraId="252813CB" w14:textId="77777777" w:rsidR="007720E8" w:rsidRPr="00D14E5D" w:rsidRDefault="007720E8" w:rsidP="007720E8">
                  <w:pPr>
                    <w:pStyle w:val="TableBodyText"/>
                    <w:ind w:right="28"/>
                  </w:pPr>
                  <w:r>
                    <w:t>1</w:t>
                  </w:r>
                </w:p>
              </w:tc>
            </w:tr>
            <w:tr w:rsidR="007720E8" w14:paraId="3A15F960" w14:textId="77777777" w:rsidTr="007720E8">
              <w:tc>
                <w:tcPr>
                  <w:tcW w:w="1001" w:type="pct"/>
                </w:tcPr>
                <w:p w14:paraId="503F05B9" w14:textId="77777777" w:rsidR="007720E8" w:rsidRPr="00F7590B" w:rsidRDefault="007720E8" w:rsidP="007720E8">
                  <w:pPr>
                    <w:rPr>
                      <w:rFonts w:asciiTheme="minorHAnsi" w:hAnsiTheme="minorHAnsi" w:cstheme="minorHAnsi"/>
                      <w:sz w:val="18"/>
                      <w:szCs w:val="18"/>
                    </w:rPr>
                  </w:pPr>
                  <w:r w:rsidRPr="00F7590B">
                    <w:rPr>
                      <w:rFonts w:asciiTheme="minorHAnsi" w:hAnsiTheme="minorHAnsi" w:cstheme="minorHAnsi"/>
                      <w:sz w:val="18"/>
                      <w:szCs w:val="18"/>
                    </w:rPr>
                    <w:t>Mining</w:t>
                  </w:r>
                </w:p>
              </w:tc>
              <w:tc>
                <w:tcPr>
                  <w:tcW w:w="1000" w:type="pct"/>
                  <w:gridSpan w:val="2"/>
                </w:tcPr>
                <w:p w14:paraId="1CCB68B2"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-0.80</w:t>
                  </w:r>
                </w:p>
              </w:tc>
              <w:tc>
                <w:tcPr>
                  <w:tcW w:w="1000" w:type="pct"/>
                </w:tcPr>
                <w:p w14:paraId="427C2A03"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-2.88</w:t>
                  </w:r>
                </w:p>
              </w:tc>
              <w:tc>
                <w:tcPr>
                  <w:tcW w:w="1000" w:type="pct"/>
                </w:tcPr>
                <w:p w14:paraId="30649B85"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-3.69</w:t>
                  </w:r>
                </w:p>
              </w:tc>
              <w:tc>
                <w:tcPr>
                  <w:tcW w:w="999" w:type="pct"/>
                </w:tcPr>
                <w:p w14:paraId="1EAEFC69" w14:textId="77777777" w:rsidR="007720E8" w:rsidRPr="00D14E5D" w:rsidRDefault="007720E8" w:rsidP="007720E8">
                  <w:pPr>
                    <w:pStyle w:val="TableBodyText"/>
                    <w:ind w:right="28"/>
                  </w:pPr>
                  <w:r>
                    <w:t>72</w:t>
                  </w:r>
                </w:p>
              </w:tc>
            </w:tr>
            <w:tr w:rsidR="007720E8" w14:paraId="38E29658" w14:textId="77777777" w:rsidTr="007720E8">
              <w:tc>
                <w:tcPr>
                  <w:tcW w:w="1001" w:type="pct"/>
                </w:tcPr>
                <w:p w14:paraId="780C984F" w14:textId="77777777" w:rsidR="007720E8" w:rsidRPr="00F7590B" w:rsidRDefault="007720E8" w:rsidP="007720E8">
                  <w:pPr>
                    <w:rPr>
                      <w:rFonts w:asciiTheme="minorHAnsi" w:hAnsiTheme="minorHAnsi" w:cstheme="minorHAnsi"/>
                      <w:sz w:val="18"/>
                      <w:szCs w:val="18"/>
                    </w:rPr>
                  </w:pPr>
                  <w:r w:rsidRPr="00F7590B">
                    <w:rPr>
                      <w:rFonts w:asciiTheme="minorHAnsi" w:hAnsiTheme="minorHAnsi" w:cstheme="minorHAnsi"/>
                      <w:sz w:val="18"/>
                      <w:szCs w:val="18"/>
                    </w:rPr>
                    <w:t>Manufacturing</w:t>
                  </w:r>
                </w:p>
              </w:tc>
              <w:tc>
                <w:tcPr>
                  <w:tcW w:w="1000" w:type="pct"/>
                  <w:gridSpan w:val="2"/>
                </w:tcPr>
                <w:p w14:paraId="163C16FF"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1.00</w:t>
                  </w:r>
                </w:p>
              </w:tc>
              <w:tc>
                <w:tcPr>
                  <w:tcW w:w="1000" w:type="pct"/>
                </w:tcPr>
                <w:p w14:paraId="1A4AF7B3"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-0.50</w:t>
                  </w:r>
                </w:p>
              </w:tc>
              <w:tc>
                <w:tcPr>
                  <w:tcW w:w="1000" w:type="pct"/>
                </w:tcPr>
                <w:p w14:paraId="490D574F"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0.50</w:t>
                  </w:r>
                </w:p>
              </w:tc>
              <w:tc>
                <w:tcPr>
                  <w:tcW w:w="999" w:type="pct"/>
                </w:tcPr>
                <w:p w14:paraId="1FDB3DE7" w14:textId="77777777" w:rsidR="007720E8" w:rsidRPr="00D14E5D" w:rsidRDefault="007720E8" w:rsidP="007720E8">
                  <w:pPr>
                    <w:pStyle w:val="TableBodyText"/>
                    <w:ind w:right="28"/>
                  </w:pPr>
                  <w:r>
                    <w:t>-10</w:t>
                  </w:r>
                </w:p>
              </w:tc>
            </w:tr>
            <w:tr w:rsidR="007720E8" w14:paraId="251805B9" w14:textId="77777777" w:rsidTr="007720E8">
              <w:tc>
                <w:tcPr>
                  <w:tcW w:w="1001" w:type="pct"/>
                </w:tcPr>
                <w:p w14:paraId="67AE761F" w14:textId="77777777" w:rsidR="007720E8" w:rsidRPr="00F7590B" w:rsidRDefault="007720E8" w:rsidP="007720E8">
                  <w:pPr>
                    <w:rPr>
                      <w:rFonts w:asciiTheme="minorHAnsi" w:hAnsiTheme="minorHAnsi" w:cstheme="minorHAnsi"/>
                      <w:sz w:val="18"/>
                      <w:szCs w:val="18"/>
                    </w:rPr>
                  </w:pPr>
                  <w:r w:rsidRPr="00F7590B">
                    <w:rPr>
                      <w:rFonts w:asciiTheme="minorHAnsi" w:hAnsiTheme="minorHAnsi" w:cstheme="minorHAnsi"/>
                      <w:sz w:val="18"/>
                      <w:szCs w:val="18"/>
                    </w:rPr>
                    <w:t>Electricity, gas, water and waste services</w:t>
                  </w:r>
                </w:p>
              </w:tc>
              <w:tc>
                <w:tcPr>
                  <w:tcW w:w="1000" w:type="pct"/>
                  <w:gridSpan w:val="2"/>
                </w:tcPr>
                <w:p w14:paraId="2AF68065"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-0.04</w:t>
                  </w:r>
                </w:p>
              </w:tc>
              <w:tc>
                <w:tcPr>
                  <w:tcW w:w="1000" w:type="pct"/>
                </w:tcPr>
                <w:p w14:paraId="4DA86334"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-0.02</w:t>
                  </w:r>
                </w:p>
              </w:tc>
              <w:tc>
                <w:tcPr>
                  <w:tcW w:w="1000" w:type="pct"/>
                </w:tcPr>
                <w:p w14:paraId="4FF2AACA"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-0.05</w:t>
                  </w:r>
                </w:p>
              </w:tc>
              <w:tc>
                <w:tcPr>
                  <w:tcW w:w="999" w:type="pct"/>
                </w:tcPr>
                <w:p w14:paraId="2B8EEC9D" w14:textId="77777777" w:rsidR="007720E8" w:rsidRPr="00D14E5D" w:rsidRDefault="007720E8" w:rsidP="007720E8">
                  <w:pPr>
                    <w:pStyle w:val="TableBodyText"/>
                    <w:ind w:right="28"/>
                  </w:pPr>
                  <w:r>
                    <w:t>1</w:t>
                  </w:r>
                </w:p>
              </w:tc>
            </w:tr>
            <w:tr w:rsidR="007720E8" w14:paraId="52F7EA64" w14:textId="77777777" w:rsidTr="007720E8">
              <w:tc>
                <w:tcPr>
                  <w:tcW w:w="1001" w:type="pct"/>
                </w:tcPr>
                <w:p w14:paraId="25A05703" w14:textId="77777777" w:rsidR="007720E8" w:rsidRPr="00F7590B" w:rsidRDefault="007720E8" w:rsidP="007720E8">
                  <w:pPr>
                    <w:rPr>
                      <w:rFonts w:asciiTheme="minorHAnsi" w:hAnsiTheme="minorHAnsi" w:cstheme="minorHAnsi"/>
                      <w:sz w:val="18"/>
                      <w:szCs w:val="18"/>
                    </w:rPr>
                  </w:pPr>
                  <w:r w:rsidRPr="00F7590B">
                    <w:rPr>
                      <w:rFonts w:asciiTheme="minorHAnsi" w:hAnsiTheme="minorHAnsi" w:cstheme="minorHAnsi"/>
                      <w:sz w:val="18"/>
                      <w:szCs w:val="18"/>
                    </w:rPr>
                    <w:t>Construction</w:t>
                  </w:r>
                </w:p>
              </w:tc>
              <w:tc>
                <w:tcPr>
                  <w:tcW w:w="1000" w:type="pct"/>
                  <w:gridSpan w:val="2"/>
                </w:tcPr>
                <w:p w14:paraId="1336C889"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-0.30</w:t>
                  </w:r>
                </w:p>
              </w:tc>
              <w:tc>
                <w:tcPr>
                  <w:tcW w:w="1000" w:type="pct"/>
                </w:tcPr>
                <w:p w14:paraId="37B7FD52"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0.18</w:t>
                  </w:r>
                </w:p>
              </w:tc>
              <w:tc>
                <w:tcPr>
                  <w:tcW w:w="1000" w:type="pct"/>
                </w:tcPr>
                <w:p w14:paraId="287E0C8E"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-0.12</w:t>
                  </w:r>
                </w:p>
              </w:tc>
              <w:tc>
                <w:tcPr>
                  <w:tcW w:w="999" w:type="pct"/>
                </w:tcPr>
                <w:p w14:paraId="06B46E4B" w14:textId="77777777" w:rsidR="007720E8" w:rsidRPr="00D14E5D" w:rsidRDefault="007720E8" w:rsidP="007720E8">
                  <w:pPr>
                    <w:pStyle w:val="TableBodyText"/>
                    <w:ind w:right="28"/>
                  </w:pPr>
                  <w:r>
                    <w:t>2</w:t>
                  </w:r>
                </w:p>
              </w:tc>
            </w:tr>
            <w:tr w:rsidR="007720E8" w14:paraId="0A94A7F5" w14:textId="77777777" w:rsidTr="007720E8">
              <w:tc>
                <w:tcPr>
                  <w:tcW w:w="1001" w:type="pct"/>
                </w:tcPr>
                <w:p w14:paraId="0BE7F28C" w14:textId="77777777" w:rsidR="007720E8" w:rsidRPr="00F7590B" w:rsidRDefault="007720E8" w:rsidP="007720E8">
                  <w:pPr>
                    <w:rPr>
                      <w:rFonts w:asciiTheme="minorHAnsi" w:hAnsiTheme="minorHAnsi" w:cstheme="minorHAnsi"/>
                      <w:sz w:val="18"/>
                      <w:szCs w:val="18"/>
                    </w:rPr>
                  </w:pPr>
                  <w:r w:rsidRPr="00F7590B">
                    <w:rPr>
                      <w:rFonts w:asciiTheme="minorHAnsi" w:hAnsiTheme="minorHAnsi" w:cstheme="minorHAnsi"/>
                      <w:sz w:val="18"/>
                      <w:szCs w:val="18"/>
                    </w:rPr>
                    <w:t>Wholesale trade</w:t>
                  </w:r>
                </w:p>
              </w:tc>
              <w:tc>
                <w:tcPr>
                  <w:tcW w:w="1000" w:type="pct"/>
                  <w:gridSpan w:val="2"/>
                </w:tcPr>
                <w:p w14:paraId="5C508DC5"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-0.12</w:t>
                  </w:r>
                </w:p>
              </w:tc>
              <w:tc>
                <w:tcPr>
                  <w:tcW w:w="1000" w:type="pct"/>
                </w:tcPr>
                <w:p w14:paraId="195B9F27"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-0.18</w:t>
                  </w:r>
                </w:p>
              </w:tc>
              <w:tc>
                <w:tcPr>
                  <w:tcW w:w="1000" w:type="pct"/>
                </w:tcPr>
                <w:p w14:paraId="6AF553D0"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-0.30</w:t>
                  </w:r>
                </w:p>
              </w:tc>
              <w:tc>
                <w:tcPr>
                  <w:tcW w:w="999" w:type="pct"/>
                </w:tcPr>
                <w:p w14:paraId="609D38B0" w14:textId="77777777" w:rsidR="007720E8" w:rsidRPr="00D14E5D" w:rsidRDefault="007720E8" w:rsidP="007720E8">
                  <w:pPr>
                    <w:pStyle w:val="TableBodyText"/>
                    <w:ind w:right="28"/>
                  </w:pPr>
                  <w:r>
                    <w:t>6</w:t>
                  </w:r>
                </w:p>
              </w:tc>
            </w:tr>
            <w:tr w:rsidR="007720E8" w14:paraId="0B28228D" w14:textId="77777777" w:rsidTr="007720E8">
              <w:tc>
                <w:tcPr>
                  <w:tcW w:w="1001" w:type="pct"/>
                </w:tcPr>
                <w:p w14:paraId="03FC2AB0" w14:textId="77777777" w:rsidR="007720E8" w:rsidRPr="00F7590B" w:rsidRDefault="007720E8" w:rsidP="007720E8">
                  <w:pPr>
                    <w:rPr>
                      <w:rFonts w:asciiTheme="minorHAnsi" w:hAnsiTheme="minorHAnsi" w:cstheme="minorHAnsi"/>
                      <w:sz w:val="18"/>
                      <w:szCs w:val="18"/>
                    </w:rPr>
                  </w:pPr>
                  <w:r w:rsidRPr="00F7590B">
                    <w:rPr>
                      <w:rFonts w:asciiTheme="minorHAnsi" w:hAnsiTheme="minorHAnsi" w:cstheme="minorHAnsi"/>
                      <w:sz w:val="18"/>
                      <w:szCs w:val="18"/>
                    </w:rPr>
                    <w:t>Retail trade</w:t>
                  </w:r>
                </w:p>
              </w:tc>
              <w:tc>
                <w:tcPr>
                  <w:tcW w:w="1000" w:type="pct"/>
                  <w:gridSpan w:val="2"/>
                </w:tcPr>
                <w:p w14:paraId="7BFE5CC1"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-0.20</w:t>
                  </w:r>
                </w:p>
              </w:tc>
              <w:tc>
                <w:tcPr>
                  <w:tcW w:w="1000" w:type="pct"/>
                </w:tcPr>
                <w:p w14:paraId="68394881"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-0.22</w:t>
                  </w:r>
                </w:p>
              </w:tc>
              <w:tc>
                <w:tcPr>
                  <w:tcW w:w="1000" w:type="pct"/>
                </w:tcPr>
                <w:p w14:paraId="789F6862"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-0.41</w:t>
                  </w:r>
                </w:p>
              </w:tc>
              <w:tc>
                <w:tcPr>
                  <w:tcW w:w="999" w:type="pct"/>
                </w:tcPr>
                <w:p w14:paraId="16746A8B" w14:textId="77777777" w:rsidR="007720E8" w:rsidRPr="00D14E5D" w:rsidRDefault="007720E8" w:rsidP="007720E8">
                  <w:pPr>
                    <w:pStyle w:val="TableBodyText"/>
                    <w:ind w:right="28"/>
                  </w:pPr>
                  <w:r>
                    <w:t>8</w:t>
                  </w:r>
                </w:p>
              </w:tc>
            </w:tr>
            <w:tr w:rsidR="007720E8" w14:paraId="17CC6419" w14:textId="77777777" w:rsidTr="007720E8">
              <w:tc>
                <w:tcPr>
                  <w:tcW w:w="1001" w:type="pct"/>
                </w:tcPr>
                <w:p w14:paraId="1DC23CB6" w14:textId="77777777" w:rsidR="007720E8" w:rsidRPr="00F7590B" w:rsidRDefault="007720E8" w:rsidP="007720E8">
                  <w:pPr>
                    <w:rPr>
                      <w:rFonts w:asciiTheme="minorHAnsi" w:hAnsiTheme="minorHAnsi" w:cstheme="minorHAnsi"/>
                      <w:sz w:val="18"/>
                      <w:szCs w:val="18"/>
                    </w:rPr>
                  </w:pPr>
                  <w:r w:rsidRPr="00F7590B">
                    <w:rPr>
                      <w:rFonts w:asciiTheme="minorHAnsi" w:hAnsiTheme="minorHAnsi" w:cstheme="minorHAnsi"/>
                      <w:sz w:val="18"/>
                      <w:szCs w:val="18"/>
                    </w:rPr>
                    <w:t>Accommodation and food services</w:t>
                  </w:r>
                </w:p>
              </w:tc>
              <w:tc>
                <w:tcPr>
                  <w:tcW w:w="1000" w:type="pct"/>
                  <w:gridSpan w:val="2"/>
                </w:tcPr>
                <w:p w14:paraId="3F9FE284"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-0.18</w:t>
                  </w:r>
                </w:p>
              </w:tc>
              <w:tc>
                <w:tcPr>
                  <w:tcW w:w="1000" w:type="pct"/>
                </w:tcPr>
                <w:p w14:paraId="73C1B7F8"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-0.10</w:t>
                  </w:r>
                </w:p>
              </w:tc>
              <w:tc>
                <w:tcPr>
                  <w:tcW w:w="1000" w:type="pct"/>
                </w:tcPr>
                <w:p w14:paraId="69BB9303"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-0.28</w:t>
                  </w:r>
                </w:p>
              </w:tc>
              <w:tc>
                <w:tcPr>
                  <w:tcW w:w="999" w:type="pct"/>
                </w:tcPr>
                <w:p w14:paraId="5C03C5E9" w14:textId="77777777" w:rsidR="007720E8" w:rsidRPr="00D14E5D" w:rsidRDefault="007720E8" w:rsidP="007720E8">
                  <w:pPr>
                    <w:pStyle w:val="TableBodyText"/>
                    <w:ind w:right="28"/>
                  </w:pPr>
                  <w:r>
                    <w:t>5</w:t>
                  </w:r>
                </w:p>
              </w:tc>
            </w:tr>
            <w:tr w:rsidR="007720E8" w14:paraId="7E767F78" w14:textId="77777777" w:rsidTr="007720E8">
              <w:tc>
                <w:tcPr>
                  <w:tcW w:w="1001" w:type="pct"/>
                  <w:shd w:val="clear" w:color="auto" w:fill="auto"/>
                </w:tcPr>
                <w:p w14:paraId="1728CE81" w14:textId="77777777" w:rsidR="007720E8" w:rsidRPr="00F7590B" w:rsidRDefault="007720E8" w:rsidP="007720E8">
                  <w:pPr>
                    <w:rPr>
                      <w:rFonts w:asciiTheme="minorHAnsi" w:hAnsiTheme="minorHAnsi" w:cstheme="minorHAnsi"/>
                      <w:sz w:val="18"/>
                      <w:szCs w:val="18"/>
                    </w:rPr>
                  </w:pPr>
                  <w:r w:rsidRPr="00F7590B">
                    <w:rPr>
                      <w:rFonts w:asciiTheme="minorHAnsi" w:hAnsiTheme="minorHAnsi" w:cstheme="minorHAnsi"/>
                      <w:sz w:val="18"/>
                      <w:szCs w:val="18"/>
                    </w:rPr>
                    <w:t>Transport, postal and warehousing</w:t>
                  </w:r>
                </w:p>
              </w:tc>
              <w:tc>
                <w:tcPr>
                  <w:tcW w:w="1000" w:type="pct"/>
                  <w:gridSpan w:val="2"/>
                </w:tcPr>
                <w:p w14:paraId="1386DFEA"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-0.41</w:t>
                  </w:r>
                </w:p>
              </w:tc>
              <w:tc>
                <w:tcPr>
                  <w:tcW w:w="1000" w:type="pct"/>
                </w:tcPr>
                <w:p w14:paraId="3848DE90"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0.00</w:t>
                  </w:r>
                </w:p>
              </w:tc>
              <w:tc>
                <w:tcPr>
                  <w:tcW w:w="1000" w:type="pct"/>
                  <w:shd w:val="clear" w:color="auto" w:fill="auto"/>
                </w:tcPr>
                <w:p w14:paraId="5E8F09E3"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-0.41</w:t>
                  </w:r>
                </w:p>
              </w:tc>
              <w:tc>
                <w:tcPr>
                  <w:tcW w:w="999" w:type="pct"/>
                  <w:shd w:val="clear" w:color="auto" w:fill="auto"/>
                </w:tcPr>
                <w:p w14:paraId="307B1F8F" w14:textId="77777777" w:rsidR="007720E8" w:rsidRPr="00D14E5D" w:rsidRDefault="007720E8" w:rsidP="007720E8">
                  <w:pPr>
                    <w:pStyle w:val="TableBodyText"/>
                    <w:ind w:right="28"/>
                  </w:pPr>
                  <w:r>
                    <w:t>8</w:t>
                  </w:r>
                </w:p>
              </w:tc>
            </w:tr>
            <w:tr w:rsidR="007720E8" w14:paraId="56803604" w14:textId="77777777" w:rsidTr="007720E8">
              <w:tc>
                <w:tcPr>
                  <w:tcW w:w="1083" w:type="pct"/>
                  <w:gridSpan w:val="2"/>
                  <w:shd w:val="clear" w:color="auto" w:fill="auto"/>
                </w:tcPr>
                <w:p w14:paraId="23052C96" w14:textId="77777777" w:rsidR="007720E8" w:rsidRPr="002078EC" w:rsidRDefault="007720E8" w:rsidP="007720E8">
                  <w:pPr>
                    <w:rPr>
                      <w:rFonts w:asciiTheme="minorHAnsi" w:hAnsiTheme="minorHAnsi" w:cstheme="minorHAnsi"/>
                      <w:spacing w:val="-2"/>
                      <w:sz w:val="18"/>
                      <w:szCs w:val="18"/>
                    </w:rPr>
                  </w:pPr>
                  <w:r w:rsidRPr="002078EC">
                    <w:rPr>
                      <w:rFonts w:asciiTheme="minorHAnsi" w:hAnsiTheme="minorHAnsi" w:cstheme="minorHAnsi"/>
                      <w:spacing w:val="-2"/>
                      <w:sz w:val="18"/>
                      <w:szCs w:val="18"/>
                    </w:rPr>
                    <w:t>Information media and telecommunications</w:t>
                  </w:r>
                </w:p>
              </w:tc>
              <w:tc>
                <w:tcPr>
                  <w:tcW w:w="918" w:type="pct"/>
                </w:tcPr>
                <w:p w14:paraId="188C3210"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0.30</w:t>
                  </w:r>
                </w:p>
              </w:tc>
              <w:tc>
                <w:tcPr>
                  <w:tcW w:w="1000" w:type="pct"/>
                </w:tcPr>
                <w:p w14:paraId="556952CC"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0.31</w:t>
                  </w:r>
                </w:p>
              </w:tc>
              <w:tc>
                <w:tcPr>
                  <w:tcW w:w="1000" w:type="pct"/>
                  <w:shd w:val="clear" w:color="auto" w:fill="auto"/>
                </w:tcPr>
                <w:p w14:paraId="449A44C9"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0.62</w:t>
                  </w:r>
                </w:p>
              </w:tc>
              <w:tc>
                <w:tcPr>
                  <w:tcW w:w="999" w:type="pct"/>
                  <w:shd w:val="clear" w:color="auto" w:fill="auto"/>
                </w:tcPr>
                <w:p w14:paraId="6D4DA357" w14:textId="77777777" w:rsidR="007720E8" w:rsidRPr="000F72CE" w:rsidRDefault="007720E8" w:rsidP="007720E8">
                  <w:pPr>
                    <w:pStyle w:val="TableBodyText"/>
                    <w:ind w:right="28"/>
                  </w:pPr>
                  <w:r w:rsidRPr="000F72CE">
                    <w:t>-12</w:t>
                  </w:r>
                </w:p>
              </w:tc>
            </w:tr>
            <w:tr w:rsidR="007720E8" w14:paraId="7F46B91F" w14:textId="77777777" w:rsidTr="007720E8">
              <w:tc>
                <w:tcPr>
                  <w:tcW w:w="1001" w:type="pct"/>
                </w:tcPr>
                <w:p w14:paraId="0FA52992" w14:textId="77777777" w:rsidR="007720E8" w:rsidRPr="00F7590B" w:rsidRDefault="007720E8" w:rsidP="007720E8">
                  <w:pPr>
                    <w:rPr>
                      <w:rFonts w:asciiTheme="minorHAnsi" w:hAnsiTheme="minorHAnsi" w:cstheme="minorHAnsi"/>
                      <w:sz w:val="18"/>
                      <w:szCs w:val="18"/>
                    </w:rPr>
                  </w:pPr>
                  <w:r w:rsidRPr="00F7590B">
                    <w:rPr>
                      <w:rFonts w:asciiTheme="minorHAnsi" w:hAnsiTheme="minorHAnsi" w:cstheme="minorHAnsi"/>
                      <w:sz w:val="18"/>
                      <w:szCs w:val="18"/>
                    </w:rPr>
                    <w:t>Financial and insurance services</w:t>
                  </w:r>
                </w:p>
              </w:tc>
              <w:tc>
                <w:tcPr>
                  <w:tcW w:w="1000" w:type="pct"/>
                  <w:gridSpan w:val="2"/>
                </w:tcPr>
                <w:p w14:paraId="4E389204"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-1.20</w:t>
                  </w:r>
                </w:p>
              </w:tc>
              <w:tc>
                <w:tcPr>
                  <w:tcW w:w="1000" w:type="pct"/>
                </w:tcPr>
                <w:p w14:paraId="6B468455"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-0.29</w:t>
                  </w:r>
                </w:p>
              </w:tc>
              <w:tc>
                <w:tcPr>
                  <w:tcW w:w="1000" w:type="pct"/>
                </w:tcPr>
                <w:p w14:paraId="0B4FABC4"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-1.50</w:t>
                  </w:r>
                </w:p>
              </w:tc>
              <w:tc>
                <w:tcPr>
                  <w:tcW w:w="999" w:type="pct"/>
                </w:tcPr>
                <w:p w14:paraId="0A7D2D7D" w14:textId="77777777" w:rsidR="007720E8" w:rsidRPr="000F72CE" w:rsidRDefault="007720E8" w:rsidP="007720E8">
                  <w:pPr>
                    <w:pStyle w:val="TableBodyText"/>
                    <w:ind w:right="28"/>
                  </w:pPr>
                  <w:r w:rsidRPr="000F72CE">
                    <w:t>29</w:t>
                  </w:r>
                </w:p>
              </w:tc>
            </w:tr>
            <w:tr w:rsidR="007720E8" w14:paraId="28BFD63A" w14:textId="77777777" w:rsidTr="007720E8">
              <w:tc>
                <w:tcPr>
                  <w:tcW w:w="1001" w:type="pct"/>
                </w:tcPr>
                <w:p w14:paraId="5738DA9D" w14:textId="77777777" w:rsidR="007720E8" w:rsidRPr="00F7590B" w:rsidRDefault="007720E8" w:rsidP="007720E8">
                  <w:pPr>
                    <w:rPr>
                      <w:rFonts w:asciiTheme="minorHAnsi" w:hAnsiTheme="minorHAnsi" w:cstheme="minorHAnsi"/>
                      <w:sz w:val="18"/>
                      <w:szCs w:val="18"/>
                    </w:rPr>
                  </w:pPr>
                  <w:r w:rsidRPr="00F7590B">
                    <w:rPr>
                      <w:rFonts w:asciiTheme="minorHAnsi" w:hAnsiTheme="minorHAnsi" w:cstheme="minorHAnsi"/>
                      <w:sz w:val="18"/>
                      <w:szCs w:val="18"/>
                    </w:rPr>
                    <w:t>Rental, hiring and real estate services</w:t>
                  </w:r>
                </w:p>
              </w:tc>
              <w:tc>
                <w:tcPr>
                  <w:tcW w:w="1000" w:type="pct"/>
                  <w:gridSpan w:val="2"/>
                </w:tcPr>
                <w:p w14:paraId="3B2798B8"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-0.12</w:t>
                  </w:r>
                </w:p>
              </w:tc>
              <w:tc>
                <w:tcPr>
                  <w:tcW w:w="1000" w:type="pct"/>
                </w:tcPr>
                <w:p w14:paraId="791AA2F5"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-0.18</w:t>
                  </w:r>
                </w:p>
              </w:tc>
              <w:tc>
                <w:tcPr>
                  <w:tcW w:w="1000" w:type="pct"/>
                </w:tcPr>
                <w:p w14:paraId="0DEA8239"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-0.30</w:t>
                  </w:r>
                </w:p>
              </w:tc>
              <w:tc>
                <w:tcPr>
                  <w:tcW w:w="999" w:type="pct"/>
                </w:tcPr>
                <w:p w14:paraId="789289DD" w14:textId="77777777" w:rsidR="007720E8" w:rsidRPr="000F72CE" w:rsidRDefault="007720E8" w:rsidP="007720E8">
                  <w:pPr>
                    <w:pStyle w:val="TableBodyText"/>
                    <w:ind w:right="28"/>
                  </w:pPr>
                  <w:r>
                    <w:t>6</w:t>
                  </w:r>
                </w:p>
              </w:tc>
            </w:tr>
            <w:tr w:rsidR="007720E8" w14:paraId="4113C3C3" w14:textId="77777777" w:rsidTr="007720E8">
              <w:tc>
                <w:tcPr>
                  <w:tcW w:w="1001" w:type="pct"/>
                </w:tcPr>
                <w:p w14:paraId="628A3B1F" w14:textId="77777777" w:rsidR="007720E8" w:rsidRPr="00F7590B" w:rsidRDefault="007720E8" w:rsidP="007720E8">
                  <w:pPr>
                    <w:rPr>
                      <w:rFonts w:asciiTheme="minorHAnsi" w:hAnsiTheme="minorHAnsi" w:cstheme="minorHAnsi"/>
                      <w:sz w:val="18"/>
                      <w:szCs w:val="18"/>
                    </w:rPr>
                  </w:pPr>
                  <w:r w:rsidRPr="00F7590B">
                    <w:rPr>
                      <w:rFonts w:asciiTheme="minorHAnsi" w:hAnsiTheme="minorHAnsi" w:cstheme="minorHAnsi"/>
                      <w:sz w:val="18"/>
                      <w:szCs w:val="18"/>
                    </w:rPr>
                    <w:t>Professional, scientific and technical services</w:t>
                  </w:r>
                </w:p>
              </w:tc>
              <w:tc>
                <w:tcPr>
                  <w:tcW w:w="1000" w:type="pct"/>
                  <w:gridSpan w:val="2"/>
                </w:tcPr>
                <w:p w14:paraId="6C0AFC1C"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-0.58</w:t>
                  </w:r>
                </w:p>
              </w:tc>
              <w:tc>
                <w:tcPr>
                  <w:tcW w:w="1000" w:type="pct"/>
                </w:tcPr>
                <w:p w14:paraId="7C76B4EE"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0.87</w:t>
                  </w:r>
                </w:p>
              </w:tc>
              <w:tc>
                <w:tcPr>
                  <w:tcW w:w="1000" w:type="pct"/>
                </w:tcPr>
                <w:p w14:paraId="71080AEA"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0.29</w:t>
                  </w:r>
                </w:p>
              </w:tc>
              <w:tc>
                <w:tcPr>
                  <w:tcW w:w="999" w:type="pct"/>
                </w:tcPr>
                <w:p w14:paraId="5C97A7F8" w14:textId="77777777" w:rsidR="007720E8" w:rsidRPr="000F72CE" w:rsidRDefault="007720E8" w:rsidP="007720E8">
                  <w:pPr>
                    <w:pStyle w:val="TableBodyText"/>
                    <w:ind w:right="28"/>
                  </w:pPr>
                  <w:r w:rsidRPr="000F72CE">
                    <w:t>-</w:t>
                  </w:r>
                  <w:r>
                    <w:t>6</w:t>
                  </w:r>
                </w:p>
              </w:tc>
            </w:tr>
            <w:tr w:rsidR="007720E8" w14:paraId="0397D866" w14:textId="77777777" w:rsidTr="007720E8">
              <w:tc>
                <w:tcPr>
                  <w:tcW w:w="1001" w:type="pct"/>
                </w:tcPr>
                <w:p w14:paraId="2E49F48B" w14:textId="77777777" w:rsidR="007720E8" w:rsidRPr="00F7590B" w:rsidRDefault="007720E8" w:rsidP="007720E8">
                  <w:pPr>
                    <w:rPr>
                      <w:rFonts w:asciiTheme="minorHAnsi" w:hAnsiTheme="minorHAnsi" w:cstheme="minorHAnsi"/>
                      <w:sz w:val="18"/>
                      <w:szCs w:val="18"/>
                    </w:rPr>
                  </w:pPr>
                  <w:r w:rsidRPr="00F7590B">
                    <w:rPr>
                      <w:rFonts w:asciiTheme="minorHAnsi" w:hAnsiTheme="minorHAnsi" w:cstheme="minorHAnsi"/>
                      <w:sz w:val="18"/>
                      <w:szCs w:val="18"/>
                    </w:rPr>
                    <w:t>Administrative and support services</w:t>
                  </w:r>
                </w:p>
              </w:tc>
              <w:tc>
                <w:tcPr>
                  <w:tcW w:w="1000" w:type="pct"/>
                  <w:gridSpan w:val="2"/>
                </w:tcPr>
                <w:p w14:paraId="66375721"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0.00</w:t>
                  </w:r>
                </w:p>
              </w:tc>
              <w:tc>
                <w:tcPr>
                  <w:tcW w:w="1000" w:type="pct"/>
                </w:tcPr>
                <w:p w14:paraId="741676A2"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0.61</w:t>
                  </w:r>
                </w:p>
              </w:tc>
              <w:tc>
                <w:tcPr>
                  <w:tcW w:w="1000" w:type="pct"/>
                </w:tcPr>
                <w:p w14:paraId="1CD22967"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0.61</w:t>
                  </w:r>
                </w:p>
              </w:tc>
              <w:tc>
                <w:tcPr>
                  <w:tcW w:w="999" w:type="pct"/>
                </w:tcPr>
                <w:p w14:paraId="458B1455" w14:textId="77777777" w:rsidR="007720E8" w:rsidRPr="000F72CE" w:rsidRDefault="007720E8" w:rsidP="007720E8">
                  <w:pPr>
                    <w:pStyle w:val="TableBodyText"/>
                    <w:ind w:right="28"/>
                  </w:pPr>
                  <w:r w:rsidRPr="000F72CE">
                    <w:t>-</w:t>
                  </w:r>
                  <w:r>
                    <w:t>12</w:t>
                  </w:r>
                </w:p>
              </w:tc>
            </w:tr>
            <w:tr w:rsidR="007720E8" w14:paraId="480A3FD5" w14:textId="77777777" w:rsidTr="007720E8">
              <w:tc>
                <w:tcPr>
                  <w:tcW w:w="1001" w:type="pct"/>
                </w:tcPr>
                <w:p w14:paraId="73557A86" w14:textId="77777777" w:rsidR="007720E8" w:rsidRPr="00F7590B" w:rsidRDefault="007720E8" w:rsidP="007720E8">
                  <w:pPr>
                    <w:rPr>
                      <w:rFonts w:asciiTheme="minorHAnsi" w:hAnsiTheme="minorHAnsi" w:cstheme="minorHAnsi"/>
                      <w:sz w:val="18"/>
                      <w:szCs w:val="18"/>
                    </w:rPr>
                  </w:pPr>
                  <w:r w:rsidRPr="00F7590B">
                    <w:rPr>
                      <w:rFonts w:asciiTheme="minorHAnsi" w:hAnsiTheme="minorHAnsi" w:cstheme="minorHAnsi"/>
                      <w:sz w:val="18"/>
                      <w:szCs w:val="18"/>
                    </w:rPr>
                    <w:t>Arts and recreation services</w:t>
                  </w:r>
                </w:p>
              </w:tc>
              <w:tc>
                <w:tcPr>
                  <w:tcW w:w="1000" w:type="pct"/>
                  <w:gridSpan w:val="2"/>
                </w:tcPr>
                <w:p w14:paraId="314A4CBC"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-0.01</w:t>
                  </w:r>
                </w:p>
              </w:tc>
              <w:tc>
                <w:tcPr>
                  <w:tcW w:w="1000" w:type="pct"/>
                </w:tcPr>
                <w:p w14:paraId="0A6E8B10"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-0.04</w:t>
                  </w:r>
                </w:p>
              </w:tc>
              <w:tc>
                <w:tcPr>
                  <w:tcW w:w="1000" w:type="pct"/>
                </w:tcPr>
                <w:p w14:paraId="4DD99238" w14:textId="77777777" w:rsidR="007720E8" w:rsidRPr="00B06AAC" w:rsidRDefault="007720E8" w:rsidP="007720E8">
                  <w:pPr>
                    <w:pStyle w:val="TableBodyText"/>
                    <w:rPr>
                      <w:rFonts w:asciiTheme="minorHAnsi" w:hAnsiTheme="minorHAnsi" w:cstheme="minorHAnsi"/>
                      <w:szCs w:val="18"/>
                    </w:rPr>
                  </w:pPr>
                  <w:r w:rsidRPr="00B06AAC">
                    <w:rPr>
                      <w:rFonts w:asciiTheme="minorHAnsi" w:hAnsiTheme="minorHAnsi" w:cstheme="minorHAnsi"/>
                      <w:szCs w:val="18"/>
                    </w:rPr>
                    <w:t>-0.05</w:t>
                  </w:r>
                </w:p>
              </w:tc>
              <w:tc>
                <w:tcPr>
                  <w:tcW w:w="999" w:type="pct"/>
                </w:tcPr>
                <w:p w14:paraId="2ECB4B08" w14:textId="77777777" w:rsidR="007720E8" w:rsidRDefault="007720E8" w:rsidP="007720E8">
                  <w:pPr>
                    <w:pStyle w:val="TableBodyText"/>
                    <w:ind w:right="28"/>
                  </w:pPr>
                  <w:r w:rsidRPr="000F72CE">
                    <w:t>1</w:t>
                  </w:r>
                </w:p>
              </w:tc>
            </w:tr>
            <w:tr w:rsidR="007720E8" w14:paraId="2EB74557" w14:textId="77777777" w:rsidTr="007720E8">
              <w:tc>
                <w:tcPr>
                  <w:tcW w:w="1001" w:type="pct"/>
                </w:tcPr>
                <w:p w14:paraId="4C3FA49F" w14:textId="77777777" w:rsidR="007720E8" w:rsidRPr="00F7590B" w:rsidRDefault="007720E8" w:rsidP="007720E8">
                  <w:pPr>
                    <w:rPr>
                      <w:rFonts w:asciiTheme="minorHAnsi" w:hAnsiTheme="minorHAnsi" w:cstheme="minorHAnsi"/>
                      <w:sz w:val="18"/>
                      <w:szCs w:val="18"/>
                    </w:rPr>
                  </w:pPr>
                  <w:r w:rsidRPr="00F7590B">
                    <w:rPr>
                      <w:rFonts w:asciiTheme="minorHAnsi" w:hAnsiTheme="minorHAnsi" w:cstheme="minorHAnsi"/>
                      <w:sz w:val="18"/>
                      <w:szCs w:val="18"/>
                    </w:rPr>
                    <w:t>Other services</w:t>
                  </w:r>
                </w:p>
              </w:tc>
              <w:tc>
                <w:tcPr>
                  <w:tcW w:w="1000" w:type="pct"/>
                  <w:gridSpan w:val="2"/>
                </w:tcPr>
                <w:p w14:paraId="409B4439" w14:textId="77777777" w:rsidR="007720E8" w:rsidRPr="00F7590B" w:rsidRDefault="007720E8" w:rsidP="007720E8">
                  <w:pPr>
                    <w:pStyle w:val="TableBodyText"/>
                    <w:rPr>
                      <w:rFonts w:asciiTheme="minorHAnsi" w:hAnsiTheme="minorHAnsi" w:cstheme="minorHAnsi"/>
                      <w:szCs w:val="18"/>
                    </w:rPr>
                  </w:pPr>
                  <w:r>
                    <w:rPr>
                      <w:rFonts w:asciiTheme="minorHAnsi" w:hAnsiTheme="minorHAnsi" w:cstheme="minorHAnsi"/>
                      <w:szCs w:val="18"/>
                    </w:rPr>
                    <w:t>0.08</w:t>
                  </w:r>
                </w:p>
              </w:tc>
              <w:tc>
                <w:tcPr>
                  <w:tcW w:w="1000" w:type="pct"/>
                </w:tcPr>
                <w:p w14:paraId="1F951E18" w14:textId="77777777" w:rsidR="007720E8" w:rsidRPr="00F7590B" w:rsidRDefault="007720E8" w:rsidP="007720E8">
                  <w:pPr>
                    <w:pStyle w:val="TableBodyText"/>
                    <w:rPr>
                      <w:rFonts w:asciiTheme="minorHAnsi" w:hAnsiTheme="minorHAnsi" w:cstheme="minorHAnsi"/>
                      <w:szCs w:val="18"/>
                    </w:rPr>
                  </w:pPr>
                  <w:r>
                    <w:rPr>
                      <w:rFonts w:asciiTheme="minorHAnsi" w:hAnsiTheme="minorHAnsi" w:cstheme="minorHAnsi"/>
                      <w:szCs w:val="18"/>
                    </w:rPr>
                    <w:t>-0.09</w:t>
                  </w:r>
                </w:p>
              </w:tc>
              <w:tc>
                <w:tcPr>
                  <w:tcW w:w="1000" w:type="pct"/>
                </w:tcPr>
                <w:p w14:paraId="36B03AF6" w14:textId="77777777" w:rsidR="007720E8" w:rsidRPr="00F7590B" w:rsidRDefault="007720E8" w:rsidP="007720E8">
                  <w:pPr>
                    <w:pStyle w:val="TableBodyText"/>
                    <w:rPr>
                      <w:rFonts w:asciiTheme="minorHAnsi" w:hAnsiTheme="minorHAnsi" w:cstheme="minorHAnsi"/>
                      <w:szCs w:val="18"/>
                    </w:rPr>
                  </w:pPr>
                  <w:r>
                    <w:rPr>
                      <w:rFonts w:asciiTheme="minorHAnsi" w:hAnsiTheme="minorHAnsi" w:cstheme="minorHAnsi"/>
                      <w:szCs w:val="18"/>
                    </w:rPr>
                    <w:t>-0.01</w:t>
                  </w:r>
                </w:p>
              </w:tc>
              <w:tc>
                <w:tcPr>
                  <w:tcW w:w="999" w:type="pct"/>
                </w:tcPr>
                <w:p w14:paraId="21D2CAB5" w14:textId="77777777" w:rsidR="007720E8" w:rsidRPr="00D14E5D" w:rsidRDefault="007720E8" w:rsidP="007720E8">
                  <w:pPr>
                    <w:pStyle w:val="TableBodyText"/>
                    <w:ind w:right="28"/>
                  </w:pPr>
                  <w:r>
                    <w:t>0</w:t>
                  </w:r>
                </w:p>
              </w:tc>
            </w:tr>
            <w:tr w:rsidR="007720E8" w14:paraId="210B8C38" w14:textId="77777777" w:rsidTr="007720E8">
              <w:tc>
                <w:tcPr>
                  <w:tcW w:w="1001" w:type="pct"/>
                </w:tcPr>
                <w:p w14:paraId="47EBEE4D" w14:textId="77777777" w:rsidR="007720E8" w:rsidRPr="00F7590B" w:rsidRDefault="007720E8" w:rsidP="007720E8">
                  <w:pPr>
                    <w:rPr>
                      <w:rFonts w:asciiTheme="minorHAnsi" w:hAnsiTheme="minorHAnsi" w:cstheme="minorHAnsi"/>
                      <w:b/>
                      <w:sz w:val="18"/>
                      <w:szCs w:val="18"/>
                    </w:rPr>
                  </w:pPr>
                  <w:r w:rsidRPr="00F7590B">
                    <w:rPr>
                      <w:rFonts w:asciiTheme="minorHAnsi" w:hAnsiTheme="minorHAnsi" w:cstheme="minorHAnsi"/>
                      <w:b/>
                      <w:sz w:val="18"/>
                      <w:szCs w:val="18"/>
                    </w:rPr>
                    <w:t>Market sector total</w:t>
                  </w:r>
                </w:p>
              </w:tc>
              <w:tc>
                <w:tcPr>
                  <w:tcW w:w="1000" w:type="pct"/>
                  <w:gridSpan w:val="2"/>
                </w:tcPr>
                <w:p w14:paraId="4121D5B1"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-2.95</w:t>
                  </w:r>
                </w:p>
              </w:tc>
              <w:tc>
                <w:tcPr>
                  <w:tcW w:w="1000" w:type="pct"/>
                </w:tcPr>
                <w:p w14:paraId="4A0FB959"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-2.19</w:t>
                  </w:r>
                </w:p>
              </w:tc>
              <w:tc>
                <w:tcPr>
                  <w:tcW w:w="1000" w:type="pct"/>
                </w:tcPr>
                <w:p w14:paraId="58466133" w14:textId="77777777" w:rsidR="007720E8" w:rsidRPr="00F7590B" w:rsidRDefault="007720E8" w:rsidP="007720E8">
                  <w:pPr>
                    <w:pStyle w:val="TableBodyText"/>
                    <w:rPr>
                      <w:rFonts w:asciiTheme="minorHAnsi" w:hAnsiTheme="minorHAnsi" w:cstheme="minorHAnsi"/>
                      <w:szCs w:val="18"/>
                    </w:rPr>
                  </w:pPr>
                  <w:r w:rsidRPr="00F7590B">
                    <w:rPr>
                      <w:rFonts w:asciiTheme="minorHAnsi" w:hAnsiTheme="minorHAnsi" w:cstheme="minorHAnsi"/>
                      <w:szCs w:val="18"/>
                    </w:rPr>
                    <w:t>-5.14</w:t>
                  </w:r>
                </w:p>
              </w:tc>
              <w:tc>
                <w:tcPr>
                  <w:tcW w:w="999" w:type="pct"/>
                </w:tcPr>
                <w:p w14:paraId="1F0BC183" w14:textId="77777777" w:rsidR="007720E8" w:rsidRDefault="007720E8" w:rsidP="007720E8">
                  <w:pPr>
                    <w:pStyle w:val="TableBodyText"/>
                    <w:ind w:right="28"/>
                  </w:pPr>
                  <w:r w:rsidRPr="00565FA7">
                    <w:t>1</w:t>
                  </w:r>
                  <w:r w:rsidRPr="00F7590B">
                    <w:t>00</w:t>
                  </w:r>
                </w:p>
              </w:tc>
            </w:tr>
          </w:tbl>
          <w:p w14:paraId="530EFAB6" w14:textId="77777777" w:rsidR="007720E8" w:rsidRDefault="007720E8" w:rsidP="007720E8">
            <w:pPr>
              <w:pStyle w:val="Box"/>
            </w:pPr>
          </w:p>
        </w:tc>
      </w:tr>
      <w:tr w:rsidR="007720E8" w14:paraId="2176E15C" w14:textId="77777777" w:rsidTr="007720E8">
        <w:tc>
          <w:tcPr>
            <w:tcW w:w="5000" w:type="pct"/>
            <w:tcBorders>
              <w:top w:val="nil"/>
              <w:left w:val="nil"/>
              <w:bottom w:val="nil"/>
              <w:right w:val="nil"/>
            </w:tcBorders>
            <w:shd w:val="clear" w:color="auto" w:fill="auto"/>
          </w:tcPr>
          <w:p w14:paraId="3B9014B3" w14:textId="77777777" w:rsidR="007720E8" w:rsidRDefault="007720E8" w:rsidP="007720E8">
            <w:pPr>
              <w:pStyle w:val="Source"/>
            </w:pPr>
            <w:r>
              <w:rPr>
                <w:i/>
              </w:rPr>
              <w:t>Source(s)</w:t>
            </w:r>
            <w:r w:rsidRPr="00167F06">
              <w:t xml:space="preserve">: </w:t>
            </w:r>
            <w:r>
              <w:t xml:space="preserve">Commission estimates using ABS (2019, </w:t>
            </w:r>
            <w:r w:rsidRPr="002143D5">
              <w:rPr>
                <w:i/>
              </w:rPr>
              <w:t>Estimates of Industry Multifactor Productivity, 201</w:t>
            </w:r>
            <w:r>
              <w:rPr>
                <w:i/>
              </w:rPr>
              <w:t>8</w:t>
            </w:r>
            <w:r w:rsidRPr="002143D5">
              <w:rPr>
                <w:i/>
              </w:rPr>
              <w:t>-1</w:t>
            </w:r>
            <w:r>
              <w:rPr>
                <w:i/>
              </w:rPr>
              <w:t>9</w:t>
            </w:r>
            <w:r>
              <w:t>, Cat. no. </w:t>
            </w:r>
            <w:r w:rsidRPr="002143D5">
              <w:t>5260.0.55.002</w:t>
            </w:r>
            <w:r>
              <w:t>, Tables 1–19)</w:t>
            </w:r>
          </w:p>
        </w:tc>
      </w:tr>
      <w:tr w:rsidR="007720E8" w14:paraId="4E75BE06" w14:textId="77777777" w:rsidTr="007720E8">
        <w:tc>
          <w:tcPr>
            <w:tcW w:w="5000" w:type="pct"/>
            <w:tcBorders>
              <w:top w:val="nil"/>
              <w:left w:val="nil"/>
              <w:bottom w:val="single" w:sz="6" w:space="0" w:color="78A22F"/>
              <w:right w:val="nil"/>
            </w:tcBorders>
            <w:shd w:val="clear" w:color="auto" w:fill="auto"/>
          </w:tcPr>
          <w:p w14:paraId="68B04C8D" w14:textId="77777777" w:rsidR="007720E8" w:rsidRDefault="007720E8" w:rsidP="007720E8">
            <w:pPr>
              <w:pStyle w:val="Box"/>
              <w:spacing w:before="0" w:line="120" w:lineRule="exact"/>
            </w:pPr>
          </w:p>
        </w:tc>
      </w:tr>
      <w:tr w:rsidR="007720E8" w:rsidRPr="000863A5" w14:paraId="44A60F95" w14:textId="77777777" w:rsidTr="007720E8">
        <w:tc>
          <w:tcPr>
            <w:tcW w:w="5000" w:type="pct"/>
            <w:tcBorders>
              <w:top w:val="single" w:sz="6" w:space="0" w:color="78A22F"/>
              <w:left w:val="nil"/>
              <w:bottom w:val="nil"/>
              <w:right w:val="nil"/>
            </w:tcBorders>
          </w:tcPr>
          <w:p w14:paraId="1607CF3D" w14:textId="77777777" w:rsidR="007720E8" w:rsidRPr="00626D32" w:rsidRDefault="007720E8" w:rsidP="007720E8">
            <w:pPr>
              <w:pStyle w:val="BoxSpaceBelow"/>
            </w:pPr>
          </w:p>
        </w:tc>
      </w:tr>
    </w:tbl>
    <w:p w14:paraId="743A710C" w14:textId="77777777" w:rsidR="007720E8" w:rsidRPr="007720E8" w:rsidRDefault="007720E8" w:rsidP="007720E8">
      <w:pPr>
        <w:pStyle w:val="BodyText"/>
      </w:pPr>
    </w:p>
    <w:p w14:paraId="55291CF1" w14:textId="77777777" w:rsidR="007720E8" w:rsidRPr="007720E8" w:rsidRDefault="007720E8" w:rsidP="007720E8">
      <w:pPr>
        <w:pStyle w:val="BodyText"/>
      </w:pPr>
      <w:r w:rsidRPr="007720E8">
        <w:br w:type="page"/>
      </w:r>
    </w:p>
    <w:p w14:paraId="4192C1D2" w14:textId="010FC5EF" w:rsidR="00D434A0" w:rsidRDefault="007834C8" w:rsidP="007834C8">
      <w:pPr>
        <w:pStyle w:val="Heading1"/>
      </w:pPr>
      <w:r>
        <w:t>References</w:t>
      </w:r>
      <w:bookmarkEnd w:id="20"/>
    </w:p>
    <w:p w14:paraId="0CFA45EA" w14:textId="77777777" w:rsidR="00EF685B" w:rsidRPr="00EF685B" w:rsidRDefault="00EF685B" w:rsidP="00EF685B">
      <w:pPr>
        <w:pStyle w:val="Reference"/>
        <w:spacing w:before="80"/>
      </w:pPr>
      <w:r w:rsidRPr="00EF685B">
        <w:t xml:space="preserve">ABS (Australian Bureau of Statistics) 2018a, </w:t>
      </w:r>
      <w:r w:rsidRPr="00EF685B">
        <w:rPr>
          <w:i/>
          <w:iCs/>
        </w:rPr>
        <w:t>Australian System of National Accounts</w:t>
      </w:r>
      <w:r w:rsidRPr="00EF685B">
        <w:t>, Cat. no. 5204.0, Canberra.</w:t>
      </w:r>
    </w:p>
    <w:p w14:paraId="7858E584" w14:textId="3448618E" w:rsidR="00EF685B" w:rsidRPr="00EF685B" w:rsidRDefault="00EF685B" w:rsidP="00EF685B">
      <w:pPr>
        <w:pStyle w:val="Reference"/>
        <w:spacing w:before="80"/>
      </w:pPr>
      <w:r w:rsidRPr="00EF685B">
        <w:t>——</w:t>
      </w:r>
      <w:r>
        <w:t> </w:t>
      </w:r>
      <w:r w:rsidRPr="00EF685B">
        <w:t xml:space="preserve">2018b, </w:t>
      </w:r>
      <w:r w:rsidRPr="00EF685B">
        <w:rPr>
          <w:i/>
          <w:iCs/>
        </w:rPr>
        <w:t>Participation, Job Search and Mobility, Australia, February 2018</w:t>
      </w:r>
      <w:r w:rsidRPr="00EF685B">
        <w:t>, Cat. no. 6226.0, Canberra.</w:t>
      </w:r>
    </w:p>
    <w:p w14:paraId="0569EC0C" w14:textId="60EEC362" w:rsidR="00EF685B" w:rsidRPr="00EF685B" w:rsidRDefault="00EF685B" w:rsidP="00EF685B">
      <w:pPr>
        <w:pStyle w:val="Reference"/>
        <w:spacing w:before="80"/>
      </w:pPr>
      <w:r w:rsidRPr="00EF685B">
        <w:t>——</w:t>
      </w:r>
      <w:r>
        <w:t> </w:t>
      </w:r>
      <w:r w:rsidRPr="00EF685B">
        <w:t xml:space="preserve">2019a, </w:t>
      </w:r>
      <w:r w:rsidRPr="00EF685B">
        <w:rPr>
          <w:i/>
          <w:iCs/>
        </w:rPr>
        <w:t>Australian Demographic Statistics, March 2019</w:t>
      </w:r>
      <w:r w:rsidRPr="00EF685B">
        <w:t>, Cat. No. 3101.0.</w:t>
      </w:r>
    </w:p>
    <w:p w14:paraId="4B913BD6" w14:textId="6AF0A90E" w:rsidR="00EF685B" w:rsidRPr="00EF685B" w:rsidRDefault="00EF685B" w:rsidP="00EF685B">
      <w:pPr>
        <w:pStyle w:val="Reference"/>
        <w:spacing w:before="80"/>
      </w:pPr>
      <w:r w:rsidRPr="00EF685B">
        <w:t>——</w:t>
      </w:r>
      <w:r>
        <w:t> </w:t>
      </w:r>
      <w:r w:rsidRPr="00EF685B">
        <w:t xml:space="preserve">2019b, </w:t>
      </w:r>
      <w:r w:rsidRPr="00EF685B">
        <w:rPr>
          <w:i/>
          <w:iCs/>
        </w:rPr>
        <w:t>Australian National Accounts: National Income, Expenditure and Product, Sep 2019</w:t>
      </w:r>
      <w:r w:rsidRPr="00EF685B">
        <w:t>, Cat. no. 5206.0.</w:t>
      </w:r>
    </w:p>
    <w:p w14:paraId="1DB1526B" w14:textId="6429BAE9" w:rsidR="00EF685B" w:rsidRPr="00EF685B" w:rsidRDefault="00EF685B" w:rsidP="00EF685B">
      <w:pPr>
        <w:pStyle w:val="Reference"/>
        <w:spacing w:before="80"/>
      </w:pPr>
      <w:r w:rsidRPr="00EF685B">
        <w:t>——</w:t>
      </w:r>
      <w:r>
        <w:t> </w:t>
      </w:r>
      <w:r w:rsidRPr="00EF685B">
        <w:t xml:space="preserve">2019c, </w:t>
      </w:r>
      <w:r w:rsidRPr="00EF685B">
        <w:rPr>
          <w:i/>
          <w:iCs/>
        </w:rPr>
        <w:t>Australian System of National Accounts, 2018-19</w:t>
      </w:r>
      <w:r w:rsidRPr="00EF685B">
        <w:t>, Cat. no. 5204.0, Canberra.</w:t>
      </w:r>
    </w:p>
    <w:p w14:paraId="36B385E6" w14:textId="50720D7F" w:rsidR="00EF685B" w:rsidRPr="00EF685B" w:rsidRDefault="00EF685B" w:rsidP="00EF685B">
      <w:pPr>
        <w:pStyle w:val="Reference"/>
        <w:spacing w:before="80"/>
      </w:pPr>
      <w:r w:rsidRPr="00EF685B">
        <w:t>——</w:t>
      </w:r>
      <w:r>
        <w:t> </w:t>
      </w:r>
      <w:r w:rsidRPr="00EF685B">
        <w:t xml:space="preserve">2019d, </w:t>
      </w:r>
      <w:r w:rsidRPr="00EF685B">
        <w:rPr>
          <w:i/>
          <w:iCs/>
        </w:rPr>
        <w:t>Estimates of Industry Multifactor Productivity, 2018-19</w:t>
      </w:r>
      <w:r w:rsidRPr="00EF685B">
        <w:t>, Cat. no. 5260.0.55.002, Canberra.</w:t>
      </w:r>
    </w:p>
    <w:p w14:paraId="202496C8" w14:textId="4201929A" w:rsidR="00EF685B" w:rsidRPr="00EF685B" w:rsidRDefault="00EF685B" w:rsidP="00EF685B">
      <w:pPr>
        <w:pStyle w:val="Reference"/>
        <w:spacing w:before="80"/>
      </w:pPr>
      <w:r w:rsidRPr="00EF685B">
        <w:t>——</w:t>
      </w:r>
      <w:r>
        <w:t> </w:t>
      </w:r>
      <w:r w:rsidRPr="00EF685B">
        <w:t xml:space="preserve">2019e, </w:t>
      </w:r>
      <w:r w:rsidRPr="00EF685B">
        <w:rPr>
          <w:i/>
          <w:iCs/>
        </w:rPr>
        <w:t>Job Vacancies, Australia, Aug 2019</w:t>
      </w:r>
      <w:r w:rsidRPr="00EF685B">
        <w:t>, Cat. no. 6354.0, Canberra.</w:t>
      </w:r>
    </w:p>
    <w:p w14:paraId="36B94269" w14:textId="38ECAEDA" w:rsidR="00EF685B" w:rsidRPr="00EF685B" w:rsidRDefault="00EF685B" w:rsidP="00EF685B">
      <w:pPr>
        <w:pStyle w:val="Reference"/>
        <w:spacing w:before="80"/>
      </w:pPr>
      <w:r w:rsidRPr="00EF685B">
        <w:t>——</w:t>
      </w:r>
      <w:r>
        <w:t> </w:t>
      </w:r>
      <w:r w:rsidRPr="00EF685B">
        <w:t xml:space="preserve">2019f, </w:t>
      </w:r>
      <w:r w:rsidRPr="00EF685B">
        <w:rPr>
          <w:i/>
          <w:iCs/>
        </w:rPr>
        <w:t>Labour Force, Australia, Oct 2019</w:t>
      </w:r>
      <w:r w:rsidRPr="00EF685B">
        <w:t>, Cat. no. 6202.0.</w:t>
      </w:r>
    </w:p>
    <w:p w14:paraId="7C35821E" w14:textId="57ABC76E" w:rsidR="00EF685B" w:rsidRPr="00EF685B" w:rsidRDefault="00EF685B" w:rsidP="00EF685B">
      <w:pPr>
        <w:pStyle w:val="Reference"/>
        <w:spacing w:before="80"/>
      </w:pPr>
      <w:r w:rsidRPr="00EF685B">
        <w:t xml:space="preserve">AIHW (Australian Institute of Health and Welfare) 2019, </w:t>
      </w:r>
      <w:r w:rsidRPr="00EF685B">
        <w:rPr>
          <w:i/>
          <w:iCs/>
        </w:rPr>
        <w:t>General Record of Incidence of Mortality (GRIM) data</w:t>
      </w:r>
      <w:r w:rsidRPr="00EF685B">
        <w:t>, https://www.aihw.gov.au/reports/life-expectancy-deaths/grim-books/contents/general-record-of-incidence-of-mortality-grim-data (accessed 12 November 2019).</w:t>
      </w:r>
    </w:p>
    <w:p w14:paraId="2BCDC025" w14:textId="59E7523F" w:rsidR="00EF685B" w:rsidRPr="00EF685B" w:rsidRDefault="00EF685B" w:rsidP="00EF685B">
      <w:pPr>
        <w:pStyle w:val="Reference"/>
        <w:spacing w:before="80"/>
      </w:pPr>
      <w:r w:rsidRPr="00EF685B">
        <w:t xml:space="preserve">Andrews, D., Criscuolo, C. and Gal, P. 2015, </w:t>
      </w:r>
      <w:r w:rsidRPr="00EF685B">
        <w:rPr>
          <w:i/>
          <w:iCs/>
        </w:rPr>
        <w:t>Frontier firms, technology diffusion and public policy: Micro evidence from OECD countries</w:t>
      </w:r>
      <w:r w:rsidRPr="00EF685B">
        <w:t>, Working Paper, 2, OECD Publishing.</w:t>
      </w:r>
    </w:p>
    <w:p w14:paraId="0F51200A" w14:textId="77777777" w:rsidR="00EF685B" w:rsidRPr="00EF685B" w:rsidRDefault="00EF685B" w:rsidP="00EF685B">
      <w:pPr>
        <w:pStyle w:val="Reference"/>
        <w:spacing w:before="80"/>
      </w:pPr>
      <w:r w:rsidRPr="00EF685B">
        <w:t xml:space="preserve">Andrews, D., Deutscher, N., Hambur, J. and David, H. 2019, </w:t>
      </w:r>
      <w:r w:rsidRPr="00EF685B">
        <w:rPr>
          <w:i/>
          <w:iCs/>
        </w:rPr>
        <w:t>Wage Growth in Australia: Lessons from Longitudinal Microdata</w:t>
      </w:r>
      <w:r w:rsidRPr="00EF685B">
        <w:t>, Treasury.</w:t>
      </w:r>
    </w:p>
    <w:p w14:paraId="3646D5E2" w14:textId="61844C67" w:rsidR="00EF685B" w:rsidRPr="00EF685B" w:rsidRDefault="00EF685B" w:rsidP="00EF685B">
      <w:pPr>
        <w:pStyle w:val="Reference"/>
        <w:spacing w:before="80"/>
      </w:pPr>
      <w:r w:rsidRPr="00EF685B">
        <w:t xml:space="preserve">Barnes, P. and McClure, A. 2009, </w:t>
      </w:r>
      <w:r w:rsidRPr="00EF685B">
        <w:rPr>
          <w:i/>
          <w:iCs/>
        </w:rPr>
        <w:t>Investments in Intangible Assets and Australia’s Productivity Growth</w:t>
      </w:r>
      <w:r w:rsidRPr="00EF685B">
        <w:t>, Productivity Com</w:t>
      </w:r>
      <w:r w:rsidR="00196A42">
        <w:t>m</w:t>
      </w:r>
      <w:r w:rsidRPr="00EF685B">
        <w:t>ission Staff Working Paper, Canberra.</w:t>
      </w:r>
    </w:p>
    <w:p w14:paraId="5688060F" w14:textId="5B8AFEB2" w:rsidR="00EF685B" w:rsidRPr="00EF685B" w:rsidRDefault="00EF685B" w:rsidP="00EF685B">
      <w:pPr>
        <w:pStyle w:val="Reference"/>
        <w:spacing w:before="80"/>
      </w:pPr>
      <w:r w:rsidRPr="00EF685B">
        <w:t xml:space="preserve">Baumol, W. 2013, </w:t>
      </w:r>
      <w:r w:rsidRPr="00EF685B">
        <w:rPr>
          <w:i/>
          <w:iCs/>
        </w:rPr>
        <w:t>The Cost Disease: Why Computers Get Cheaper and Health Care Doesn’t</w:t>
      </w:r>
      <w:r w:rsidRPr="00EF685B">
        <w:t>, Yale University Press.</w:t>
      </w:r>
    </w:p>
    <w:p w14:paraId="3B5D47D0" w14:textId="77777777" w:rsidR="00EF685B" w:rsidRPr="00EF685B" w:rsidRDefault="00EF685B" w:rsidP="00EF685B">
      <w:pPr>
        <w:pStyle w:val="Reference"/>
        <w:spacing w:before="80"/>
      </w:pPr>
      <w:r w:rsidRPr="00EF685B">
        <w:t xml:space="preserve">Bergeaud, A., Cette, G. and Lecat, R. 2016, ‘Productivity Trends in Advanced Countries between 1890 and 2012’, </w:t>
      </w:r>
      <w:r w:rsidRPr="00EF685B">
        <w:rPr>
          <w:i/>
          <w:iCs/>
        </w:rPr>
        <w:t>Review of Income and Wealth</w:t>
      </w:r>
      <w:r w:rsidRPr="00EF685B">
        <w:t>, vol. 62, no. 3, pp. 420–444.</w:t>
      </w:r>
    </w:p>
    <w:p w14:paraId="0498D2A7" w14:textId="77777777" w:rsidR="00EF685B" w:rsidRPr="00EF685B" w:rsidRDefault="00EF685B" w:rsidP="00EF685B">
      <w:pPr>
        <w:pStyle w:val="Reference"/>
        <w:spacing w:before="80"/>
      </w:pPr>
      <w:r w:rsidRPr="00EF685B">
        <w:t xml:space="preserve">Bishop, J. and Chan, I. 2019, </w:t>
      </w:r>
      <w:r w:rsidRPr="00EF685B">
        <w:rPr>
          <w:i/>
          <w:iCs/>
        </w:rPr>
        <w:t>Is Declining Union Membership Contributing to Low Wages Growth?</w:t>
      </w:r>
      <w:r w:rsidRPr="00EF685B">
        <w:t>, Research Discussion Paper, 2019–02, Reserve Bank of Australia, Sydney.</w:t>
      </w:r>
    </w:p>
    <w:p w14:paraId="75D60D35" w14:textId="77777777" w:rsidR="00EF685B" w:rsidRPr="00EF685B" w:rsidRDefault="00EF685B" w:rsidP="00EF685B">
      <w:pPr>
        <w:pStyle w:val="Reference"/>
        <w:spacing w:before="80"/>
      </w:pPr>
      <w:r w:rsidRPr="00EF685B">
        <w:t xml:space="preserve">Borland, J. 2017, ‘Workers are Actually Feeling Less Insecure in Their Jobs’, </w:t>
      </w:r>
      <w:r w:rsidRPr="00EF685B">
        <w:rPr>
          <w:i/>
          <w:iCs/>
        </w:rPr>
        <w:t>The Conversation</w:t>
      </w:r>
      <w:r w:rsidRPr="00EF685B">
        <w:t>.</w:t>
      </w:r>
    </w:p>
    <w:p w14:paraId="2FC5A177" w14:textId="77777777" w:rsidR="00EF685B" w:rsidRPr="00EF685B" w:rsidRDefault="00EF685B" w:rsidP="00EF685B">
      <w:pPr>
        <w:pStyle w:val="Reference"/>
        <w:spacing w:before="80"/>
      </w:pPr>
      <w:r w:rsidRPr="00EF685B">
        <w:t>Brell, C. and Dustmann, C. 2019, ‘Immigration and Wage Growth: The Case of Australia’, presented at Reserve Bank of Australia Low Wage Conference, Sydney, 4 April.</w:t>
      </w:r>
    </w:p>
    <w:p w14:paraId="4BD02BC5" w14:textId="77777777" w:rsidR="00EF685B" w:rsidRPr="00EF685B" w:rsidRDefault="00EF685B" w:rsidP="00EF685B">
      <w:pPr>
        <w:pStyle w:val="Reference"/>
        <w:spacing w:before="80"/>
      </w:pPr>
      <w:r w:rsidRPr="00EF685B">
        <w:t xml:space="preserve">Breunig, B., Deutscher, N. and To, H. 2017, ‘The Relationship between Immigration to Australia and the Labour Market Outcomes of Australian‐Born Workers’, </w:t>
      </w:r>
      <w:r w:rsidRPr="00EF685B">
        <w:rPr>
          <w:i/>
          <w:iCs/>
        </w:rPr>
        <w:t>Economic Record</w:t>
      </w:r>
      <w:r w:rsidRPr="00EF685B">
        <w:t>, vol. 93, no. 301, pp. 255–276.</w:t>
      </w:r>
    </w:p>
    <w:p w14:paraId="0C2C00BB" w14:textId="77777777" w:rsidR="00EF685B" w:rsidRPr="00EF685B" w:rsidRDefault="00EF685B" w:rsidP="00EF685B">
      <w:pPr>
        <w:pStyle w:val="Reference"/>
        <w:spacing w:before="80"/>
      </w:pPr>
      <w:r w:rsidRPr="00EF685B">
        <w:t>Cassidy, N. 2019, ‘Low Wages Growth in Australia – An Overview’, presented at Low Wages Conference, Sydney, Reserve Bank of Australia.</w:t>
      </w:r>
    </w:p>
    <w:p w14:paraId="0F24C973" w14:textId="77777777" w:rsidR="00EF685B" w:rsidRPr="00EF685B" w:rsidRDefault="00EF685B" w:rsidP="00EF685B">
      <w:pPr>
        <w:pStyle w:val="Reference"/>
        <w:spacing w:before="80"/>
      </w:pPr>
      <w:r w:rsidRPr="00EF685B">
        <w:t xml:space="preserve">Coelli, M. and Borland, J. 2016, ‘Job Polarisation and Earnings Inequality in Australia’, </w:t>
      </w:r>
      <w:r w:rsidRPr="00EF685B">
        <w:rPr>
          <w:i/>
          <w:iCs/>
        </w:rPr>
        <w:t>Economic Record</w:t>
      </w:r>
      <w:r w:rsidRPr="00EF685B">
        <w:t>, vol. 92, no. 296, pp. 1–27.</w:t>
      </w:r>
    </w:p>
    <w:p w14:paraId="1150E725" w14:textId="77777777" w:rsidR="00EF685B" w:rsidRPr="00EF685B" w:rsidRDefault="00EF685B" w:rsidP="00EF685B">
      <w:pPr>
        <w:pStyle w:val="Reference"/>
        <w:spacing w:before="80"/>
      </w:pPr>
      <w:r w:rsidRPr="00EF685B">
        <w:t xml:space="preserve">Connolly, E. and Orsmond, D. 2011, </w:t>
      </w:r>
      <w:r w:rsidRPr="00EF685B">
        <w:rPr>
          <w:i/>
          <w:iCs/>
        </w:rPr>
        <w:t>The mining industry: from boom to bust</w:t>
      </w:r>
      <w:r w:rsidRPr="00EF685B">
        <w:t>, Research Discussion Paper, Reserve Bank of Australia.</w:t>
      </w:r>
    </w:p>
    <w:p w14:paraId="67C029EA" w14:textId="77777777" w:rsidR="00EF685B" w:rsidRPr="00EF685B" w:rsidRDefault="00EF685B" w:rsidP="00EF685B">
      <w:pPr>
        <w:pStyle w:val="Reference"/>
        <w:spacing w:before="80"/>
      </w:pPr>
      <w:r w:rsidRPr="00EF685B">
        <w:t xml:space="preserve">Corrado, C., Hulten, C. and Sichel, D. 2009, ‘Intangible capital and U.S. economic growth’, </w:t>
      </w:r>
      <w:r w:rsidRPr="00EF685B">
        <w:rPr>
          <w:i/>
          <w:iCs/>
        </w:rPr>
        <w:t>The Review of Income and Wealth</w:t>
      </w:r>
      <w:r w:rsidRPr="00EF685B">
        <w:t>, vol. 55, no. 3, pp. 661–685.</w:t>
      </w:r>
    </w:p>
    <w:p w14:paraId="5214EE0B" w14:textId="77777777" w:rsidR="00EF685B" w:rsidRPr="00EF685B" w:rsidRDefault="00EF685B" w:rsidP="00EF685B">
      <w:pPr>
        <w:pStyle w:val="Reference"/>
        <w:spacing w:before="80"/>
      </w:pPr>
      <w:r w:rsidRPr="00EF685B">
        <w:t xml:space="preserve">Danninger, S. 2016, </w:t>
      </w:r>
      <w:r w:rsidRPr="00EF685B">
        <w:rPr>
          <w:i/>
          <w:iCs/>
        </w:rPr>
        <w:t>What’s Up with U.S. Wage Growth and Job Mobility?,</w:t>
      </w:r>
      <w:r w:rsidRPr="00EF685B">
        <w:t xml:space="preserve"> IMF Working Paper, 16/122, International Monetary Fund.</w:t>
      </w:r>
    </w:p>
    <w:p w14:paraId="07FCF564" w14:textId="0CAAFB5F" w:rsidR="00EF685B" w:rsidRPr="00EF685B" w:rsidRDefault="00EF685B" w:rsidP="00EF685B">
      <w:pPr>
        <w:pStyle w:val="Reference"/>
        <w:spacing w:before="80"/>
      </w:pPr>
      <w:r w:rsidRPr="00EF685B">
        <w:t xml:space="preserve">Dao, M.C., Das, M., Koczan, Z. and Lian, W. 2017, </w:t>
      </w:r>
      <w:r w:rsidRPr="00EF685B">
        <w:rPr>
          <w:i/>
          <w:iCs/>
        </w:rPr>
        <w:t xml:space="preserve">Why is Labor Receiving a Smaller Share of Global Income? Theory and </w:t>
      </w:r>
      <w:r w:rsidR="00196A42" w:rsidRPr="00EF685B">
        <w:rPr>
          <w:i/>
          <w:iCs/>
        </w:rPr>
        <w:t>Emp</w:t>
      </w:r>
      <w:r w:rsidR="00196A42">
        <w:rPr>
          <w:i/>
          <w:iCs/>
        </w:rPr>
        <w:t>i</w:t>
      </w:r>
      <w:r w:rsidR="00196A42" w:rsidRPr="00EF685B">
        <w:rPr>
          <w:i/>
          <w:iCs/>
        </w:rPr>
        <w:t>rical</w:t>
      </w:r>
      <w:r w:rsidRPr="00EF685B">
        <w:rPr>
          <w:i/>
          <w:iCs/>
        </w:rPr>
        <w:t xml:space="preserve"> Evidence</w:t>
      </w:r>
      <w:r w:rsidRPr="00EF685B">
        <w:t>, Working Paper, International Monetary Fund.</w:t>
      </w:r>
    </w:p>
    <w:p w14:paraId="0E5EA531" w14:textId="77777777" w:rsidR="00EF685B" w:rsidRPr="00EF685B" w:rsidRDefault="00EF685B" w:rsidP="00EF685B">
      <w:pPr>
        <w:pStyle w:val="Reference"/>
        <w:spacing w:before="80"/>
      </w:pPr>
      <w:r w:rsidRPr="00EF685B">
        <w:t xml:space="preserve">Engbom, N. 2017, </w:t>
      </w:r>
      <w:r w:rsidRPr="00EF685B">
        <w:rPr>
          <w:i/>
          <w:iCs/>
        </w:rPr>
        <w:t>Worker Flows and Wage Growth over the Life-Cycle: A Cross-Country Analysis</w:t>
      </w:r>
      <w:r w:rsidRPr="00EF685B">
        <w:t>, Working paper, Princeton University.</w:t>
      </w:r>
    </w:p>
    <w:p w14:paraId="5FF4148D" w14:textId="77777777" w:rsidR="00EF685B" w:rsidRPr="00EF685B" w:rsidRDefault="00EF685B" w:rsidP="00EF685B">
      <w:pPr>
        <w:pStyle w:val="Reference"/>
        <w:spacing w:before="80"/>
      </w:pPr>
      <w:r w:rsidRPr="00EF685B">
        <w:t xml:space="preserve">Fernades, C. 2019, </w:t>
      </w:r>
      <w:r w:rsidRPr="00EF685B">
        <w:rPr>
          <w:i/>
          <w:iCs/>
        </w:rPr>
        <w:t>Worried about agents of foreign influence? Just look at who owns Australia’s biggest companies</w:t>
      </w:r>
      <w:r w:rsidRPr="00EF685B">
        <w:t>, The Conversation, https://theconversation.com/worried-about-agents-of-foreign-influence-just-look-at-who-owns-australias-biggest-companies-123343 (accessed 16 December 2019).</w:t>
      </w:r>
    </w:p>
    <w:p w14:paraId="31C55790" w14:textId="77777777" w:rsidR="00EF685B" w:rsidRPr="00EF685B" w:rsidRDefault="00EF685B" w:rsidP="00EF685B">
      <w:pPr>
        <w:pStyle w:val="Reference"/>
        <w:spacing w:before="80"/>
      </w:pPr>
      <w:r w:rsidRPr="00EF685B">
        <w:t xml:space="preserve">Foster, L., Haltiwanger, J. and Syverson, C. 2005, ‘Reallocation, Firm Turnover and Efficiency: Selection on Productivity or Profitability?’, </w:t>
      </w:r>
      <w:r w:rsidRPr="00EF685B">
        <w:rPr>
          <w:i/>
          <w:iCs/>
        </w:rPr>
        <w:t>National Bureau of Economic Research</w:t>
      </w:r>
      <w:r w:rsidRPr="00EF685B">
        <w:t>, Working Paper No. 11555.</w:t>
      </w:r>
    </w:p>
    <w:p w14:paraId="7ABD1031" w14:textId="77777777" w:rsidR="00EF685B" w:rsidRPr="00EF685B" w:rsidRDefault="00EF685B" w:rsidP="00EF685B">
      <w:pPr>
        <w:pStyle w:val="Reference"/>
        <w:spacing w:before="80"/>
      </w:pPr>
      <w:r w:rsidRPr="00EF685B">
        <w:t xml:space="preserve">Gilfillan, G. 2019, </w:t>
      </w:r>
      <w:r w:rsidRPr="00EF685B">
        <w:rPr>
          <w:i/>
          <w:iCs/>
        </w:rPr>
        <w:t>The extent and causes of the wage growth slowdown in Australia</w:t>
      </w:r>
      <w:r w:rsidRPr="00EF685B">
        <w:t>, Parliamentary Library Research Paper, Parliamentary Library.</w:t>
      </w:r>
    </w:p>
    <w:p w14:paraId="422322AF" w14:textId="77777777" w:rsidR="00EF685B" w:rsidRPr="00EF685B" w:rsidRDefault="00EF685B" w:rsidP="00EF685B">
      <w:pPr>
        <w:pStyle w:val="Reference"/>
        <w:spacing w:before="80"/>
      </w:pPr>
      <w:r w:rsidRPr="00EF685B">
        <w:t xml:space="preserve">Goodridge, P., Haskel, J. and Wallis, G. 2018, ‘Accounting for the UK Productivity Puzzle: A Decomposition and Predictions’, </w:t>
      </w:r>
      <w:r w:rsidRPr="00EF685B">
        <w:rPr>
          <w:i/>
          <w:iCs/>
        </w:rPr>
        <w:t>Economica</w:t>
      </w:r>
      <w:r w:rsidRPr="00EF685B">
        <w:t>, vol. 85, pp. 581–605.</w:t>
      </w:r>
    </w:p>
    <w:p w14:paraId="58F66937" w14:textId="77777777" w:rsidR="00EF685B" w:rsidRPr="00EF685B" w:rsidRDefault="00EF685B" w:rsidP="00EF685B">
      <w:pPr>
        <w:pStyle w:val="Reference"/>
        <w:spacing w:before="80"/>
        <w:rPr>
          <w:spacing w:val="-4"/>
        </w:rPr>
      </w:pPr>
      <w:r w:rsidRPr="00EF685B">
        <w:rPr>
          <w:spacing w:val="-4"/>
        </w:rPr>
        <w:t xml:space="preserve">Gregory, R. 2012, ‘Living standards, terms of trade and foreign ownership: reflections on the Australian mining boom’, </w:t>
      </w:r>
      <w:r w:rsidRPr="00EF685B">
        <w:rPr>
          <w:i/>
          <w:iCs/>
          <w:spacing w:val="-4"/>
        </w:rPr>
        <w:t>Agricultural and resource economics</w:t>
      </w:r>
      <w:r w:rsidRPr="00EF685B">
        <w:rPr>
          <w:spacing w:val="-4"/>
        </w:rPr>
        <w:t>, vol. 56, pp. 171–200.</w:t>
      </w:r>
    </w:p>
    <w:p w14:paraId="002F546D" w14:textId="77777777" w:rsidR="00EF685B" w:rsidRPr="00EF685B" w:rsidRDefault="00EF685B" w:rsidP="00EF685B">
      <w:pPr>
        <w:pStyle w:val="Reference"/>
        <w:spacing w:before="80"/>
      </w:pPr>
      <w:r w:rsidRPr="00EF685B">
        <w:t xml:space="preserve">Gruen, D. 2011, </w:t>
      </w:r>
      <w:r w:rsidRPr="00EF685B">
        <w:rPr>
          <w:i/>
          <w:iCs/>
        </w:rPr>
        <w:t>The macroeconomic and structural implications of a once-in-a-lifetime boom in the terms of trade</w:t>
      </w:r>
      <w:r w:rsidRPr="00EF685B">
        <w:t>, Speech, The Australian Treasury.</w:t>
      </w:r>
    </w:p>
    <w:p w14:paraId="32C68D39" w14:textId="77777777" w:rsidR="00EF685B" w:rsidRPr="00EF685B" w:rsidRDefault="00EF685B" w:rsidP="00EF685B">
      <w:pPr>
        <w:pStyle w:val="Reference"/>
        <w:spacing w:before="80"/>
      </w:pPr>
      <w:r w:rsidRPr="00EF685B">
        <w:t>Heath, A. 2018, ‘The Evolving Australian Labour Market’, presented at Business Educators Australasia 2018 Conference, Canberra, 5 October.</w:t>
      </w:r>
    </w:p>
    <w:p w14:paraId="0624A352" w14:textId="167A19AC" w:rsidR="00EF685B" w:rsidRPr="00EF685B" w:rsidRDefault="00EF685B" w:rsidP="00EF685B">
      <w:pPr>
        <w:pStyle w:val="Reference"/>
        <w:spacing w:before="80"/>
      </w:pPr>
      <w:r w:rsidRPr="00EF685B">
        <w:t xml:space="preserve">Jacobs, D. and Rush, A. 2015, ‘Why Is Wage Growth So Low?’, </w:t>
      </w:r>
      <w:r w:rsidRPr="00EF685B">
        <w:rPr>
          <w:i/>
          <w:iCs/>
        </w:rPr>
        <w:t>RBA Bulletin</w:t>
      </w:r>
      <w:r w:rsidRPr="00EF685B">
        <w:t>, vol</w:t>
      </w:r>
      <w:r w:rsidR="00196A42">
        <w:t>.</w:t>
      </w:r>
      <w:r w:rsidRPr="00EF685B">
        <w:t xml:space="preserve"> June Quarter, pp. 9–18.</w:t>
      </w:r>
    </w:p>
    <w:p w14:paraId="469A39F6" w14:textId="77777777" w:rsidR="00EF685B" w:rsidRPr="00EF685B" w:rsidRDefault="00EF685B" w:rsidP="00EF685B">
      <w:pPr>
        <w:pStyle w:val="Reference"/>
        <w:spacing w:before="80"/>
      </w:pPr>
      <w:r w:rsidRPr="00EF685B">
        <w:t xml:space="preserve">Klette, T.J. and Griliches, Z. 1996, ‘The Inconsistency of Common Scale Estimators When Output Prices are Unobserved and Endogenous’, </w:t>
      </w:r>
      <w:r w:rsidRPr="00EF685B">
        <w:rPr>
          <w:i/>
          <w:iCs/>
        </w:rPr>
        <w:t>Journal of Applied Econometrics</w:t>
      </w:r>
      <w:r w:rsidRPr="00EF685B">
        <w:t>, vol. 11, no. 4, pp. 343–361.</w:t>
      </w:r>
    </w:p>
    <w:p w14:paraId="25AE5C8C" w14:textId="77777777" w:rsidR="00EF685B" w:rsidRPr="00EF685B" w:rsidRDefault="00EF685B" w:rsidP="00EF685B">
      <w:pPr>
        <w:pStyle w:val="Reference"/>
        <w:spacing w:before="80"/>
      </w:pPr>
      <w:r w:rsidRPr="00EF685B">
        <w:t>Lass, I. and Wooden, M. 2019, ‘Non-standard Employment and Wages in Australia’, presented at RBA Conference, Sydney, 5 April.</w:t>
      </w:r>
    </w:p>
    <w:p w14:paraId="2D2139F5" w14:textId="77777777" w:rsidR="00EF685B" w:rsidRPr="00EF685B" w:rsidRDefault="00EF685B" w:rsidP="00EF685B">
      <w:pPr>
        <w:pStyle w:val="Reference"/>
        <w:spacing w:before="80"/>
      </w:pPr>
      <w:r w:rsidRPr="00EF685B">
        <w:t xml:space="preserve">Lowe, P. 2013, </w:t>
      </w:r>
      <w:r w:rsidRPr="00EF685B">
        <w:rPr>
          <w:i/>
          <w:iCs/>
        </w:rPr>
        <w:t>Investment and the Australian Economy</w:t>
      </w:r>
      <w:r w:rsidRPr="00EF685B">
        <w:t>, Address to the CFA Australia Investment Conference.</w:t>
      </w:r>
    </w:p>
    <w:p w14:paraId="6EB93056" w14:textId="77777777" w:rsidR="00EF685B" w:rsidRPr="00EF685B" w:rsidRDefault="00EF685B" w:rsidP="00EF685B">
      <w:pPr>
        <w:pStyle w:val="Reference"/>
        <w:spacing w:before="80"/>
      </w:pPr>
      <w:r w:rsidRPr="00EF685B">
        <w:t xml:space="preserve">—— 2018a, </w:t>
      </w:r>
      <w:r w:rsidRPr="00EF685B">
        <w:rPr>
          <w:i/>
          <w:iCs/>
        </w:rPr>
        <w:t>Productivity, Wages and Prosperity</w:t>
      </w:r>
      <w:r w:rsidRPr="00EF685B">
        <w:t>, Speech, Address to Australian Industry Group, Reserve Bank of Australia, Melbourne.</w:t>
      </w:r>
    </w:p>
    <w:p w14:paraId="51804642" w14:textId="13C5E2DF" w:rsidR="00EF685B" w:rsidRPr="00EF685B" w:rsidRDefault="00EF685B" w:rsidP="00EF685B">
      <w:pPr>
        <w:pStyle w:val="Reference"/>
        <w:spacing w:before="80"/>
      </w:pPr>
      <w:r w:rsidRPr="00EF685B">
        <w:t xml:space="preserve">—— 2018b, </w:t>
      </w:r>
      <w:r w:rsidRPr="00EF685B">
        <w:rPr>
          <w:i/>
          <w:iCs/>
        </w:rPr>
        <w:t>The Changing Nature of Investment</w:t>
      </w:r>
      <w:r w:rsidRPr="00EF685B">
        <w:t xml:space="preserve">, Address to the Australian </w:t>
      </w:r>
      <w:r w:rsidR="00196A42" w:rsidRPr="00EF685B">
        <w:t>Fina</w:t>
      </w:r>
      <w:r w:rsidR="00196A42">
        <w:t>n</w:t>
      </w:r>
      <w:r w:rsidR="00196A42" w:rsidRPr="00EF685B">
        <w:t>cial</w:t>
      </w:r>
      <w:r w:rsidRPr="00EF685B">
        <w:t xml:space="preserve"> Review Summit, Reserve Bank of Australia.</w:t>
      </w:r>
    </w:p>
    <w:p w14:paraId="411424EC" w14:textId="77777777" w:rsidR="00EF685B" w:rsidRPr="00EF685B" w:rsidRDefault="00EF685B" w:rsidP="00EF685B">
      <w:pPr>
        <w:pStyle w:val="Reference"/>
        <w:spacing w:before="80"/>
      </w:pPr>
      <w:r w:rsidRPr="00EF685B">
        <w:t xml:space="preserve">Moscarini, G. and Postel-Vinay, F. 2017, ‘The Relative Power of Employment-to-Employment Reallocation and Unemployment Exits in Predicting Wage Growth’, </w:t>
      </w:r>
      <w:r w:rsidRPr="00EF685B">
        <w:rPr>
          <w:i/>
          <w:iCs/>
        </w:rPr>
        <w:t>American Economic Record</w:t>
      </w:r>
      <w:r w:rsidRPr="00EF685B">
        <w:t>, vol. 107, no. 5, pp. 364–368.</w:t>
      </w:r>
    </w:p>
    <w:p w14:paraId="3CD94E7F" w14:textId="77777777" w:rsidR="00EF685B" w:rsidRPr="00EF685B" w:rsidRDefault="00EF685B" w:rsidP="00EF685B">
      <w:pPr>
        <w:pStyle w:val="Reference"/>
        <w:spacing w:before="80"/>
      </w:pPr>
      <w:r w:rsidRPr="00EF685B">
        <w:t xml:space="preserve">OECD (Organization for Economic Cooperation and Development) 2013, </w:t>
      </w:r>
      <w:r w:rsidRPr="00EF685B">
        <w:rPr>
          <w:i/>
          <w:iCs/>
        </w:rPr>
        <w:t>New Sources of Growth: Knowledge-Based Capital - Key Analysis and Conclusions - Synthesis Report</w:t>
      </w:r>
      <w:r w:rsidRPr="00EF685B">
        <w:t>.</w:t>
      </w:r>
    </w:p>
    <w:p w14:paraId="77A53307" w14:textId="77BD1427" w:rsidR="00EF685B" w:rsidRPr="00EF685B" w:rsidRDefault="00EF685B" w:rsidP="00EF685B">
      <w:pPr>
        <w:pStyle w:val="Reference"/>
        <w:spacing w:before="80"/>
      </w:pPr>
      <w:r w:rsidRPr="00EF685B">
        <w:t>——</w:t>
      </w:r>
      <w:r>
        <w:t> </w:t>
      </w:r>
      <w:r w:rsidRPr="00EF685B">
        <w:t xml:space="preserve">2018, </w:t>
      </w:r>
      <w:r w:rsidRPr="00EF685B">
        <w:rPr>
          <w:i/>
          <w:iCs/>
        </w:rPr>
        <w:t>OECD Economic Outlook 2018</w:t>
      </w:r>
      <w:r w:rsidRPr="00EF685B">
        <w:t>, Issue 1, Paris.</w:t>
      </w:r>
    </w:p>
    <w:p w14:paraId="17A38C08" w14:textId="77777777" w:rsidR="00EF685B" w:rsidRPr="00EF685B" w:rsidRDefault="00EF685B" w:rsidP="00EF685B">
      <w:pPr>
        <w:pStyle w:val="Reference"/>
        <w:spacing w:before="80"/>
      </w:pPr>
      <w:r w:rsidRPr="00EF685B">
        <w:t xml:space="preserve">Office of the Chief Economist 2019, </w:t>
      </w:r>
      <w:r w:rsidRPr="00EF685B">
        <w:rPr>
          <w:i/>
          <w:iCs/>
        </w:rPr>
        <w:t>Resources and Energy Quarterly, September 2019</w:t>
      </w:r>
      <w:r w:rsidRPr="00EF685B">
        <w:t>, Department of Industry, Innovation and Science.</w:t>
      </w:r>
    </w:p>
    <w:p w14:paraId="783FC560" w14:textId="77777777" w:rsidR="00EF685B" w:rsidRPr="00EF685B" w:rsidRDefault="00EF685B" w:rsidP="00EF685B">
      <w:pPr>
        <w:pStyle w:val="Reference"/>
        <w:spacing w:before="80"/>
      </w:pPr>
      <w:r w:rsidRPr="00EF685B">
        <w:t xml:space="preserve">PBO (Parliamentary Budget Office) 2015, </w:t>
      </w:r>
      <w:r w:rsidRPr="00EF685B">
        <w:rPr>
          <w:i/>
          <w:iCs/>
        </w:rPr>
        <w:t>Alcohol taxation in Australia</w:t>
      </w:r>
      <w:r w:rsidRPr="00EF685B">
        <w:t>, 03/2015.</w:t>
      </w:r>
    </w:p>
    <w:p w14:paraId="4183F61A" w14:textId="77777777" w:rsidR="00EF685B" w:rsidRPr="00EF685B" w:rsidRDefault="00EF685B" w:rsidP="00EF685B">
      <w:pPr>
        <w:pStyle w:val="Reference"/>
        <w:spacing w:before="80"/>
      </w:pPr>
      <w:r w:rsidRPr="00EF685B">
        <w:t xml:space="preserve">PC (Productivity Commission) 2018, </w:t>
      </w:r>
      <w:r w:rsidRPr="00EF685B">
        <w:rPr>
          <w:i/>
          <w:iCs/>
        </w:rPr>
        <w:t>Superannuation: Assessing Efficiency and Competitiveness</w:t>
      </w:r>
      <w:r w:rsidRPr="00EF685B">
        <w:t>, Report no. 91, Canberra.</w:t>
      </w:r>
    </w:p>
    <w:p w14:paraId="7E851198" w14:textId="5F71C6BE" w:rsidR="00EF685B" w:rsidRPr="00EF685B" w:rsidRDefault="00EF685B" w:rsidP="00EF685B">
      <w:pPr>
        <w:pStyle w:val="Reference"/>
        <w:spacing w:before="80"/>
      </w:pPr>
      <w:r w:rsidRPr="00EF685B">
        <w:t>——</w:t>
      </w:r>
      <w:r>
        <w:t> </w:t>
      </w:r>
      <w:r w:rsidRPr="00EF685B">
        <w:t xml:space="preserve">2019, </w:t>
      </w:r>
      <w:r w:rsidRPr="00EF685B">
        <w:rPr>
          <w:i/>
          <w:iCs/>
        </w:rPr>
        <w:t>PC Productivity Bulletin</w:t>
      </w:r>
      <w:r w:rsidRPr="00EF685B">
        <w:t>, Canberra.</w:t>
      </w:r>
    </w:p>
    <w:p w14:paraId="5200DF5E" w14:textId="424316DA" w:rsidR="00EF685B" w:rsidRPr="00EF685B" w:rsidRDefault="00EF685B" w:rsidP="00EF685B">
      <w:pPr>
        <w:pStyle w:val="Reference"/>
        <w:spacing w:before="80"/>
      </w:pPr>
      <w:r w:rsidRPr="00EF685B">
        <w:t>——</w:t>
      </w:r>
      <w:r>
        <w:t> </w:t>
      </w:r>
      <w:r w:rsidRPr="00EF685B">
        <w:t xml:space="preserve">2017, </w:t>
      </w:r>
      <w:r w:rsidRPr="00EF685B">
        <w:rPr>
          <w:i/>
          <w:iCs/>
        </w:rPr>
        <w:t>Shifting the Dial: 5 Year Productivity Review, supporting paper no. 1, Productivity and Income - the Australian Story</w:t>
      </w:r>
      <w:r w:rsidRPr="00EF685B">
        <w:t>, Canberra.</w:t>
      </w:r>
    </w:p>
    <w:p w14:paraId="0685E967" w14:textId="77777777" w:rsidR="00EF685B" w:rsidRPr="00EF685B" w:rsidRDefault="00EF685B" w:rsidP="00EF685B">
      <w:pPr>
        <w:pStyle w:val="Reference"/>
        <w:spacing w:before="80"/>
      </w:pPr>
      <w:r w:rsidRPr="00EF685B">
        <w:t xml:space="preserve">Quinn, M. 2019, </w:t>
      </w:r>
      <w:r w:rsidRPr="00EF685B">
        <w:rPr>
          <w:i/>
          <w:iCs/>
        </w:rPr>
        <w:t>What’s driving low wages growth in Australia?</w:t>
      </w:r>
      <w:r w:rsidRPr="00EF685B">
        <w:t>, Speech, Address to the Australian Conference of Economists, Melbourne.</w:t>
      </w:r>
    </w:p>
    <w:p w14:paraId="5A57B622" w14:textId="299D53FD" w:rsidR="00EF685B" w:rsidRPr="00EF685B" w:rsidRDefault="00EF685B" w:rsidP="00EF685B">
      <w:pPr>
        <w:pStyle w:val="Reference"/>
        <w:spacing w:before="80"/>
      </w:pPr>
      <w:r w:rsidRPr="00EF685B">
        <w:t xml:space="preserve">Scollo, M. and Bayly, M. 2019, ‘The price of tobacco products in Australia’, </w:t>
      </w:r>
      <w:r w:rsidRPr="00EF685B">
        <w:rPr>
          <w:i/>
          <w:iCs/>
        </w:rPr>
        <w:t>Tobacco in Australia: factors and issues</w:t>
      </w:r>
      <w:r w:rsidRPr="00EF685B">
        <w:t>, vol</w:t>
      </w:r>
      <w:r w:rsidR="00196A42">
        <w:t>.</w:t>
      </w:r>
      <w:r w:rsidRPr="00EF685B">
        <w:t xml:space="preserve"> 13.3, Cancer Council Victoria.</w:t>
      </w:r>
    </w:p>
    <w:p w14:paraId="71F32C83" w14:textId="77777777" w:rsidR="00EF685B" w:rsidRPr="00EF685B" w:rsidRDefault="00EF685B" w:rsidP="00EF685B">
      <w:pPr>
        <w:pStyle w:val="Reference"/>
        <w:spacing w:before="80"/>
      </w:pPr>
      <w:r w:rsidRPr="00EF685B">
        <w:t xml:space="preserve">The Conference Board 2018, </w:t>
      </w:r>
      <w:r w:rsidRPr="00EF685B">
        <w:rPr>
          <w:i/>
          <w:iCs/>
        </w:rPr>
        <w:t>Total Economy Database</w:t>
      </w:r>
      <w:r w:rsidRPr="00EF685B">
        <w:t>, Database, https://www.conference-board.org/data/economydatabase/index.cfm?id=27722 (accessed 12 November 2019).</w:t>
      </w:r>
    </w:p>
    <w:p w14:paraId="1AA7D842" w14:textId="77777777" w:rsidR="00D67FE6" w:rsidRDefault="00D67FE6" w:rsidP="00EF685B">
      <w:pPr>
        <w:pStyle w:val="Reference"/>
        <w:spacing w:before="80"/>
      </w:pPr>
      <w:r>
        <w:t xml:space="preserve">Topp, V., Soames, L., Parham, D. and Bloch, H. 2008, </w:t>
      </w:r>
      <w:r>
        <w:rPr>
          <w:i/>
          <w:iCs/>
        </w:rPr>
        <w:t>Productivity in the Mining Industry: Measurement and Interpretation</w:t>
      </w:r>
      <w:r>
        <w:t>, Staff Working Paper, Productivity Commission, Canberra.</w:t>
      </w:r>
    </w:p>
    <w:p w14:paraId="1E27CB05" w14:textId="34200C62" w:rsidR="00EF685B" w:rsidRPr="00EF685B" w:rsidRDefault="00EF685B" w:rsidP="00EF685B">
      <w:pPr>
        <w:pStyle w:val="Reference"/>
        <w:spacing w:before="80"/>
      </w:pPr>
      <w:r w:rsidRPr="00EF685B">
        <w:t xml:space="preserve">Treasury (Department of the Treasury) 2017, </w:t>
      </w:r>
      <w:r w:rsidRPr="00EF685B">
        <w:rPr>
          <w:i/>
          <w:iCs/>
        </w:rPr>
        <w:t>Analysis of Wage Growth</w:t>
      </w:r>
      <w:r w:rsidRPr="00EF685B">
        <w:t>, Working Paper, Canberra.</w:t>
      </w:r>
    </w:p>
    <w:p w14:paraId="77A44133" w14:textId="2BBB1E2C" w:rsidR="00EF685B" w:rsidRPr="00EF685B" w:rsidRDefault="00EF685B" w:rsidP="00EF685B">
      <w:pPr>
        <w:pStyle w:val="Reference"/>
        <w:spacing w:before="80"/>
      </w:pPr>
      <w:r w:rsidRPr="00EF685B">
        <w:t xml:space="preserve">Tulip, P. 2014, ‘The Effect of the Mining Boom on the Australian Economy’, </w:t>
      </w:r>
      <w:r w:rsidRPr="00EF685B">
        <w:rPr>
          <w:i/>
          <w:iCs/>
        </w:rPr>
        <w:t>RBA Bulletin</w:t>
      </w:r>
      <w:r w:rsidRPr="00EF685B">
        <w:t>, vol</w:t>
      </w:r>
      <w:r>
        <w:t>.</w:t>
      </w:r>
      <w:r w:rsidRPr="00EF685B">
        <w:t xml:space="preserve"> December Quarter.</w:t>
      </w:r>
    </w:p>
    <w:p w14:paraId="73663F2E" w14:textId="77777777" w:rsidR="00EF685B" w:rsidRPr="00EF685B" w:rsidRDefault="00EF685B" w:rsidP="00EF685B">
      <w:pPr>
        <w:pStyle w:val="Reference"/>
        <w:spacing w:before="80"/>
      </w:pPr>
      <w:r w:rsidRPr="00EF685B">
        <w:t xml:space="preserve">Ville, S. and Withers, G. 2015, </w:t>
      </w:r>
      <w:r w:rsidRPr="00EF685B">
        <w:rPr>
          <w:i/>
          <w:iCs/>
        </w:rPr>
        <w:t>The Cambridge Economic History of Australia</w:t>
      </w:r>
      <w:r w:rsidRPr="00EF685B">
        <w:t>, 1st edn, Cambridge University Press.</w:t>
      </w:r>
    </w:p>
    <w:p w14:paraId="4CEC33F6" w14:textId="3492B914" w:rsidR="007834C8" w:rsidRDefault="00EF685B" w:rsidP="00EF685B">
      <w:pPr>
        <w:pStyle w:val="Reference"/>
        <w:spacing w:before="80"/>
      </w:pPr>
      <w:r w:rsidRPr="00EF685B">
        <w:t xml:space="preserve">Weir, G. 2018, </w:t>
      </w:r>
      <w:r w:rsidRPr="00EF685B">
        <w:rPr>
          <w:i/>
          <w:iCs/>
        </w:rPr>
        <w:t>Wage Growth Puzzles and Technology</w:t>
      </w:r>
      <w:r w:rsidRPr="00EF685B">
        <w:t>, Research Discussion Paper, 2018–10, Reserve Bank of Australia.</w:t>
      </w:r>
    </w:p>
    <w:sectPr w:rsidR="007834C8" w:rsidSect="006B0A4B">
      <w:headerReference w:type="even" r:id="rId48"/>
      <w:headerReference w:type="default" r:id="rId49"/>
      <w:footerReference w:type="even" r:id="rId50"/>
      <w:footerReference w:type="default" r:id="rId51"/>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F2032" w14:textId="77777777" w:rsidR="007720E8" w:rsidRDefault="007720E8">
      <w:r>
        <w:separator/>
      </w:r>
    </w:p>
  </w:endnote>
  <w:endnote w:type="continuationSeparator" w:id="0">
    <w:p w14:paraId="314CDA50" w14:textId="77777777" w:rsidR="007720E8" w:rsidRDefault="0077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0E8" w14:paraId="3C298417" w14:textId="77777777" w:rsidTr="005F48ED">
      <w:trPr>
        <w:trHeight w:hRule="exact" w:val="567"/>
      </w:trPr>
      <w:tc>
        <w:tcPr>
          <w:tcW w:w="510" w:type="dxa"/>
        </w:tcPr>
        <w:p w14:paraId="7029CDFC" w14:textId="77777777" w:rsidR="007720E8" w:rsidRPr="00A24443" w:rsidRDefault="007720E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E4410">
            <w:rPr>
              <w:rStyle w:val="PageNumber"/>
              <w:caps w:val="0"/>
              <w:noProof/>
            </w:rPr>
            <w:t>iv</w:t>
          </w:r>
          <w:r w:rsidRPr="00A24443">
            <w:rPr>
              <w:rStyle w:val="PageNumber"/>
              <w:caps w:val="0"/>
            </w:rPr>
            <w:fldChar w:fldCharType="end"/>
          </w:r>
        </w:p>
      </w:tc>
      <w:tc>
        <w:tcPr>
          <w:tcW w:w="7767" w:type="dxa"/>
        </w:tcPr>
        <w:p w14:paraId="0ED027B3" w14:textId="77777777" w:rsidR="007720E8" w:rsidRPr="0013739A" w:rsidRDefault="007720E8" w:rsidP="0013739A">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sidR="005007F4">
            <w:rPr>
              <w:rFonts w:cs="Arial"/>
            </w:rPr>
            <w:t>PC Productivity Insights 2020</w:t>
          </w:r>
          <w:r w:rsidRPr="00BA5B14">
            <w:rPr>
              <w:rFonts w:cs="Arial"/>
            </w:rPr>
            <w:fldChar w:fldCharType="end"/>
          </w:r>
        </w:p>
      </w:tc>
      <w:tc>
        <w:tcPr>
          <w:tcW w:w="510" w:type="dxa"/>
        </w:tcPr>
        <w:p w14:paraId="628FA7E9" w14:textId="77777777" w:rsidR="007720E8" w:rsidRDefault="007720E8" w:rsidP="0019293B">
          <w:pPr>
            <w:pStyle w:val="Footer"/>
          </w:pPr>
        </w:p>
      </w:tc>
    </w:tr>
  </w:tbl>
  <w:p w14:paraId="1FBD3628" w14:textId="77777777" w:rsidR="007720E8" w:rsidRDefault="007720E8" w:rsidP="0019293B">
    <w:pPr>
      <w:pStyle w:val="FooterEnd"/>
    </w:pPr>
  </w:p>
  <w:p w14:paraId="38D3612B" w14:textId="77777777" w:rsidR="007720E8" w:rsidRDefault="007720E8">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0E8" w14:paraId="02336D17" w14:textId="77777777" w:rsidTr="005F48ED">
      <w:trPr>
        <w:trHeight w:hRule="exact" w:val="567"/>
      </w:trPr>
      <w:tc>
        <w:tcPr>
          <w:tcW w:w="510" w:type="dxa"/>
        </w:tcPr>
        <w:p w14:paraId="7A867184" w14:textId="77777777" w:rsidR="007720E8" w:rsidRDefault="007720E8">
          <w:pPr>
            <w:pStyle w:val="Footer"/>
            <w:ind w:right="360" w:firstLine="360"/>
          </w:pPr>
        </w:p>
      </w:tc>
      <w:tc>
        <w:tcPr>
          <w:tcW w:w="7767" w:type="dxa"/>
        </w:tcPr>
        <w:p w14:paraId="12BDD276" w14:textId="10FE2C13" w:rsidR="007720E8" w:rsidRPr="00BA5B14" w:rsidRDefault="00A05D24" w:rsidP="0013739A">
          <w:pPr>
            <w:pStyle w:val="Footer"/>
            <w:jc w:val="right"/>
            <w:rPr>
              <w:rFonts w:cs="Arial"/>
            </w:rPr>
          </w:pPr>
          <w:bookmarkStart w:id="22" w:name="DraftReportOdd"/>
          <w:bookmarkEnd w:id="22"/>
          <w:r>
            <w:rPr>
              <w:rFonts w:cs="Arial"/>
            </w:rPr>
            <w:t>recent productivity trends</w:t>
          </w:r>
        </w:p>
      </w:tc>
      <w:tc>
        <w:tcPr>
          <w:tcW w:w="510" w:type="dxa"/>
        </w:tcPr>
        <w:p w14:paraId="173FB5F0" w14:textId="77777777" w:rsidR="007720E8" w:rsidRPr="00A24443" w:rsidRDefault="007720E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E4410">
            <w:rPr>
              <w:rStyle w:val="PageNumber"/>
              <w:caps w:val="0"/>
              <w:noProof/>
            </w:rPr>
            <w:t>19</w:t>
          </w:r>
          <w:r w:rsidRPr="00A24443">
            <w:rPr>
              <w:rStyle w:val="PageNumber"/>
              <w:caps w:val="0"/>
            </w:rPr>
            <w:fldChar w:fldCharType="end"/>
          </w:r>
        </w:p>
      </w:tc>
    </w:tr>
  </w:tbl>
  <w:p w14:paraId="09ECC7FA" w14:textId="77777777" w:rsidR="007720E8" w:rsidRDefault="007720E8">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18BDC" w14:textId="77777777" w:rsidR="007720E8" w:rsidRDefault="007720E8" w:rsidP="007720E8">
    <w:pPr>
      <w:pStyle w:val="Foote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67FE6">
      <w:rPr>
        <w:rStyle w:val="PageNumber"/>
        <w:caps w:val="0"/>
        <w:noProof/>
      </w:rPr>
      <w:t>31</w:t>
    </w:r>
    <w:r w:rsidRPr="00A24443">
      <w:rPr>
        <w:rStyle w:val="PageNumber"/>
        <w:caps w:val="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0E8" w14:paraId="0EE099D1" w14:textId="77777777" w:rsidTr="005F48ED">
      <w:trPr>
        <w:trHeight w:hRule="exact" w:val="567"/>
      </w:trPr>
      <w:tc>
        <w:tcPr>
          <w:tcW w:w="510" w:type="dxa"/>
        </w:tcPr>
        <w:p w14:paraId="3FD68F58" w14:textId="77777777" w:rsidR="007720E8" w:rsidRPr="00A24443" w:rsidRDefault="007720E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67FE6">
            <w:rPr>
              <w:rStyle w:val="PageNumber"/>
              <w:caps w:val="0"/>
              <w:noProof/>
            </w:rPr>
            <w:t>36</w:t>
          </w:r>
          <w:r w:rsidRPr="00A24443">
            <w:rPr>
              <w:rStyle w:val="PageNumber"/>
              <w:caps w:val="0"/>
            </w:rPr>
            <w:fldChar w:fldCharType="end"/>
          </w:r>
        </w:p>
      </w:tc>
      <w:tc>
        <w:tcPr>
          <w:tcW w:w="7767" w:type="dxa"/>
        </w:tcPr>
        <w:p w14:paraId="2545E8A7" w14:textId="13C3A80C" w:rsidR="007720E8" w:rsidRPr="0013739A" w:rsidRDefault="00A05D24" w:rsidP="00F10D3C">
          <w:pPr>
            <w:pStyle w:val="Footer"/>
            <w:rPr>
              <w:rFonts w:cs="Arial"/>
            </w:rPr>
          </w:pPr>
          <w:r>
            <w:rPr>
              <w:rFonts w:cs="Arial"/>
            </w:rPr>
            <w:t xml:space="preserve">PC </w:t>
          </w:r>
          <w:r w:rsidR="007720E8">
            <w:rPr>
              <w:rFonts w:cs="Arial"/>
            </w:rPr>
            <w:t>PRODUCTIVITY insights</w:t>
          </w:r>
          <w:r>
            <w:rPr>
              <w:rFonts w:cs="Arial"/>
            </w:rPr>
            <w:t xml:space="preserve"> 2020</w:t>
          </w:r>
        </w:p>
      </w:tc>
      <w:tc>
        <w:tcPr>
          <w:tcW w:w="510" w:type="dxa"/>
        </w:tcPr>
        <w:p w14:paraId="05FB25AA" w14:textId="77777777" w:rsidR="007720E8" w:rsidRDefault="007720E8" w:rsidP="0019293B">
          <w:pPr>
            <w:pStyle w:val="Footer"/>
          </w:pPr>
        </w:p>
      </w:tc>
    </w:tr>
  </w:tbl>
  <w:p w14:paraId="59799D19" w14:textId="77777777" w:rsidR="007720E8" w:rsidRDefault="007720E8" w:rsidP="0019293B">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996"/>
      <w:gridCol w:w="283"/>
    </w:tblGrid>
    <w:tr w:rsidR="007720E8" w14:paraId="46F4DE87" w14:textId="77777777" w:rsidTr="00383BFD">
      <w:trPr>
        <w:trHeight w:hRule="exact" w:val="567"/>
      </w:trPr>
      <w:tc>
        <w:tcPr>
          <w:tcW w:w="510" w:type="dxa"/>
        </w:tcPr>
        <w:p w14:paraId="70E01140" w14:textId="77777777" w:rsidR="007720E8" w:rsidRDefault="007720E8">
          <w:pPr>
            <w:pStyle w:val="Footer"/>
            <w:ind w:right="360" w:firstLine="360"/>
          </w:pPr>
        </w:p>
      </w:tc>
      <w:tc>
        <w:tcPr>
          <w:tcW w:w="7996" w:type="dxa"/>
        </w:tcPr>
        <w:p w14:paraId="5F02BBD5" w14:textId="2FEEDD0F" w:rsidR="007720E8" w:rsidRPr="00BA5B14" w:rsidRDefault="007720E8" w:rsidP="004305B5">
          <w:pPr>
            <w:pStyle w:val="Footer"/>
            <w:tabs>
              <w:tab w:val="left" w:pos="9951"/>
              <w:tab w:val="right" w:pos="12809"/>
            </w:tabs>
            <w:jc w:val="right"/>
            <w:rPr>
              <w:rFonts w:cs="Arial"/>
            </w:rPr>
          </w:pPr>
          <w:r>
            <w:rPr>
              <w:rFonts w:cs="Arial"/>
            </w:rPr>
            <w:t>recent productivity trends</w:t>
          </w:r>
        </w:p>
      </w:tc>
      <w:tc>
        <w:tcPr>
          <w:tcW w:w="283" w:type="dxa"/>
        </w:tcPr>
        <w:p w14:paraId="06ECD6B0" w14:textId="77777777" w:rsidR="007720E8" w:rsidRPr="00A24443" w:rsidRDefault="007720E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67FE6">
            <w:rPr>
              <w:rStyle w:val="PageNumber"/>
              <w:caps w:val="0"/>
              <w:noProof/>
            </w:rPr>
            <w:t>35</w:t>
          </w:r>
          <w:r w:rsidRPr="00A24443">
            <w:rPr>
              <w:rStyle w:val="PageNumber"/>
              <w:caps w:val="0"/>
            </w:rPr>
            <w:fldChar w:fldCharType="end"/>
          </w:r>
        </w:p>
      </w:tc>
    </w:tr>
  </w:tbl>
  <w:p w14:paraId="7CE09DF7" w14:textId="77777777" w:rsidR="007720E8" w:rsidRDefault="007720E8" w:rsidP="005B7E3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0E8" w14:paraId="4E94586E" w14:textId="77777777" w:rsidTr="005F48ED">
      <w:trPr>
        <w:trHeight w:hRule="exact" w:val="567"/>
      </w:trPr>
      <w:tc>
        <w:tcPr>
          <w:tcW w:w="510" w:type="dxa"/>
        </w:tcPr>
        <w:p w14:paraId="564A9168" w14:textId="77777777" w:rsidR="007720E8" w:rsidRDefault="007720E8">
          <w:pPr>
            <w:pStyle w:val="Footer"/>
            <w:ind w:right="360" w:firstLine="360"/>
          </w:pPr>
        </w:p>
      </w:tc>
      <w:tc>
        <w:tcPr>
          <w:tcW w:w="7767" w:type="dxa"/>
        </w:tcPr>
        <w:p w14:paraId="05B91A14" w14:textId="77777777" w:rsidR="007720E8" w:rsidRPr="00BA5B14" w:rsidRDefault="007720E8" w:rsidP="00D10DB2">
          <w:pPr>
            <w:pStyle w:val="Footer"/>
            <w:jc w:val="right"/>
            <w:rPr>
              <w:rFonts w:cs="Arial"/>
            </w:rPr>
          </w:pPr>
          <w:r w:rsidRPr="008F7DB7">
            <w:rPr>
              <w:noProof/>
            </w:rPr>
            <w:fldChar w:fldCharType="begin"/>
          </w:r>
          <w:r w:rsidRPr="008F7DB7">
            <w:rPr>
              <w:noProof/>
            </w:rPr>
            <w:instrText xml:space="preserve"> STYLEREF "Heading 1 Not TOC" \* MERGEFORMAT </w:instrText>
          </w:r>
          <w:r w:rsidRPr="008F7DB7">
            <w:rPr>
              <w:noProof/>
            </w:rPr>
            <w:fldChar w:fldCharType="separate"/>
          </w:r>
          <w:r w:rsidR="00AE4410" w:rsidRPr="00AE4410">
            <w:rPr>
              <w:bCs/>
              <w:noProof/>
            </w:rPr>
            <w:t>Contents</w:t>
          </w:r>
          <w:r w:rsidRPr="008F7DB7">
            <w:rPr>
              <w:noProof/>
            </w:rPr>
            <w:fldChar w:fldCharType="end"/>
          </w:r>
          <w:r>
            <w:rPr>
              <w:rFonts w:cs="Arial"/>
            </w:rPr>
            <w:t xml:space="preserve"> </w:t>
          </w:r>
        </w:p>
      </w:tc>
      <w:tc>
        <w:tcPr>
          <w:tcW w:w="510" w:type="dxa"/>
        </w:tcPr>
        <w:p w14:paraId="292A15D5" w14:textId="77777777" w:rsidR="007720E8" w:rsidRPr="007448F7" w:rsidRDefault="007720E8">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AE4410">
            <w:rPr>
              <w:rStyle w:val="PageNumber"/>
              <w:caps w:val="0"/>
              <w:noProof/>
            </w:rPr>
            <w:t>iii</w:t>
          </w:r>
          <w:r w:rsidRPr="007448F7">
            <w:rPr>
              <w:rStyle w:val="PageNumber"/>
              <w:caps w:val="0"/>
            </w:rPr>
            <w:fldChar w:fldCharType="end"/>
          </w:r>
        </w:p>
      </w:tc>
    </w:tr>
  </w:tbl>
  <w:p w14:paraId="2C115BD0" w14:textId="77777777" w:rsidR="007720E8" w:rsidRDefault="007720E8">
    <w:pPr>
      <w:pStyle w:val="FooterEnd"/>
    </w:pPr>
  </w:p>
  <w:p w14:paraId="30FC0AF6" w14:textId="77777777" w:rsidR="007720E8" w:rsidRDefault="007720E8">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0E8" w14:paraId="066D1941" w14:textId="77777777" w:rsidTr="005F48ED">
      <w:trPr>
        <w:trHeight w:hRule="exact" w:val="567"/>
      </w:trPr>
      <w:tc>
        <w:tcPr>
          <w:tcW w:w="510" w:type="dxa"/>
        </w:tcPr>
        <w:p w14:paraId="76D2300A" w14:textId="77777777" w:rsidR="007720E8" w:rsidRPr="007448F7" w:rsidRDefault="007720E8" w:rsidP="0019293B">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AE4410">
            <w:rPr>
              <w:rStyle w:val="PageNumber"/>
              <w:caps w:val="0"/>
              <w:noProof/>
            </w:rPr>
            <w:t>vi</w:t>
          </w:r>
          <w:r w:rsidRPr="007448F7">
            <w:rPr>
              <w:rStyle w:val="PageNumber"/>
              <w:caps w:val="0"/>
            </w:rPr>
            <w:fldChar w:fldCharType="end"/>
          </w:r>
        </w:p>
      </w:tc>
      <w:tc>
        <w:tcPr>
          <w:tcW w:w="7767" w:type="dxa"/>
        </w:tcPr>
        <w:p w14:paraId="7889F2FB" w14:textId="1F6A2665" w:rsidR="007720E8" w:rsidRPr="0013739A" w:rsidRDefault="007720E8" w:rsidP="00363C86">
          <w:pPr>
            <w:pStyle w:val="Footer"/>
            <w:rPr>
              <w:rFonts w:cs="Arial"/>
            </w:rPr>
          </w:pPr>
          <w:r>
            <w:rPr>
              <w:rFonts w:cs="Arial"/>
            </w:rPr>
            <w:t>PC Productivity insights</w:t>
          </w:r>
        </w:p>
      </w:tc>
      <w:tc>
        <w:tcPr>
          <w:tcW w:w="510" w:type="dxa"/>
        </w:tcPr>
        <w:p w14:paraId="5F3B710E" w14:textId="77777777" w:rsidR="007720E8" w:rsidRDefault="007720E8" w:rsidP="0019293B">
          <w:pPr>
            <w:pStyle w:val="Footer"/>
          </w:pPr>
        </w:p>
      </w:tc>
    </w:tr>
  </w:tbl>
  <w:p w14:paraId="226E8D0F" w14:textId="77777777" w:rsidR="007720E8" w:rsidRDefault="007720E8" w:rsidP="0019293B">
    <w:pPr>
      <w:pStyle w:val="FooterEnd"/>
    </w:pPr>
  </w:p>
  <w:p w14:paraId="06264601" w14:textId="77777777" w:rsidR="007720E8" w:rsidRDefault="007720E8">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0E8" w14:paraId="0A0D9EDC" w14:textId="77777777" w:rsidTr="005F48ED">
      <w:trPr>
        <w:trHeight w:hRule="exact" w:val="567"/>
      </w:trPr>
      <w:tc>
        <w:tcPr>
          <w:tcW w:w="510" w:type="dxa"/>
        </w:tcPr>
        <w:p w14:paraId="26C5F4E9" w14:textId="77777777" w:rsidR="007720E8" w:rsidRDefault="007720E8">
          <w:pPr>
            <w:pStyle w:val="Footer"/>
            <w:ind w:right="360" w:firstLine="360"/>
          </w:pPr>
        </w:p>
      </w:tc>
      <w:tc>
        <w:tcPr>
          <w:tcW w:w="7767" w:type="dxa"/>
        </w:tcPr>
        <w:p w14:paraId="135145CB" w14:textId="77777777" w:rsidR="007720E8" w:rsidRPr="00340511" w:rsidRDefault="007720E8" w:rsidP="00D10DB2">
          <w:pPr>
            <w:pStyle w:val="Footer"/>
            <w:jc w:val="right"/>
            <w:rPr>
              <w:rFonts w:cs="Arial"/>
            </w:rPr>
          </w:pPr>
          <w:r w:rsidRPr="00340511">
            <w:rPr>
              <w:noProof/>
            </w:rPr>
            <w:fldChar w:fldCharType="begin"/>
          </w:r>
          <w:r w:rsidRPr="00340511">
            <w:rPr>
              <w:noProof/>
            </w:rPr>
            <w:instrText xml:space="preserve"> STYLEREF "Heading 1" \* MERGEFORMAT </w:instrText>
          </w:r>
          <w:r w:rsidRPr="00340511">
            <w:rPr>
              <w:noProof/>
            </w:rPr>
            <w:fldChar w:fldCharType="separate"/>
          </w:r>
          <w:r w:rsidR="005007F4" w:rsidRPr="005007F4">
            <w:rPr>
              <w:bCs/>
              <w:noProof/>
              <w:lang w:val="en-US"/>
            </w:rPr>
            <w:t>Foreword</w:t>
          </w:r>
          <w:r w:rsidRPr="00340511">
            <w:rPr>
              <w:noProof/>
            </w:rPr>
            <w:fldChar w:fldCharType="end"/>
          </w:r>
        </w:p>
      </w:tc>
      <w:tc>
        <w:tcPr>
          <w:tcW w:w="510" w:type="dxa"/>
        </w:tcPr>
        <w:p w14:paraId="2FEF4A99" w14:textId="77777777" w:rsidR="007720E8" w:rsidRPr="00A24443" w:rsidRDefault="007720E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w:t>
          </w:r>
          <w:r w:rsidRPr="00A24443">
            <w:rPr>
              <w:rStyle w:val="PageNumber"/>
              <w:caps w:val="0"/>
            </w:rPr>
            <w:fldChar w:fldCharType="end"/>
          </w:r>
        </w:p>
      </w:tc>
    </w:tr>
  </w:tbl>
  <w:p w14:paraId="47941824" w14:textId="77777777" w:rsidR="007720E8" w:rsidRDefault="007720E8">
    <w:pPr>
      <w:pStyle w:val="FooterEnd"/>
    </w:pPr>
  </w:p>
  <w:p w14:paraId="176EFC17" w14:textId="77777777" w:rsidR="007720E8" w:rsidRDefault="007720E8" w:rsidP="00D10DB2">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0E8" w14:paraId="51BE70AE" w14:textId="77777777" w:rsidTr="005F48ED">
      <w:trPr>
        <w:trHeight w:hRule="exact" w:val="567"/>
      </w:trPr>
      <w:tc>
        <w:tcPr>
          <w:tcW w:w="510" w:type="dxa"/>
        </w:tcPr>
        <w:p w14:paraId="23C1056E" w14:textId="77777777" w:rsidR="007720E8" w:rsidRPr="00A24443" w:rsidRDefault="007720E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E4410">
            <w:rPr>
              <w:rStyle w:val="PageNumber"/>
              <w:caps w:val="0"/>
              <w:noProof/>
            </w:rPr>
            <w:t>12</w:t>
          </w:r>
          <w:r w:rsidRPr="00A24443">
            <w:rPr>
              <w:rStyle w:val="PageNumber"/>
              <w:caps w:val="0"/>
            </w:rPr>
            <w:fldChar w:fldCharType="end"/>
          </w:r>
        </w:p>
      </w:tc>
      <w:tc>
        <w:tcPr>
          <w:tcW w:w="7767" w:type="dxa"/>
        </w:tcPr>
        <w:p w14:paraId="3EFA1258" w14:textId="30C535A0" w:rsidR="007720E8" w:rsidRPr="0013739A" w:rsidRDefault="007720E8" w:rsidP="00871938">
          <w:pPr>
            <w:pStyle w:val="Footer"/>
            <w:rPr>
              <w:rFonts w:cs="Arial"/>
            </w:rPr>
          </w:pPr>
          <w:r>
            <w:rPr>
              <w:rFonts w:cs="Arial"/>
            </w:rPr>
            <w:t>PC Productivity Insights</w:t>
          </w:r>
          <w:bookmarkStart w:id="15" w:name="DraftReportEven"/>
          <w:bookmarkEnd w:id="15"/>
          <w:r w:rsidR="00A05D24">
            <w:rPr>
              <w:rFonts w:cs="Arial"/>
            </w:rPr>
            <w:t xml:space="preserve"> 2020</w:t>
          </w:r>
        </w:p>
      </w:tc>
      <w:tc>
        <w:tcPr>
          <w:tcW w:w="510" w:type="dxa"/>
        </w:tcPr>
        <w:p w14:paraId="1A9E9B74" w14:textId="77777777" w:rsidR="007720E8" w:rsidRDefault="007720E8" w:rsidP="0019293B">
          <w:pPr>
            <w:pStyle w:val="Footer"/>
          </w:pPr>
        </w:p>
      </w:tc>
    </w:tr>
  </w:tbl>
  <w:p w14:paraId="11F59E40" w14:textId="77777777" w:rsidR="007720E8" w:rsidRDefault="007720E8" w:rsidP="0019293B">
    <w:pPr>
      <w:pStyle w:val="FooterEnd"/>
    </w:pPr>
  </w:p>
  <w:p w14:paraId="00287B33" w14:textId="77777777" w:rsidR="007720E8" w:rsidRDefault="007720E8" w:rsidP="000C6A66">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0E8" w14:paraId="12C7AD5C" w14:textId="77777777" w:rsidTr="005F48ED">
      <w:trPr>
        <w:trHeight w:hRule="exact" w:val="567"/>
      </w:trPr>
      <w:tc>
        <w:tcPr>
          <w:tcW w:w="510" w:type="dxa"/>
        </w:tcPr>
        <w:p w14:paraId="6F8FD0D8" w14:textId="77777777" w:rsidR="007720E8" w:rsidRDefault="007720E8">
          <w:pPr>
            <w:pStyle w:val="Footer"/>
            <w:ind w:right="360" w:firstLine="360"/>
          </w:pPr>
        </w:p>
      </w:tc>
      <w:tc>
        <w:tcPr>
          <w:tcW w:w="7767" w:type="dxa"/>
        </w:tcPr>
        <w:p w14:paraId="7B4BD917" w14:textId="45BA4BE4" w:rsidR="007720E8" w:rsidRPr="00BA5B14" w:rsidRDefault="007720E8" w:rsidP="00363C86">
          <w:pPr>
            <w:pStyle w:val="Footer"/>
            <w:jc w:val="right"/>
            <w:rPr>
              <w:rFonts w:cs="Arial"/>
            </w:rPr>
          </w:pPr>
          <w:r>
            <w:rPr>
              <w:rFonts w:cs="Arial"/>
            </w:rPr>
            <w:t>recent productivity trends</w:t>
          </w:r>
        </w:p>
      </w:tc>
      <w:tc>
        <w:tcPr>
          <w:tcW w:w="510" w:type="dxa"/>
        </w:tcPr>
        <w:p w14:paraId="27D4337B" w14:textId="77777777" w:rsidR="007720E8" w:rsidRPr="00A24443" w:rsidRDefault="007720E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E4410">
            <w:rPr>
              <w:rStyle w:val="PageNumber"/>
              <w:caps w:val="0"/>
              <w:noProof/>
            </w:rPr>
            <w:t>11</w:t>
          </w:r>
          <w:r w:rsidRPr="00A24443">
            <w:rPr>
              <w:rStyle w:val="PageNumber"/>
              <w:caps w:val="0"/>
            </w:rPr>
            <w:fldChar w:fldCharType="end"/>
          </w:r>
        </w:p>
      </w:tc>
    </w:tr>
  </w:tbl>
  <w:p w14:paraId="58028496" w14:textId="77777777" w:rsidR="007720E8" w:rsidRDefault="007720E8" w:rsidP="005B7E3D">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9F0" w14:textId="13BEE0B7" w:rsidR="007720E8" w:rsidRDefault="007720E8" w:rsidP="002E0866">
    <w:pPr>
      <w:pStyle w:val="Foote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E4410">
      <w:rPr>
        <w:rStyle w:val="PageNumber"/>
        <w:caps w:val="0"/>
        <w:noProof/>
      </w:rPr>
      <w:t>14</w:t>
    </w:r>
    <w:r w:rsidRPr="00A24443">
      <w:rPr>
        <w:rStyle w:val="PageNumber"/>
        <w:caps w:val="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9252A" w14:textId="1CBF8F2B" w:rsidR="007720E8" w:rsidRDefault="007720E8" w:rsidP="002E0866">
    <w:pPr>
      <w:pStyle w:val="Foote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E4410">
      <w:rPr>
        <w:rStyle w:val="PageNumber"/>
        <w:caps w:val="0"/>
        <w:noProof/>
      </w:rPr>
      <w:t>13</w:t>
    </w:r>
    <w:r w:rsidRPr="00A24443">
      <w:rPr>
        <w:rStyle w:val="PageNumber"/>
        <w:caps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0E8" w14:paraId="3C74F143" w14:textId="77777777" w:rsidTr="005F48ED">
      <w:trPr>
        <w:trHeight w:hRule="exact" w:val="567"/>
      </w:trPr>
      <w:tc>
        <w:tcPr>
          <w:tcW w:w="510" w:type="dxa"/>
        </w:tcPr>
        <w:p w14:paraId="1AF1A705" w14:textId="77777777" w:rsidR="007720E8" w:rsidRPr="00A24443" w:rsidRDefault="007720E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E4410">
            <w:rPr>
              <w:rStyle w:val="PageNumber"/>
              <w:caps w:val="0"/>
              <w:noProof/>
            </w:rPr>
            <w:t>20</w:t>
          </w:r>
          <w:r w:rsidRPr="00A24443">
            <w:rPr>
              <w:rStyle w:val="PageNumber"/>
              <w:caps w:val="0"/>
            </w:rPr>
            <w:fldChar w:fldCharType="end"/>
          </w:r>
        </w:p>
      </w:tc>
      <w:tc>
        <w:tcPr>
          <w:tcW w:w="7767" w:type="dxa"/>
        </w:tcPr>
        <w:p w14:paraId="43A120B1" w14:textId="406C84F7" w:rsidR="007720E8" w:rsidRPr="0013739A" w:rsidRDefault="00A05D24" w:rsidP="0013739A">
          <w:pPr>
            <w:pStyle w:val="Footer"/>
            <w:rPr>
              <w:rFonts w:cs="Arial"/>
            </w:rPr>
          </w:pPr>
          <w:r>
            <w:rPr>
              <w:rFonts w:cs="Arial"/>
            </w:rPr>
            <w:t xml:space="preserve">PC </w:t>
          </w:r>
          <w:r w:rsidR="007720E8">
            <w:rPr>
              <w:rFonts w:cs="Arial"/>
            </w:rPr>
            <w:t>productivity insights 2020</w:t>
          </w:r>
        </w:p>
      </w:tc>
      <w:tc>
        <w:tcPr>
          <w:tcW w:w="510" w:type="dxa"/>
        </w:tcPr>
        <w:p w14:paraId="176FF0C8" w14:textId="77777777" w:rsidR="007720E8" w:rsidRDefault="007720E8" w:rsidP="0019293B">
          <w:pPr>
            <w:pStyle w:val="Footer"/>
          </w:pPr>
        </w:p>
      </w:tc>
    </w:tr>
  </w:tbl>
  <w:p w14:paraId="6D58718D" w14:textId="77777777" w:rsidR="007720E8" w:rsidRDefault="007720E8" w:rsidP="0019293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8AD1D" w14:textId="77777777" w:rsidR="007720E8" w:rsidRDefault="007720E8">
      <w:r>
        <w:separator/>
      </w:r>
    </w:p>
  </w:footnote>
  <w:footnote w:type="continuationSeparator" w:id="0">
    <w:p w14:paraId="3D7FC07B" w14:textId="77777777" w:rsidR="007720E8" w:rsidRDefault="007720E8">
      <w:r>
        <w:continuationSeparator/>
      </w:r>
    </w:p>
  </w:footnote>
  <w:footnote w:id="1">
    <w:p w14:paraId="7BC1A228" w14:textId="0914017A" w:rsidR="007720E8" w:rsidRPr="00DD5BA4" w:rsidRDefault="007720E8" w:rsidP="002B2A31">
      <w:pPr>
        <w:pStyle w:val="FootnoteText"/>
      </w:pPr>
      <w:r>
        <w:rPr>
          <w:rStyle w:val="FootnoteReference"/>
        </w:rPr>
        <w:footnoteRef/>
      </w:r>
      <w:r>
        <w:tab/>
        <w:t xml:space="preserve">The </w:t>
      </w:r>
      <w:r>
        <w:rPr>
          <w:i/>
        </w:rPr>
        <w:t xml:space="preserve">Australian Demographic Statistics </w:t>
      </w:r>
      <w:r>
        <w:t xml:space="preserve">estimate there are 9 423 995 persons aged 28 years or younger, or about 38 per cent of the estimated 24 981 326 resident population </w:t>
      </w:r>
      <w:r w:rsidRPr="00DD707B">
        <w:rPr>
          <w:szCs w:val="24"/>
        </w:rPr>
        <w:t>(ABS 2019a)</w:t>
      </w:r>
      <w:r>
        <w:t>.</w:t>
      </w:r>
    </w:p>
  </w:footnote>
  <w:footnote w:id="2">
    <w:p w14:paraId="4E76C82D" w14:textId="77777777" w:rsidR="007720E8" w:rsidRDefault="007720E8" w:rsidP="002B2A31">
      <w:pPr>
        <w:pStyle w:val="FootnoteText"/>
      </w:pPr>
      <w:r>
        <w:rPr>
          <w:rStyle w:val="FootnoteReference"/>
        </w:rPr>
        <w:footnoteRef/>
      </w:r>
      <w:r>
        <w:tab/>
        <w:t>The labour force participation rate is the percentage of people aged 15 years and over that are employed or unemployed.</w:t>
      </w:r>
    </w:p>
  </w:footnote>
  <w:footnote w:id="3">
    <w:p w14:paraId="3DEA32B3" w14:textId="5B5A26F7" w:rsidR="007720E8" w:rsidRDefault="007720E8" w:rsidP="002B2A31">
      <w:pPr>
        <w:pStyle w:val="FootnoteText"/>
      </w:pPr>
      <w:r>
        <w:rPr>
          <w:rStyle w:val="FootnoteReference"/>
        </w:rPr>
        <w:footnoteRef/>
      </w:r>
      <w:r>
        <w:tab/>
        <w:t xml:space="preserve">In line with the UN System of National Accounts 2008, the ABS capitalises investment in R&amp;D, software, artistic originals and mineral exploration, while other forms of intangible investment including brand equity, firm-specific human capital and organisational capital are treated as expenses and so not included in estimates of the capital stock </w:t>
      </w:r>
      <w:r w:rsidRPr="00D172E8">
        <w:rPr>
          <w:szCs w:val="24"/>
        </w:rPr>
        <w:t>(ABS 2018a)</w:t>
      </w:r>
      <w:r>
        <w:t>.</w:t>
      </w:r>
    </w:p>
  </w:footnote>
  <w:footnote w:id="4">
    <w:p w14:paraId="5CA7DA63" w14:textId="1ADCCCBC" w:rsidR="007720E8" w:rsidRDefault="007720E8" w:rsidP="002B2A31">
      <w:pPr>
        <w:pStyle w:val="FootnoteText"/>
      </w:pPr>
      <w:r>
        <w:rPr>
          <w:rStyle w:val="FootnoteReference"/>
        </w:rPr>
        <w:footnoteRef/>
      </w:r>
      <w:r>
        <w:tab/>
        <w:t>The</w:t>
      </w:r>
      <w:r w:rsidRPr="00596790">
        <w:t xml:space="preserve"> most recent comprehensive estimates for Australia</w:t>
      </w:r>
      <w:r>
        <w:t xml:space="preserve"> </w:t>
      </w:r>
      <w:r w:rsidRPr="00DD707B">
        <w:rPr>
          <w:szCs w:val="24"/>
        </w:rPr>
        <w:t>(Barnes and McClure 2009)</w:t>
      </w:r>
      <w:r w:rsidRPr="00596790">
        <w:t xml:space="preserve"> suggest intangible investment was around half the level </w:t>
      </w:r>
      <w:r>
        <w:t>of tangible investment in 2005-06</w:t>
      </w:r>
      <w:r w:rsidRPr="00596790">
        <w:t>.</w:t>
      </w:r>
    </w:p>
  </w:footnote>
  <w:footnote w:id="5">
    <w:p w14:paraId="2E71EE3E" w14:textId="038363EC" w:rsidR="007720E8" w:rsidRDefault="007720E8" w:rsidP="002B2A31">
      <w:pPr>
        <w:pStyle w:val="FootnoteText"/>
      </w:pPr>
      <w:r>
        <w:rPr>
          <w:rStyle w:val="FootnoteReference"/>
        </w:rPr>
        <w:footnoteRef/>
      </w:r>
      <w:r>
        <w:tab/>
        <w:t xml:space="preserve">Mining productivity growth had been temporarily very weak at the height of the mining boom, as the time needed to build new projects is significant, so high commodity prices encouraged exploitation of more marginal, less productive, reserves using less efficient capital equipment in the interim </w:t>
      </w:r>
      <w:r w:rsidRPr="007D4195">
        <w:rPr>
          <w:szCs w:val="24"/>
        </w:rPr>
        <w:t>(Topp</w:t>
      </w:r>
      <w:r w:rsidR="00311D3C">
        <w:rPr>
          <w:szCs w:val="24"/>
        </w:rPr>
        <w:t xml:space="preserve"> </w:t>
      </w:r>
      <w:r w:rsidR="00311D3C" w:rsidRPr="00311D3C">
        <w:rPr>
          <w:i/>
          <w:szCs w:val="24"/>
        </w:rPr>
        <w:t>et al.</w:t>
      </w:r>
      <w:r w:rsidRPr="007D4195">
        <w:rPr>
          <w:szCs w:val="24"/>
        </w:rPr>
        <w:t> 2008)</w:t>
      </w:r>
      <w:r>
        <w:t>.</w:t>
      </w:r>
    </w:p>
  </w:footnote>
  <w:footnote w:id="6">
    <w:p w14:paraId="63CD980A" w14:textId="77777777" w:rsidR="007720E8" w:rsidRDefault="007720E8" w:rsidP="002B2A31">
      <w:pPr>
        <w:pStyle w:val="FootnoteText"/>
      </w:pPr>
      <w:r>
        <w:rPr>
          <w:rStyle w:val="FootnoteReference"/>
        </w:rPr>
        <w:footnoteRef/>
      </w:r>
      <w:r>
        <w:tab/>
        <w:t>Labour productivity was chosen because it makes for easier cross</w:t>
      </w:r>
      <w:r>
        <w:noBreakHyphen/>
        <w:t>country comparisons than multifactor productivity, though the results are much the same when multifactor productivity growth is used instead.</w:t>
      </w:r>
    </w:p>
  </w:footnote>
  <w:footnote w:id="7">
    <w:p w14:paraId="56F70DE2" w14:textId="6509BD03" w:rsidR="007720E8" w:rsidRDefault="007720E8" w:rsidP="00F51762">
      <w:pPr>
        <w:pStyle w:val="FootnoteText"/>
      </w:pPr>
      <w:r>
        <w:rPr>
          <w:rStyle w:val="FootnoteReference"/>
        </w:rPr>
        <w:footnoteRef/>
      </w:r>
      <w:r>
        <w:tab/>
        <w:t>These papers typically take firm</w:t>
      </w:r>
      <w:r>
        <w:noBreakHyphen/>
        <w:t>level sales and deflate them by industry</w:t>
      </w:r>
      <w:r>
        <w:noBreakHyphen/>
        <w:t xml:space="preserve">level prices. This means that firms with higher than average prices have their production overestimated and vice versa for low price firms. Several papers </w:t>
      </w:r>
      <w:r w:rsidRPr="00B312CD">
        <w:rPr>
          <w:szCs w:val="24"/>
        </w:rPr>
        <w:t>(Foster, Haltiwanger and Syverson 2005; Klette and Griliches 1996)</w:t>
      </w:r>
      <w:r>
        <w:t xml:space="preserve"> have shown that this approach can lead to biased estimates of productivity and the production function. The effect in studies of firm-level productivity dispersion is unclear.</w:t>
      </w:r>
    </w:p>
  </w:footnote>
  <w:footnote w:id="8">
    <w:p w14:paraId="1F159649" w14:textId="2D2B0C4C" w:rsidR="007720E8" w:rsidRDefault="007720E8" w:rsidP="002B2A31">
      <w:pPr>
        <w:pStyle w:val="FootnoteText"/>
      </w:pPr>
      <w:r>
        <w:rPr>
          <w:rStyle w:val="FootnoteReference"/>
        </w:rPr>
        <w:footnoteRef/>
      </w:r>
      <w:r>
        <w:tab/>
      </w:r>
      <w:r w:rsidRPr="005170E2">
        <w:t>Such a counterfactual is impossible to know with any certainty because the mining boom likely affected gross domestic income in other unmeasurable ways. For example, mining productivity may have increased there had been no resources boom, as high prices during the boom encouraged investment in very more marginal extraction. Further, without the crowding out of non-mining investment by the high exchange rate, capital deepening might have contributed more to productivity growth in other industries.</w:t>
      </w:r>
    </w:p>
  </w:footnote>
  <w:footnote w:id="9">
    <w:p w14:paraId="30183A12" w14:textId="6BF92B56" w:rsidR="007720E8" w:rsidRDefault="007720E8" w:rsidP="00C22DCC">
      <w:pPr>
        <w:pStyle w:val="FootnoteText"/>
      </w:pPr>
      <w:r>
        <w:rPr>
          <w:rStyle w:val="FootnoteReference"/>
        </w:rPr>
        <w:footnoteRef/>
      </w:r>
      <w:r>
        <w:tab/>
        <w:t xml:space="preserve">Foreign ownership is very difficult to measure accurately, given the global nature of capital markets. Older estimates by Connolly and Orsmond </w:t>
      </w:r>
      <w:r w:rsidRPr="00D172E8">
        <w:rPr>
          <w:szCs w:val="24"/>
        </w:rPr>
        <w:t>(2011, p. 38)</w:t>
      </w:r>
      <w:r>
        <w:t xml:space="preserve"> which focused on </w:t>
      </w:r>
      <w:r w:rsidRPr="007777A2">
        <w:t>iron ore, coal and LNG producers</w:t>
      </w:r>
      <w:r>
        <w:t xml:space="preserve"> put the figure at about 80 per cent. More recent estimates which focused on the locality of stock owners estimated about 90 per cent foreign ownership for BHP and 85 per cent for Rio Tinto </w:t>
      </w:r>
      <w:r w:rsidRPr="00D172E8">
        <w:rPr>
          <w:szCs w:val="24"/>
        </w:rPr>
        <w:t>(Fernades 2019)</w:t>
      </w:r>
      <w:r>
        <w:t xml:space="preserve">. </w:t>
      </w:r>
    </w:p>
  </w:footnote>
  <w:footnote w:id="10">
    <w:p w14:paraId="38F0AB2F" w14:textId="169DCF1D" w:rsidR="007720E8" w:rsidRDefault="007720E8" w:rsidP="002B2A31">
      <w:pPr>
        <w:pStyle w:val="FootnoteText"/>
      </w:pPr>
      <w:r>
        <w:rPr>
          <w:rStyle w:val="FootnoteReference"/>
        </w:rPr>
        <w:footnoteRef/>
      </w:r>
      <w:r>
        <w:t xml:space="preserve"> </w:t>
      </w:r>
      <w:r>
        <w:tab/>
        <w:t>ABS estimates include adjustments for the implicit labour income of proprietors of unincorporated businesses as part of their industry productivity database.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7720E8" w14:paraId="4F7868FB" w14:textId="77777777">
      <w:tc>
        <w:tcPr>
          <w:tcW w:w="2155" w:type="dxa"/>
          <w:tcBorders>
            <w:top w:val="single" w:sz="24" w:space="0" w:color="auto"/>
          </w:tcBorders>
        </w:tcPr>
        <w:p w14:paraId="2860F328" w14:textId="77777777" w:rsidR="007720E8" w:rsidRDefault="007720E8">
          <w:pPr>
            <w:pStyle w:val="Header"/>
          </w:pPr>
        </w:p>
      </w:tc>
      <w:tc>
        <w:tcPr>
          <w:tcW w:w="6634" w:type="dxa"/>
          <w:tcBorders>
            <w:top w:val="single" w:sz="6" w:space="0" w:color="auto"/>
          </w:tcBorders>
        </w:tcPr>
        <w:p w14:paraId="2A5D1196" w14:textId="77777777" w:rsidR="007720E8" w:rsidRDefault="007720E8">
          <w:pPr>
            <w:pStyle w:val="Header"/>
          </w:pPr>
        </w:p>
      </w:tc>
    </w:tr>
  </w:tbl>
  <w:p w14:paraId="59603595" w14:textId="77777777" w:rsidR="007720E8" w:rsidRDefault="007720E8">
    <w:pPr>
      <w:pStyle w:val="HeaderEn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0E8" w14:paraId="6B0F3BBE" w14:textId="77777777">
      <w:tc>
        <w:tcPr>
          <w:tcW w:w="6634" w:type="dxa"/>
          <w:tcBorders>
            <w:top w:val="single" w:sz="6" w:space="0" w:color="auto"/>
          </w:tcBorders>
        </w:tcPr>
        <w:p w14:paraId="6EB70C5B" w14:textId="77777777" w:rsidR="007720E8" w:rsidRDefault="007720E8" w:rsidP="00E669E2">
          <w:pPr>
            <w:pStyle w:val="HeaderOdd"/>
          </w:pPr>
        </w:p>
      </w:tc>
      <w:tc>
        <w:tcPr>
          <w:tcW w:w="2155" w:type="dxa"/>
          <w:tcBorders>
            <w:top w:val="single" w:sz="24" w:space="0" w:color="auto"/>
          </w:tcBorders>
        </w:tcPr>
        <w:p w14:paraId="7F61EEB3" w14:textId="77777777" w:rsidR="007720E8" w:rsidRDefault="007720E8" w:rsidP="00E669E2">
          <w:pPr>
            <w:pStyle w:val="HeaderOdd"/>
          </w:pPr>
        </w:p>
      </w:tc>
    </w:tr>
  </w:tbl>
  <w:p w14:paraId="4273C576" w14:textId="77777777" w:rsidR="007720E8" w:rsidRDefault="007720E8" w:rsidP="00E669E2">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330C5" w14:textId="77777777" w:rsidR="007720E8" w:rsidRDefault="007720E8" w:rsidP="00E669E2">
    <w:pPr>
      <w:pStyle w:val="HeaderEn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0E8" w14:paraId="56CA99F1" w14:textId="77777777">
      <w:tc>
        <w:tcPr>
          <w:tcW w:w="2155" w:type="dxa"/>
          <w:tcBorders>
            <w:top w:val="single" w:sz="24" w:space="0" w:color="auto"/>
          </w:tcBorders>
        </w:tcPr>
        <w:p w14:paraId="111FA83C" w14:textId="77777777" w:rsidR="007720E8" w:rsidRDefault="007720E8" w:rsidP="0019293B">
          <w:pPr>
            <w:pStyle w:val="HeaderEven"/>
          </w:pPr>
        </w:p>
      </w:tc>
      <w:tc>
        <w:tcPr>
          <w:tcW w:w="6634" w:type="dxa"/>
          <w:tcBorders>
            <w:top w:val="single" w:sz="6" w:space="0" w:color="auto"/>
          </w:tcBorders>
        </w:tcPr>
        <w:p w14:paraId="0685D1B4" w14:textId="77777777" w:rsidR="007720E8" w:rsidRDefault="007720E8" w:rsidP="0019293B">
          <w:pPr>
            <w:pStyle w:val="HeaderEven"/>
          </w:pPr>
        </w:p>
      </w:tc>
    </w:tr>
  </w:tbl>
  <w:p w14:paraId="7230054D" w14:textId="77777777" w:rsidR="007720E8" w:rsidRDefault="007720E8" w:rsidP="0019293B">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0E8" w14:paraId="5B37920D" w14:textId="77777777">
      <w:tc>
        <w:tcPr>
          <w:tcW w:w="6634" w:type="dxa"/>
          <w:tcBorders>
            <w:top w:val="single" w:sz="6" w:space="0" w:color="auto"/>
          </w:tcBorders>
        </w:tcPr>
        <w:p w14:paraId="6A244A07" w14:textId="77777777" w:rsidR="007720E8" w:rsidRDefault="007720E8" w:rsidP="00E669E2">
          <w:pPr>
            <w:pStyle w:val="HeaderOdd"/>
          </w:pPr>
        </w:p>
      </w:tc>
      <w:tc>
        <w:tcPr>
          <w:tcW w:w="2155" w:type="dxa"/>
          <w:tcBorders>
            <w:top w:val="single" w:sz="24" w:space="0" w:color="auto"/>
          </w:tcBorders>
        </w:tcPr>
        <w:p w14:paraId="0D38E861" w14:textId="77777777" w:rsidR="007720E8" w:rsidRDefault="007720E8" w:rsidP="00E669E2">
          <w:pPr>
            <w:pStyle w:val="HeaderOdd"/>
          </w:pPr>
        </w:p>
      </w:tc>
    </w:tr>
  </w:tbl>
  <w:p w14:paraId="7DEADB21" w14:textId="77777777" w:rsidR="007720E8" w:rsidRDefault="007720E8"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0E8" w14:paraId="01D92C42" w14:textId="77777777" w:rsidTr="00D10DB2">
      <w:tc>
        <w:tcPr>
          <w:tcW w:w="6634" w:type="dxa"/>
          <w:tcBorders>
            <w:top w:val="single" w:sz="6" w:space="0" w:color="auto"/>
          </w:tcBorders>
        </w:tcPr>
        <w:p w14:paraId="6DBF585C" w14:textId="77777777" w:rsidR="007720E8" w:rsidRDefault="007720E8" w:rsidP="00D10DB2">
          <w:pPr>
            <w:pStyle w:val="HeaderOdd"/>
          </w:pPr>
        </w:p>
      </w:tc>
      <w:tc>
        <w:tcPr>
          <w:tcW w:w="2155" w:type="dxa"/>
          <w:tcBorders>
            <w:top w:val="single" w:sz="24" w:space="0" w:color="auto"/>
          </w:tcBorders>
        </w:tcPr>
        <w:p w14:paraId="60ADAD2B" w14:textId="77777777" w:rsidR="007720E8" w:rsidRDefault="007720E8" w:rsidP="00D10DB2">
          <w:pPr>
            <w:pStyle w:val="HeaderOdd"/>
          </w:pPr>
        </w:p>
      </w:tc>
    </w:tr>
  </w:tbl>
  <w:p w14:paraId="03838718" w14:textId="77777777" w:rsidR="007720E8" w:rsidRPr="005C68FE" w:rsidRDefault="007720E8" w:rsidP="00D10DB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0E8" w14:paraId="2F8C674C" w14:textId="77777777" w:rsidTr="00D10DB2">
      <w:tc>
        <w:tcPr>
          <w:tcW w:w="2155" w:type="dxa"/>
          <w:tcBorders>
            <w:top w:val="single" w:sz="24" w:space="0" w:color="auto"/>
          </w:tcBorders>
        </w:tcPr>
        <w:p w14:paraId="5C017E85" w14:textId="77777777" w:rsidR="007720E8" w:rsidRDefault="007720E8" w:rsidP="00D10DB2">
          <w:pPr>
            <w:pStyle w:val="HeaderEven"/>
          </w:pPr>
        </w:p>
      </w:tc>
      <w:tc>
        <w:tcPr>
          <w:tcW w:w="6634" w:type="dxa"/>
          <w:tcBorders>
            <w:top w:val="single" w:sz="6" w:space="0" w:color="auto"/>
          </w:tcBorders>
        </w:tcPr>
        <w:p w14:paraId="405FA010" w14:textId="77777777" w:rsidR="007720E8" w:rsidRDefault="007720E8" w:rsidP="00D10DB2">
          <w:pPr>
            <w:pStyle w:val="HeaderEven"/>
          </w:pPr>
        </w:p>
      </w:tc>
    </w:tr>
  </w:tbl>
  <w:p w14:paraId="38638E26" w14:textId="77777777" w:rsidR="007720E8" w:rsidRDefault="007720E8" w:rsidP="00D10DB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0E8" w14:paraId="3BCFCF11" w14:textId="77777777">
      <w:tc>
        <w:tcPr>
          <w:tcW w:w="6634" w:type="dxa"/>
          <w:tcBorders>
            <w:top w:val="single" w:sz="6" w:space="0" w:color="auto"/>
          </w:tcBorders>
        </w:tcPr>
        <w:p w14:paraId="69B2868B" w14:textId="77777777" w:rsidR="007720E8" w:rsidRDefault="007720E8">
          <w:pPr>
            <w:pStyle w:val="HeaderOdd"/>
          </w:pPr>
        </w:p>
      </w:tc>
      <w:tc>
        <w:tcPr>
          <w:tcW w:w="2155" w:type="dxa"/>
          <w:tcBorders>
            <w:top w:val="single" w:sz="24" w:space="0" w:color="auto"/>
          </w:tcBorders>
        </w:tcPr>
        <w:p w14:paraId="00E066AE" w14:textId="77777777" w:rsidR="007720E8" w:rsidRDefault="007720E8">
          <w:pPr>
            <w:pStyle w:val="HeaderOdd"/>
          </w:pPr>
        </w:p>
      </w:tc>
    </w:tr>
  </w:tbl>
  <w:p w14:paraId="2E479F50" w14:textId="77777777" w:rsidR="007720E8" w:rsidRDefault="007720E8" w:rsidP="00D10DB2">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0E8" w14:paraId="0244B265" w14:textId="77777777">
      <w:tc>
        <w:tcPr>
          <w:tcW w:w="2155" w:type="dxa"/>
          <w:tcBorders>
            <w:top w:val="single" w:sz="24" w:space="0" w:color="auto"/>
          </w:tcBorders>
        </w:tcPr>
        <w:p w14:paraId="1AFE59AA" w14:textId="77777777" w:rsidR="007720E8" w:rsidRDefault="007720E8" w:rsidP="0019293B">
          <w:pPr>
            <w:pStyle w:val="HeaderEven"/>
          </w:pPr>
        </w:p>
      </w:tc>
      <w:tc>
        <w:tcPr>
          <w:tcW w:w="6634" w:type="dxa"/>
          <w:tcBorders>
            <w:top w:val="single" w:sz="6" w:space="0" w:color="auto"/>
          </w:tcBorders>
        </w:tcPr>
        <w:p w14:paraId="2AC27D11" w14:textId="77777777" w:rsidR="007720E8" w:rsidRDefault="007720E8" w:rsidP="0019293B">
          <w:pPr>
            <w:pStyle w:val="HeaderEven"/>
          </w:pPr>
        </w:p>
      </w:tc>
    </w:tr>
  </w:tbl>
  <w:p w14:paraId="384899DD" w14:textId="58F72409" w:rsidR="007720E8" w:rsidRDefault="007720E8" w:rsidP="000C6A66">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0E8" w14:paraId="6F5B926B" w14:textId="77777777" w:rsidTr="005E7DD0">
      <w:trPr>
        <w:trHeight w:val="212"/>
      </w:trPr>
      <w:tc>
        <w:tcPr>
          <w:tcW w:w="6634" w:type="dxa"/>
          <w:tcBorders>
            <w:top w:val="single" w:sz="6" w:space="0" w:color="auto"/>
          </w:tcBorders>
        </w:tcPr>
        <w:p w14:paraId="4EDFDF86" w14:textId="2FF561AD" w:rsidR="007720E8" w:rsidRDefault="007720E8" w:rsidP="005E7DD0">
          <w:pPr>
            <w:pStyle w:val="HeaderOdd"/>
            <w:tabs>
              <w:tab w:val="clear" w:pos="4394"/>
              <w:tab w:val="clear" w:pos="8789"/>
              <w:tab w:val="left" w:pos="4154"/>
            </w:tabs>
          </w:pPr>
        </w:p>
      </w:tc>
      <w:tc>
        <w:tcPr>
          <w:tcW w:w="2155" w:type="dxa"/>
          <w:tcBorders>
            <w:top w:val="single" w:sz="24" w:space="0" w:color="auto"/>
          </w:tcBorders>
        </w:tcPr>
        <w:p w14:paraId="7D8EEE5E" w14:textId="77777777" w:rsidR="007720E8" w:rsidRDefault="007720E8" w:rsidP="00E669E2">
          <w:pPr>
            <w:pStyle w:val="HeaderOdd"/>
          </w:pPr>
        </w:p>
      </w:tc>
    </w:tr>
  </w:tbl>
  <w:p w14:paraId="3B6ABA40" w14:textId="34A59207" w:rsidR="007720E8" w:rsidRDefault="007720E8" w:rsidP="000C6A66">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0D372" w14:textId="77777777" w:rsidR="007720E8" w:rsidRDefault="007720E8" w:rsidP="000C6A66">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4B8F7" w14:textId="77777777" w:rsidR="007720E8" w:rsidRDefault="007720E8" w:rsidP="000C6A66">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0E8" w14:paraId="27C0762B" w14:textId="77777777">
      <w:tc>
        <w:tcPr>
          <w:tcW w:w="2155" w:type="dxa"/>
          <w:tcBorders>
            <w:top w:val="single" w:sz="24" w:space="0" w:color="auto"/>
          </w:tcBorders>
        </w:tcPr>
        <w:p w14:paraId="31B0985A" w14:textId="77777777" w:rsidR="007720E8" w:rsidRDefault="007720E8" w:rsidP="0019293B">
          <w:pPr>
            <w:pStyle w:val="HeaderEven"/>
          </w:pPr>
        </w:p>
      </w:tc>
      <w:tc>
        <w:tcPr>
          <w:tcW w:w="6634" w:type="dxa"/>
          <w:tcBorders>
            <w:top w:val="single" w:sz="6" w:space="0" w:color="auto"/>
          </w:tcBorders>
        </w:tcPr>
        <w:p w14:paraId="5ED18AA3" w14:textId="77777777" w:rsidR="007720E8" w:rsidRDefault="007720E8" w:rsidP="0019293B">
          <w:pPr>
            <w:pStyle w:val="HeaderEven"/>
          </w:pPr>
        </w:p>
      </w:tc>
    </w:tr>
  </w:tbl>
  <w:p w14:paraId="1D821921" w14:textId="77777777" w:rsidR="007720E8" w:rsidRDefault="007720E8" w:rsidP="0019293B">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19"/>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0"/>
  </w:num>
  <w:num w:numId="16">
    <w:abstractNumId w:val="13"/>
  </w:num>
  <w:num w:numId="17">
    <w:abstractNumId w:val="21"/>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9"/>
  </w:num>
  <w:num w:numId="22">
    <w:abstractNumId w:val="1"/>
  </w:num>
  <w:num w:numId="2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Recent productivity trends"/>
    <w:docVar w:name="ShortReportTitle" w:val="PC Productivity Insights"/>
  </w:docVars>
  <w:rsids>
    <w:rsidRoot w:val="002B2A31"/>
    <w:rsid w:val="0000713E"/>
    <w:rsid w:val="00011EC8"/>
    <w:rsid w:val="000227D5"/>
    <w:rsid w:val="000245AA"/>
    <w:rsid w:val="0003664B"/>
    <w:rsid w:val="0004111F"/>
    <w:rsid w:val="0005505A"/>
    <w:rsid w:val="00055077"/>
    <w:rsid w:val="000565B3"/>
    <w:rsid w:val="000666EE"/>
    <w:rsid w:val="0007150B"/>
    <w:rsid w:val="00072064"/>
    <w:rsid w:val="00084D17"/>
    <w:rsid w:val="000938F5"/>
    <w:rsid w:val="00095663"/>
    <w:rsid w:val="00096E55"/>
    <w:rsid w:val="0009783E"/>
    <w:rsid w:val="000B1022"/>
    <w:rsid w:val="000B1F1B"/>
    <w:rsid w:val="000B5318"/>
    <w:rsid w:val="000B601B"/>
    <w:rsid w:val="000C207E"/>
    <w:rsid w:val="000C6A66"/>
    <w:rsid w:val="000D41E9"/>
    <w:rsid w:val="000F0035"/>
    <w:rsid w:val="000F04E7"/>
    <w:rsid w:val="000F060A"/>
    <w:rsid w:val="000F420B"/>
    <w:rsid w:val="000F539C"/>
    <w:rsid w:val="001068E1"/>
    <w:rsid w:val="00110116"/>
    <w:rsid w:val="00111453"/>
    <w:rsid w:val="00114BF1"/>
    <w:rsid w:val="00120072"/>
    <w:rsid w:val="00126EB8"/>
    <w:rsid w:val="001274D4"/>
    <w:rsid w:val="00130CA6"/>
    <w:rsid w:val="00131164"/>
    <w:rsid w:val="001363AA"/>
    <w:rsid w:val="0013739A"/>
    <w:rsid w:val="0013764E"/>
    <w:rsid w:val="00137B73"/>
    <w:rsid w:val="00142165"/>
    <w:rsid w:val="00146ACD"/>
    <w:rsid w:val="00150DA2"/>
    <w:rsid w:val="00162434"/>
    <w:rsid w:val="00177E1C"/>
    <w:rsid w:val="00183E82"/>
    <w:rsid w:val="001878BB"/>
    <w:rsid w:val="00191AE0"/>
    <w:rsid w:val="0019293B"/>
    <w:rsid w:val="0019426B"/>
    <w:rsid w:val="00196A42"/>
    <w:rsid w:val="001A1830"/>
    <w:rsid w:val="001A6A4B"/>
    <w:rsid w:val="001C0865"/>
    <w:rsid w:val="001C0AED"/>
    <w:rsid w:val="001C3ABA"/>
    <w:rsid w:val="001C5111"/>
    <w:rsid w:val="001E44D6"/>
    <w:rsid w:val="001E7BE8"/>
    <w:rsid w:val="001E7D79"/>
    <w:rsid w:val="001F0248"/>
    <w:rsid w:val="001F15DD"/>
    <w:rsid w:val="001F3EB3"/>
    <w:rsid w:val="001F4F86"/>
    <w:rsid w:val="00202C2C"/>
    <w:rsid w:val="00203050"/>
    <w:rsid w:val="0020653C"/>
    <w:rsid w:val="002135AB"/>
    <w:rsid w:val="002144BE"/>
    <w:rsid w:val="002320B8"/>
    <w:rsid w:val="00240054"/>
    <w:rsid w:val="00241425"/>
    <w:rsid w:val="00242279"/>
    <w:rsid w:val="00242BBC"/>
    <w:rsid w:val="00243997"/>
    <w:rsid w:val="00244A39"/>
    <w:rsid w:val="0024516C"/>
    <w:rsid w:val="00245B22"/>
    <w:rsid w:val="00245C82"/>
    <w:rsid w:val="00263A26"/>
    <w:rsid w:val="002716E8"/>
    <w:rsid w:val="002724BA"/>
    <w:rsid w:val="0028167F"/>
    <w:rsid w:val="00291B40"/>
    <w:rsid w:val="002B2A31"/>
    <w:rsid w:val="002B3FE3"/>
    <w:rsid w:val="002B4008"/>
    <w:rsid w:val="002C3445"/>
    <w:rsid w:val="002C439F"/>
    <w:rsid w:val="002C4852"/>
    <w:rsid w:val="002C5A8C"/>
    <w:rsid w:val="002C6BBC"/>
    <w:rsid w:val="002D0C42"/>
    <w:rsid w:val="002D0E8E"/>
    <w:rsid w:val="002D2276"/>
    <w:rsid w:val="002D62D0"/>
    <w:rsid w:val="002E0866"/>
    <w:rsid w:val="002E2327"/>
    <w:rsid w:val="002F4D4E"/>
    <w:rsid w:val="00301189"/>
    <w:rsid w:val="00301E4A"/>
    <w:rsid w:val="00306C31"/>
    <w:rsid w:val="00311D3C"/>
    <w:rsid w:val="003168B8"/>
    <w:rsid w:val="00321DBA"/>
    <w:rsid w:val="00322D64"/>
    <w:rsid w:val="00323E09"/>
    <w:rsid w:val="0033229D"/>
    <w:rsid w:val="00333932"/>
    <w:rsid w:val="003449B5"/>
    <w:rsid w:val="003518AA"/>
    <w:rsid w:val="00352165"/>
    <w:rsid w:val="00353182"/>
    <w:rsid w:val="00354636"/>
    <w:rsid w:val="003565D9"/>
    <w:rsid w:val="003602E1"/>
    <w:rsid w:val="00363C86"/>
    <w:rsid w:val="0037026F"/>
    <w:rsid w:val="00371240"/>
    <w:rsid w:val="00374731"/>
    <w:rsid w:val="00376E59"/>
    <w:rsid w:val="00377EC1"/>
    <w:rsid w:val="00380340"/>
    <w:rsid w:val="00383BFD"/>
    <w:rsid w:val="00385D55"/>
    <w:rsid w:val="0039177C"/>
    <w:rsid w:val="003919F9"/>
    <w:rsid w:val="00391BBC"/>
    <w:rsid w:val="003920CF"/>
    <w:rsid w:val="003A095E"/>
    <w:rsid w:val="003A3B23"/>
    <w:rsid w:val="003B23C2"/>
    <w:rsid w:val="003B6D66"/>
    <w:rsid w:val="003C38B5"/>
    <w:rsid w:val="003C39E0"/>
    <w:rsid w:val="003C5D99"/>
    <w:rsid w:val="003D1087"/>
    <w:rsid w:val="003D41DE"/>
    <w:rsid w:val="003D7544"/>
    <w:rsid w:val="003E2F59"/>
    <w:rsid w:val="003E746B"/>
    <w:rsid w:val="003F0789"/>
    <w:rsid w:val="003F777C"/>
    <w:rsid w:val="00401882"/>
    <w:rsid w:val="004100C8"/>
    <w:rsid w:val="00411DBD"/>
    <w:rsid w:val="00412592"/>
    <w:rsid w:val="00412ACE"/>
    <w:rsid w:val="004145D2"/>
    <w:rsid w:val="00425128"/>
    <w:rsid w:val="00426CB4"/>
    <w:rsid w:val="004305B5"/>
    <w:rsid w:val="00431249"/>
    <w:rsid w:val="00434C19"/>
    <w:rsid w:val="00435EA9"/>
    <w:rsid w:val="00435FB0"/>
    <w:rsid w:val="00450810"/>
    <w:rsid w:val="00460F20"/>
    <w:rsid w:val="00462C59"/>
    <w:rsid w:val="00470737"/>
    <w:rsid w:val="00477144"/>
    <w:rsid w:val="00481E07"/>
    <w:rsid w:val="00483B6A"/>
    <w:rsid w:val="00491380"/>
    <w:rsid w:val="0049459F"/>
    <w:rsid w:val="004A38DD"/>
    <w:rsid w:val="004B036A"/>
    <w:rsid w:val="004B241D"/>
    <w:rsid w:val="004B43AE"/>
    <w:rsid w:val="004C30ED"/>
    <w:rsid w:val="004C5A74"/>
    <w:rsid w:val="004C7825"/>
    <w:rsid w:val="004D2B27"/>
    <w:rsid w:val="004D5675"/>
    <w:rsid w:val="004E2D93"/>
    <w:rsid w:val="004F6049"/>
    <w:rsid w:val="005007F4"/>
    <w:rsid w:val="00505E15"/>
    <w:rsid w:val="0051306E"/>
    <w:rsid w:val="00516FB0"/>
    <w:rsid w:val="005170E2"/>
    <w:rsid w:val="00517795"/>
    <w:rsid w:val="005224B9"/>
    <w:rsid w:val="00522C31"/>
    <w:rsid w:val="00523639"/>
    <w:rsid w:val="005310C7"/>
    <w:rsid w:val="00531FE5"/>
    <w:rsid w:val="005402FA"/>
    <w:rsid w:val="00541E1A"/>
    <w:rsid w:val="00543F93"/>
    <w:rsid w:val="005520FD"/>
    <w:rsid w:val="00554F33"/>
    <w:rsid w:val="005729BD"/>
    <w:rsid w:val="00573437"/>
    <w:rsid w:val="00573BE3"/>
    <w:rsid w:val="00580154"/>
    <w:rsid w:val="00583C39"/>
    <w:rsid w:val="00586A90"/>
    <w:rsid w:val="00587F28"/>
    <w:rsid w:val="005909CF"/>
    <w:rsid w:val="00591E71"/>
    <w:rsid w:val="00596AB2"/>
    <w:rsid w:val="005A0D41"/>
    <w:rsid w:val="005A2C1E"/>
    <w:rsid w:val="005B01FE"/>
    <w:rsid w:val="005B7E3D"/>
    <w:rsid w:val="005D329F"/>
    <w:rsid w:val="005E1254"/>
    <w:rsid w:val="005E6433"/>
    <w:rsid w:val="005E7DD0"/>
    <w:rsid w:val="005F48ED"/>
    <w:rsid w:val="00601165"/>
    <w:rsid w:val="00606E78"/>
    <w:rsid w:val="00607019"/>
    <w:rsid w:val="00607BF1"/>
    <w:rsid w:val="00613376"/>
    <w:rsid w:val="00615607"/>
    <w:rsid w:val="00621513"/>
    <w:rsid w:val="00624AF7"/>
    <w:rsid w:val="00630D4D"/>
    <w:rsid w:val="00632A74"/>
    <w:rsid w:val="00635EC2"/>
    <w:rsid w:val="00640657"/>
    <w:rsid w:val="00641820"/>
    <w:rsid w:val="00654D42"/>
    <w:rsid w:val="00666E02"/>
    <w:rsid w:val="00680608"/>
    <w:rsid w:val="00694514"/>
    <w:rsid w:val="0069486C"/>
    <w:rsid w:val="006A4655"/>
    <w:rsid w:val="006A5FC4"/>
    <w:rsid w:val="006A7758"/>
    <w:rsid w:val="006B0A4B"/>
    <w:rsid w:val="006B2B3C"/>
    <w:rsid w:val="006B75F9"/>
    <w:rsid w:val="006C0D00"/>
    <w:rsid w:val="006C1D81"/>
    <w:rsid w:val="006C7038"/>
    <w:rsid w:val="006E4948"/>
    <w:rsid w:val="006E73EF"/>
    <w:rsid w:val="0070160E"/>
    <w:rsid w:val="007079C9"/>
    <w:rsid w:val="00711FFF"/>
    <w:rsid w:val="00714D4D"/>
    <w:rsid w:val="007266D3"/>
    <w:rsid w:val="007272A9"/>
    <w:rsid w:val="00731F90"/>
    <w:rsid w:val="00732029"/>
    <w:rsid w:val="007410C5"/>
    <w:rsid w:val="007515CE"/>
    <w:rsid w:val="007604BB"/>
    <w:rsid w:val="007720E8"/>
    <w:rsid w:val="00772909"/>
    <w:rsid w:val="007801F8"/>
    <w:rsid w:val="007834C8"/>
    <w:rsid w:val="00785232"/>
    <w:rsid w:val="00793899"/>
    <w:rsid w:val="0079701E"/>
    <w:rsid w:val="007A21EB"/>
    <w:rsid w:val="007B1A93"/>
    <w:rsid w:val="007C1CC8"/>
    <w:rsid w:val="007C36C9"/>
    <w:rsid w:val="007D6401"/>
    <w:rsid w:val="007D7CC1"/>
    <w:rsid w:val="007E01E4"/>
    <w:rsid w:val="007E26A9"/>
    <w:rsid w:val="007E7A12"/>
    <w:rsid w:val="007F7107"/>
    <w:rsid w:val="00800D4C"/>
    <w:rsid w:val="0081030F"/>
    <w:rsid w:val="00812F4A"/>
    <w:rsid w:val="008173D3"/>
    <w:rsid w:val="0082087D"/>
    <w:rsid w:val="0082415A"/>
    <w:rsid w:val="00835771"/>
    <w:rsid w:val="00842933"/>
    <w:rsid w:val="00846442"/>
    <w:rsid w:val="0086082C"/>
    <w:rsid w:val="00862BC2"/>
    <w:rsid w:val="00864ADC"/>
    <w:rsid w:val="00866218"/>
    <w:rsid w:val="0087050B"/>
    <w:rsid w:val="0087142C"/>
    <w:rsid w:val="00871938"/>
    <w:rsid w:val="00875B4A"/>
    <w:rsid w:val="00880153"/>
    <w:rsid w:val="00880F97"/>
    <w:rsid w:val="0088133A"/>
    <w:rsid w:val="008817E0"/>
    <w:rsid w:val="008921E6"/>
    <w:rsid w:val="0089285E"/>
    <w:rsid w:val="0089436C"/>
    <w:rsid w:val="008969C2"/>
    <w:rsid w:val="008A1F98"/>
    <w:rsid w:val="008A57F3"/>
    <w:rsid w:val="008D365C"/>
    <w:rsid w:val="008D396B"/>
    <w:rsid w:val="008D5C6B"/>
    <w:rsid w:val="008D7622"/>
    <w:rsid w:val="008E29ED"/>
    <w:rsid w:val="009021A6"/>
    <w:rsid w:val="009030BF"/>
    <w:rsid w:val="00903B52"/>
    <w:rsid w:val="0091032F"/>
    <w:rsid w:val="00914368"/>
    <w:rsid w:val="00931076"/>
    <w:rsid w:val="009345D9"/>
    <w:rsid w:val="00934B15"/>
    <w:rsid w:val="00935921"/>
    <w:rsid w:val="00940C87"/>
    <w:rsid w:val="00942B62"/>
    <w:rsid w:val="0095323B"/>
    <w:rsid w:val="00956A0C"/>
    <w:rsid w:val="00956BD9"/>
    <w:rsid w:val="00961430"/>
    <w:rsid w:val="00962489"/>
    <w:rsid w:val="0096283D"/>
    <w:rsid w:val="009630DC"/>
    <w:rsid w:val="00967CD3"/>
    <w:rsid w:val="00987122"/>
    <w:rsid w:val="00990C2C"/>
    <w:rsid w:val="009A5171"/>
    <w:rsid w:val="009A6856"/>
    <w:rsid w:val="009B78D2"/>
    <w:rsid w:val="009C2E85"/>
    <w:rsid w:val="009D0105"/>
    <w:rsid w:val="009D5878"/>
    <w:rsid w:val="009E0D8E"/>
    <w:rsid w:val="009E1844"/>
    <w:rsid w:val="009F0D1B"/>
    <w:rsid w:val="009F53DD"/>
    <w:rsid w:val="009F5BBD"/>
    <w:rsid w:val="009F696D"/>
    <w:rsid w:val="009F6BC6"/>
    <w:rsid w:val="009F74EF"/>
    <w:rsid w:val="00A02826"/>
    <w:rsid w:val="00A05D24"/>
    <w:rsid w:val="00A15D5A"/>
    <w:rsid w:val="00A17328"/>
    <w:rsid w:val="00A23A20"/>
    <w:rsid w:val="00A24443"/>
    <w:rsid w:val="00A26278"/>
    <w:rsid w:val="00A268B9"/>
    <w:rsid w:val="00A2703A"/>
    <w:rsid w:val="00A33DFF"/>
    <w:rsid w:val="00A35115"/>
    <w:rsid w:val="00A36D9A"/>
    <w:rsid w:val="00A44A45"/>
    <w:rsid w:val="00A451DC"/>
    <w:rsid w:val="00A554AB"/>
    <w:rsid w:val="00A57062"/>
    <w:rsid w:val="00A67781"/>
    <w:rsid w:val="00A73769"/>
    <w:rsid w:val="00A73986"/>
    <w:rsid w:val="00A761F9"/>
    <w:rsid w:val="00A80B90"/>
    <w:rsid w:val="00A92B53"/>
    <w:rsid w:val="00A94FA6"/>
    <w:rsid w:val="00A953DB"/>
    <w:rsid w:val="00A97BC3"/>
    <w:rsid w:val="00AA49A0"/>
    <w:rsid w:val="00AA6710"/>
    <w:rsid w:val="00AB0681"/>
    <w:rsid w:val="00AB4C80"/>
    <w:rsid w:val="00AC3A15"/>
    <w:rsid w:val="00AC507F"/>
    <w:rsid w:val="00AC7EE6"/>
    <w:rsid w:val="00AD0B3C"/>
    <w:rsid w:val="00AD520B"/>
    <w:rsid w:val="00AE3BCC"/>
    <w:rsid w:val="00AE4410"/>
    <w:rsid w:val="00AE7169"/>
    <w:rsid w:val="00AF0735"/>
    <w:rsid w:val="00B0210C"/>
    <w:rsid w:val="00B02350"/>
    <w:rsid w:val="00B425C3"/>
    <w:rsid w:val="00B4373D"/>
    <w:rsid w:val="00B440AD"/>
    <w:rsid w:val="00B45B68"/>
    <w:rsid w:val="00B479BB"/>
    <w:rsid w:val="00B53E7E"/>
    <w:rsid w:val="00B6342E"/>
    <w:rsid w:val="00B7113F"/>
    <w:rsid w:val="00B82758"/>
    <w:rsid w:val="00B96240"/>
    <w:rsid w:val="00B97EE1"/>
    <w:rsid w:val="00BA2BCF"/>
    <w:rsid w:val="00BA5B14"/>
    <w:rsid w:val="00BA73B6"/>
    <w:rsid w:val="00BA7E27"/>
    <w:rsid w:val="00BB2603"/>
    <w:rsid w:val="00BB4FCD"/>
    <w:rsid w:val="00BB70E4"/>
    <w:rsid w:val="00BB7ED7"/>
    <w:rsid w:val="00BC04E9"/>
    <w:rsid w:val="00BD13EA"/>
    <w:rsid w:val="00BD1B4D"/>
    <w:rsid w:val="00BE3808"/>
    <w:rsid w:val="00BE4D73"/>
    <w:rsid w:val="00BF663A"/>
    <w:rsid w:val="00C03B88"/>
    <w:rsid w:val="00C062E9"/>
    <w:rsid w:val="00C069AA"/>
    <w:rsid w:val="00C07B64"/>
    <w:rsid w:val="00C13721"/>
    <w:rsid w:val="00C14FE4"/>
    <w:rsid w:val="00C22DCC"/>
    <w:rsid w:val="00C25A0C"/>
    <w:rsid w:val="00C3066D"/>
    <w:rsid w:val="00C3373E"/>
    <w:rsid w:val="00C3765F"/>
    <w:rsid w:val="00C52416"/>
    <w:rsid w:val="00C543F4"/>
    <w:rsid w:val="00C55DD8"/>
    <w:rsid w:val="00C60676"/>
    <w:rsid w:val="00C60BBB"/>
    <w:rsid w:val="00C6291C"/>
    <w:rsid w:val="00C633CB"/>
    <w:rsid w:val="00C64421"/>
    <w:rsid w:val="00C647D8"/>
    <w:rsid w:val="00C664CD"/>
    <w:rsid w:val="00C736B7"/>
    <w:rsid w:val="00C75129"/>
    <w:rsid w:val="00C81D4A"/>
    <w:rsid w:val="00C8762C"/>
    <w:rsid w:val="00C94D3E"/>
    <w:rsid w:val="00CA00F9"/>
    <w:rsid w:val="00CA2961"/>
    <w:rsid w:val="00CB50D7"/>
    <w:rsid w:val="00CB7177"/>
    <w:rsid w:val="00CB7CED"/>
    <w:rsid w:val="00CC0374"/>
    <w:rsid w:val="00CC070F"/>
    <w:rsid w:val="00CC1998"/>
    <w:rsid w:val="00CC4946"/>
    <w:rsid w:val="00CC64A1"/>
    <w:rsid w:val="00CC7834"/>
    <w:rsid w:val="00CE621D"/>
    <w:rsid w:val="00CF1F6B"/>
    <w:rsid w:val="00CF3B11"/>
    <w:rsid w:val="00CF47F6"/>
    <w:rsid w:val="00CF6C5A"/>
    <w:rsid w:val="00D0260E"/>
    <w:rsid w:val="00D03661"/>
    <w:rsid w:val="00D06B88"/>
    <w:rsid w:val="00D06F31"/>
    <w:rsid w:val="00D10DB2"/>
    <w:rsid w:val="00D11239"/>
    <w:rsid w:val="00D128CD"/>
    <w:rsid w:val="00D210DB"/>
    <w:rsid w:val="00D21661"/>
    <w:rsid w:val="00D22F14"/>
    <w:rsid w:val="00D270A4"/>
    <w:rsid w:val="00D30859"/>
    <w:rsid w:val="00D31FE9"/>
    <w:rsid w:val="00D32867"/>
    <w:rsid w:val="00D34E1B"/>
    <w:rsid w:val="00D376BA"/>
    <w:rsid w:val="00D413C1"/>
    <w:rsid w:val="00D434A0"/>
    <w:rsid w:val="00D45634"/>
    <w:rsid w:val="00D5568A"/>
    <w:rsid w:val="00D57514"/>
    <w:rsid w:val="00D63293"/>
    <w:rsid w:val="00D63D73"/>
    <w:rsid w:val="00D64387"/>
    <w:rsid w:val="00D64452"/>
    <w:rsid w:val="00D66E1E"/>
    <w:rsid w:val="00D67FE6"/>
    <w:rsid w:val="00D70696"/>
    <w:rsid w:val="00D71837"/>
    <w:rsid w:val="00D74C41"/>
    <w:rsid w:val="00D75722"/>
    <w:rsid w:val="00D80CF5"/>
    <w:rsid w:val="00D86F2D"/>
    <w:rsid w:val="00D96B9B"/>
    <w:rsid w:val="00DA5BBA"/>
    <w:rsid w:val="00DB26D2"/>
    <w:rsid w:val="00DB67C9"/>
    <w:rsid w:val="00DC0C95"/>
    <w:rsid w:val="00DC4F0B"/>
    <w:rsid w:val="00DD6580"/>
    <w:rsid w:val="00E01D7F"/>
    <w:rsid w:val="00E03588"/>
    <w:rsid w:val="00E05C03"/>
    <w:rsid w:val="00E12EDE"/>
    <w:rsid w:val="00E17C72"/>
    <w:rsid w:val="00E21FC6"/>
    <w:rsid w:val="00E2212E"/>
    <w:rsid w:val="00E229BA"/>
    <w:rsid w:val="00E246C4"/>
    <w:rsid w:val="00E431A9"/>
    <w:rsid w:val="00E47E1E"/>
    <w:rsid w:val="00E669E2"/>
    <w:rsid w:val="00E70586"/>
    <w:rsid w:val="00E76135"/>
    <w:rsid w:val="00E80BCD"/>
    <w:rsid w:val="00E82F4F"/>
    <w:rsid w:val="00E864DF"/>
    <w:rsid w:val="00E906AF"/>
    <w:rsid w:val="00E91512"/>
    <w:rsid w:val="00EA3852"/>
    <w:rsid w:val="00EB2284"/>
    <w:rsid w:val="00EB2CC3"/>
    <w:rsid w:val="00EC2844"/>
    <w:rsid w:val="00EC3567"/>
    <w:rsid w:val="00EC3AFF"/>
    <w:rsid w:val="00EC5500"/>
    <w:rsid w:val="00EC571E"/>
    <w:rsid w:val="00ED18F8"/>
    <w:rsid w:val="00ED273E"/>
    <w:rsid w:val="00EE3695"/>
    <w:rsid w:val="00EE6EDA"/>
    <w:rsid w:val="00EE778E"/>
    <w:rsid w:val="00EF6719"/>
    <w:rsid w:val="00EF685B"/>
    <w:rsid w:val="00EF6C6C"/>
    <w:rsid w:val="00F056FC"/>
    <w:rsid w:val="00F0632F"/>
    <w:rsid w:val="00F069AE"/>
    <w:rsid w:val="00F10476"/>
    <w:rsid w:val="00F10D3C"/>
    <w:rsid w:val="00F135D8"/>
    <w:rsid w:val="00F27134"/>
    <w:rsid w:val="00F30F3B"/>
    <w:rsid w:val="00F31299"/>
    <w:rsid w:val="00F3534A"/>
    <w:rsid w:val="00F35371"/>
    <w:rsid w:val="00F35BFB"/>
    <w:rsid w:val="00F36ACC"/>
    <w:rsid w:val="00F51609"/>
    <w:rsid w:val="00F51762"/>
    <w:rsid w:val="00F55C25"/>
    <w:rsid w:val="00F72621"/>
    <w:rsid w:val="00F73727"/>
    <w:rsid w:val="00F73C8D"/>
    <w:rsid w:val="00F766A7"/>
    <w:rsid w:val="00F81006"/>
    <w:rsid w:val="00F83FC8"/>
    <w:rsid w:val="00F85325"/>
    <w:rsid w:val="00FB4814"/>
    <w:rsid w:val="00FB6534"/>
    <w:rsid w:val="00FD1DD1"/>
    <w:rsid w:val="00FD22B1"/>
    <w:rsid w:val="00FD33F1"/>
    <w:rsid w:val="00FD3566"/>
    <w:rsid w:val="00FE1DD1"/>
    <w:rsid w:val="00FE3C71"/>
    <w:rsid w:val="00FE5397"/>
    <w:rsid w:val="00FF1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24B2959"/>
  <w15:docId w15:val="{26FECBA3-1BA3-4181-BC94-34B36BB1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2A31"/>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CommentSubject">
    <w:name w:val="annotation subject"/>
    <w:basedOn w:val="CommentText"/>
    <w:next w:val="CommentText"/>
    <w:link w:val="CommentSubjectChar"/>
    <w:semiHidden/>
    <w:unhideWhenUsed/>
    <w:rsid w:val="002B2A31"/>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2B2A31"/>
    <w:rPr>
      <w:szCs w:val="24"/>
    </w:rPr>
  </w:style>
  <w:style w:type="character" w:customStyle="1" w:styleId="CommentSubjectChar">
    <w:name w:val="Comment Subject Char"/>
    <w:basedOn w:val="CommentTextChar"/>
    <w:link w:val="CommentSubject"/>
    <w:semiHidden/>
    <w:rsid w:val="002B2A31"/>
    <w:rPr>
      <w:b/>
      <w:bCs/>
      <w:szCs w:val="24"/>
    </w:rPr>
  </w:style>
  <w:style w:type="character" w:customStyle="1" w:styleId="NoteChar">
    <w:name w:val="Note Char"/>
    <w:basedOn w:val="DefaultParagraphFont"/>
    <w:link w:val="Note"/>
    <w:locked/>
    <w:rsid w:val="002B2A31"/>
    <w:rPr>
      <w:rFonts w:ascii="Arial" w:hAnsi="Arial"/>
      <w:sz w:val="18"/>
    </w:rPr>
  </w:style>
  <w:style w:type="paragraph" w:styleId="Revision">
    <w:name w:val="Revision"/>
    <w:hidden/>
    <w:uiPriority w:val="99"/>
    <w:semiHidden/>
    <w:rsid w:val="002B2A31"/>
    <w:rPr>
      <w:sz w:val="24"/>
      <w:szCs w:val="24"/>
    </w:rPr>
  </w:style>
  <w:style w:type="character" w:customStyle="1" w:styleId="SourceChar">
    <w:name w:val="Source Char"/>
    <w:basedOn w:val="DefaultParagraphFont"/>
    <w:link w:val="Source"/>
    <w:rsid w:val="002B2A31"/>
    <w:rPr>
      <w:rFonts w:ascii="Arial" w:hAnsi="Arial"/>
      <w:sz w:val="18"/>
    </w:rPr>
  </w:style>
  <w:style w:type="paragraph" w:customStyle="1" w:styleId="Heading2NotTOC">
    <w:name w:val="Heading 2 Not TOC"/>
    <w:basedOn w:val="Heading2"/>
    <w:next w:val="BodyText"/>
    <w:rsid w:val="00C55DD8"/>
  </w:style>
  <w:style w:type="paragraph" w:customStyle="1" w:styleId="Heading1NotTOC">
    <w:name w:val="Heading 1 Not TOC"/>
    <w:basedOn w:val="Heading1"/>
    <w:next w:val="BodyText"/>
    <w:rsid w:val="00C55DD8"/>
    <w:rPr>
      <w:kern w:val="28"/>
      <w:szCs w:val="26"/>
      <w:lang w:eastAsia="en-US"/>
    </w:rPr>
  </w:style>
  <w:style w:type="character" w:styleId="Hyperlink">
    <w:name w:val="Hyperlink"/>
    <w:basedOn w:val="DefaultParagraphFont"/>
    <w:unhideWhenUsed/>
    <w:rsid w:val="00C55DD8"/>
    <w:rPr>
      <w:rFonts w:ascii="Times New Roman" w:hAnsi="Times New Roman" w:cs="Times New Roman" w:hint="default"/>
      <w:color w:val="000000"/>
      <w:u w:val="single"/>
    </w:rPr>
  </w:style>
  <w:style w:type="paragraph" w:customStyle="1" w:styleId="Copyrightheading">
    <w:name w:val="Copyright heading"/>
    <w:basedOn w:val="TOC1"/>
    <w:link w:val="CopyrightheadingChar"/>
    <w:qFormat/>
    <w:rsid w:val="00C55DD8"/>
    <w:pPr>
      <w:spacing w:line="300" w:lineRule="exact"/>
    </w:pPr>
    <w:rPr>
      <w:sz w:val="22"/>
    </w:rPr>
  </w:style>
  <w:style w:type="character" w:customStyle="1" w:styleId="CopyrightheadingChar">
    <w:name w:val="Copyright heading Char"/>
    <w:basedOn w:val="TOC1Char"/>
    <w:link w:val="Copyrightheading"/>
    <w:rsid w:val="00C55DD8"/>
    <w:rPr>
      <w:rFonts w:ascii="Arial" w:hAnsi="Arial"/>
      <w:b/>
      <w:sz w:val="22"/>
      <w:szCs w:val="26"/>
      <w:lang w:eastAsia="en-US"/>
    </w:rPr>
  </w:style>
  <w:style w:type="paragraph" w:customStyle="1" w:styleId="Copyrightsubtitle">
    <w:name w:val="Copyright subtitle"/>
    <w:basedOn w:val="BodyText"/>
    <w:rsid w:val="00C55DD8"/>
    <w:rPr>
      <w:rFonts w:ascii="Arial" w:hAnsi="Arial"/>
      <w:b/>
      <w:sz w:val="22"/>
      <w:szCs w:val="25"/>
    </w:rPr>
  </w:style>
  <w:style w:type="paragraph" w:customStyle="1" w:styleId="Copyrightbodytext">
    <w:name w:val="Copyright bodytext"/>
    <w:basedOn w:val="BodyText"/>
    <w:link w:val="CopyrightbodytextChar"/>
    <w:qFormat/>
    <w:rsid w:val="00C55DD8"/>
    <w:pPr>
      <w:spacing w:before="60"/>
    </w:pPr>
  </w:style>
  <w:style w:type="character" w:customStyle="1" w:styleId="CopyrightbodytextChar">
    <w:name w:val="Copyright bodytext Char"/>
    <w:basedOn w:val="BodyTextChar"/>
    <w:link w:val="Copyrightbodytext"/>
    <w:rsid w:val="00C55DD8"/>
    <w:rPr>
      <w:sz w:val="24"/>
    </w:rPr>
  </w:style>
  <w:style w:type="paragraph" w:styleId="Bibliography">
    <w:name w:val="Bibliography"/>
    <w:basedOn w:val="Normal"/>
    <w:next w:val="Normal"/>
    <w:uiPriority w:val="37"/>
    <w:semiHidden/>
    <w:unhideWhenUsed/>
    <w:rsid w:val="00EF685B"/>
  </w:style>
  <w:style w:type="character" w:customStyle="1" w:styleId="Heading1Char">
    <w:name w:val="Heading 1 Char"/>
    <w:basedOn w:val="DefaultParagraphFont"/>
    <w:link w:val="Heading1"/>
    <w:rsid w:val="008D5C6B"/>
    <w:rPr>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168352">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footer" Target="footer5.xml"/><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1.emf"/><Relationship Id="rId42" Type="http://schemas.openxmlformats.org/officeDocument/2006/relationships/header" Target="header9.xml"/><Relationship Id="rId47" Type="http://schemas.openxmlformats.org/officeDocument/2006/relationships/footer" Target="footer11.xml"/><Relationship Id="rId50"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footer" Target="footer8.xml"/><Relationship Id="rId38" Type="http://schemas.openxmlformats.org/officeDocument/2006/relationships/image" Target="media/image15.emf"/><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image" Target="media/image10.emf"/><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footer" Target="footer10.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emf"/><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header" Target="header13.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eader" Target="header8.xml"/><Relationship Id="rId44" Type="http://schemas.openxmlformats.org/officeDocument/2006/relationships/footer" Target="footer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image" Target="media/image12.png"/><Relationship Id="rId43" Type="http://schemas.openxmlformats.org/officeDocument/2006/relationships/header" Target="header10.xml"/><Relationship Id="rId48" Type="http://schemas.openxmlformats.org/officeDocument/2006/relationships/header" Target="header12.xml"/><Relationship Id="rId8" Type="http://schemas.openxmlformats.org/officeDocument/2006/relationships/image" Target="media/image1.png"/><Relationship Id="rId51"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90709-7C87-4DBE-8538-909E892E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902</TotalTime>
  <Pages>27</Pages>
  <Words>10333</Words>
  <Characters>58899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PC Productivity Insights 2020</vt:lpstr>
    </vt:vector>
  </TitlesOfParts>
  <Company>Productivity Commission</Company>
  <LinksUpToDate>false</LinksUpToDate>
  <CharactersWithSpaces>69094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Productivity Insights 2020</dc:title>
  <dc:subject>PC Productivity Insights</dc:subject>
  <dc:creator>Productivity Commission</dc:creator>
  <cp:keywords/>
  <dc:description>1.</dc:description>
  <cp:lastModifiedBy>Productivity Commission</cp:lastModifiedBy>
  <cp:revision>203</cp:revision>
  <cp:lastPrinted>2020-02-14T00:50:00Z</cp:lastPrinted>
  <dcterms:created xsi:type="dcterms:W3CDTF">2020-02-05T03:33:00Z</dcterms:created>
  <dcterms:modified xsi:type="dcterms:W3CDTF">2020-03-22T23:48:00Z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id="SArlO29t"/&gt;&lt;style id="http://www.zotero.org/styles/unisa-harvard" hasBibliography="1" bibliographyStyleHasBeenSet="0"/&gt;&lt;prefs&gt;&lt;pref name="fieldType" value="Field"/&gt;&lt;pref name="automaticJournalAbb</vt:lpwstr>
  </property>
  <property fmtid="{D5CDD505-2E9C-101B-9397-08002B2CF9AE}" pid="3" name="ZOTERO_PREF_2">
    <vt:lpwstr>reviations" value="true"/&gt;&lt;/prefs&gt;&lt;/data&gt;</vt:lpwstr>
  </property>
</Properties>
</file>