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5D4A3" w14:textId="77777777" w:rsidR="00307032" w:rsidRPr="0004265B" w:rsidRDefault="00307032" w:rsidP="00307032">
      <w:pPr>
        <w:pStyle w:val="Heading1"/>
        <w:rPr>
          <w:color w:val="FFFFFF" w:themeColor="background1"/>
          <w:sz w:val="16"/>
          <w:szCs w:val="16"/>
        </w:rPr>
      </w:pPr>
      <w:bookmarkStart w:id="0" w:name="_AppendixNotByChapter"/>
      <w:bookmarkStart w:id="1" w:name="_Toc56080369"/>
      <w:bookmarkStart w:id="2" w:name="_Toc56436168"/>
      <w:bookmarkStart w:id="3" w:name="ChapterNumber"/>
      <w:bookmarkEnd w:id="0"/>
      <w:r w:rsidRPr="0004265B">
        <w:rPr>
          <w:noProof/>
          <w:color w:val="FFFFFF" w:themeColor="background1"/>
        </w:rPr>
        <w:drawing>
          <wp:anchor distT="0" distB="0" distL="114300" distR="114300" simplePos="0" relativeHeight="251658240" behindDoc="0" locked="0" layoutInCell="1" allowOverlap="1" wp14:anchorId="72632523" wp14:editId="6094ACEB">
            <wp:simplePos x="0" y="0"/>
            <wp:positionH relativeFrom="page">
              <wp:align>center</wp:align>
            </wp:positionH>
            <wp:positionV relativeFrom="page">
              <wp:align>center</wp:align>
            </wp:positionV>
            <wp:extent cx="7557798" cy="10687685"/>
            <wp:effectExtent l="0" t="0" r="5080" b="0"/>
            <wp:wrapNone/>
            <wp:docPr id="10" name="Picture 10" descr="Cover for PC Productivity Insights 2020: Australia’s long term productivity experience: Appendices 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for PC Productivity Insights 2020: Australia’s long term productivity experience,  ISSN 2652-5461 | No. 3/202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7798" cy="1068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265B">
        <w:rPr>
          <w:color w:val="FFFFFF" w:themeColor="background1"/>
          <w:sz w:val="16"/>
          <w:szCs w:val="16"/>
        </w:rPr>
        <w:t xml:space="preserve">PC Productivity Insights 2020: Australia’s long term productivity </w:t>
      </w:r>
      <w:bookmarkEnd w:id="1"/>
      <w:r w:rsidR="00793ECF" w:rsidRPr="0004265B">
        <w:rPr>
          <w:color w:val="FFFFFF" w:themeColor="background1"/>
          <w:sz w:val="16"/>
          <w:szCs w:val="16"/>
        </w:rPr>
        <w:t>experience, Appendices A–E</w:t>
      </w:r>
    </w:p>
    <w:p w14:paraId="0F9B4836" w14:textId="77777777" w:rsidR="00307032" w:rsidRDefault="00307032" w:rsidP="00307032">
      <w:pPr>
        <w:pStyle w:val="BodyText"/>
        <w:rPr>
          <w:b/>
          <w:szCs w:val="26"/>
        </w:rPr>
      </w:pPr>
      <w:r>
        <w:br w:type="page"/>
      </w:r>
    </w:p>
    <w:p w14:paraId="532DEEAC" w14:textId="77777777" w:rsidR="00307032" w:rsidRDefault="00307032" w:rsidP="00307032">
      <w:pPr>
        <w:pStyle w:val="Copyrightheading"/>
      </w:pPr>
      <w:r w:rsidRPr="008C305F">
        <w:lastRenderedPageBreak/>
        <w:sym w:font="Symbol" w:char="F0E3"/>
      </w:r>
      <w:r w:rsidRPr="008C305F">
        <w:t xml:space="preserve"> Commonwealth of Australia </w:t>
      </w:r>
      <w:r>
        <w:t>2020</w:t>
      </w:r>
    </w:p>
    <w:p w14:paraId="242A1906" w14:textId="77777777" w:rsidR="00307032" w:rsidRDefault="00307032" w:rsidP="00307032">
      <w:pPr>
        <w:pStyle w:val="BodyText"/>
        <w:spacing w:after="120"/>
      </w:pPr>
      <w:bookmarkStart w:id="4" w:name="ISSN"/>
      <w:bookmarkEnd w:id="4"/>
      <w:r w:rsidRPr="00793B51">
        <w:rPr>
          <w:noProof/>
          <w:sz w:val="22"/>
          <w:szCs w:val="22"/>
        </w:rPr>
        <w:drawing>
          <wp:inline distT="0" distB="0" distL="0" distR="0" wp14:anchorId="42BAA14B" wp14:editId="0CCA7FA2">
            <wp:extent cx="833120" cy="298450"/>
            <wp:effectExtent l="0" t="0" r="5080" b="6350"/>
            <wp:docPr id="9" name="Picture 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 BY licen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298450"/>
                    </a:xfrm>
                    <a:prstGeom prst="rect">
                      <a:avLst/>
                    </a:prstGeom>
                    <a:noFill/>
                    <a:ln>
                      <a:noFill/>
                    </a:ln>
                  </pic:spPr>
                </pic:pic>
              </a:graphicData>
            </a:graphic>
          </wp:inline>
        </w:drawing>
      </w:r>
    </w:p>
    <w:p w14:paraId="7E0EBB2A" w14:textId="77777777" w:rsidR="00307032" w:rsidRPr="00256A29" w:rsidRDefault="00307032" w:rsidP="00307032">
      <w:pPr>
        <w:pStyle w:val="Copyrightbodytext"/>
        <w:rPr>
          <w:sz w:val="20"/>
        </w:rPr>
      </w:pPr>
      <w:r w:rsidRPr="00256A29">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256A29">
            <w:rPr>
              <w:sz w:val="20"/>
            </w:rPr>
            <w:t>http://creativecommons.org/licenses/by/3.0/au</w:t>
          </w:r>
        </w:hyperlink>
      </w:hyperlink>
      <w:r w:rsidRPr="00256A29">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162F3F1C" w14:textId="77777777" w:rsidR="00307032" w:rsidRPr="008A3857" w:rsidRDefault="00307032" w:rsidP="00307032">
      <w:pPr>
        <w:pStyle w:val="Copyrightsubtitle"/>
      </w:pPr>
      <w:r w:rsidRPr="008A3857">
        <w:t>Use of the Commonwealth Coat of Arms</w:t>
      </w:r>
    </w:p>
    <w:p w14:paraId="2D94CA99" w14:textId="77777777" w:rsidR="00307032" w:rsidRPr="00307032" w:rsidRDefault="00307032" w:rsidP="00307032">
      <w:pPr>
        <w:pStyle w:val="Copyrightbodytext"/>
        <w:rPr>
          <w:spacing w:val="-2"/>
          <w:sz w:val="20"/>
        </w:rPr>
      </w:pPr>
      <w:r w:rsidRPr="00256A29">
        <w:rPr>
          <w:spacing w:val="-2"/>
          <w:sz w:val="20"/>
        </w:rPr>
        <w:t xml:space="preserve">Terms of use for the Coat of Arms are available from the Department of the Prime Minister and Cabinet’s website: </w:t>
      </w:r>
      <w:hyperlink r:id="rId12" w:history="1">
        <w:r w:rsidRPr="00307032">
          <w:rPr>
            <w:rStyle w:val="Hyperlink"/>
            <w:color w:val="auto"/>
            <w:spacing w:val="-2"/>
            <w:sz w:val="20"/>
          </w:rPr>
          <w:t>https://www.pmc.gov.au/government/commonwealth-coat-arms</w:t>
        </w:r>
      </w:hyperlink>
    </w:p>
    <w:p w14:paraId="402D169D" w14:textId="77777777" w:rsidR="00307032" w:rsidRPr="008A3857" w:rsidRDefault="00307032" w:rsidP="00307032">
      <w:pPr>
        <w:pStyle w:val="Copyrightsubtitle"/>
      </w:pPr>
      <w:r w:rsidRPr="008A3857">
        <w:t>Third party copyright</w:t>
      </w:r>
    </w:p>
    <w:p w14:paraId="1CC9665F" w14:textId="77777777" w:rsidR="00307032" w:rsidRPr="00256A29" w:rsidRDefault="00307032" w:rsidP="00307032">
      <w:pPr>
        <w:pStyle w:val="Copyrightbodytext"/>
        <w:rPr>
          <w:sz w:val="20"/>
        </w:rPr>
      </w:pPr>
      <w:r w:rsidRPr="00256A29">
        <w:rPr>
          <w:sz w:val="20"/>
        </w:rPr>
        <w:t>Wherever a third party holds copyright in this material, the copyright remains with that party. Their permission may be required to use the material, please contact them directly.</w:t>
      </w:r>
    </w:p>
    <w:p w14:paraId="7568FC1C" w14:textId="77777777" w:rsidR="00307032" w:rsidRPr="008A3857" w:rsidRDefault="00307032" w:rsidP="00307032">
      <w:pPr>
        <w:pStyle w:val="Copyrightsubtitle"/>
      </w:pPr>
      <w:r w:rsidRPr="008A3857">
        <w:t>Attribution</w:t>
      </w:r>
    </w:p>
    <w:p w14:paraId="579CC7D0" w14:textId="77777777" w:rsidR="00307032" w:rsidRPr="00C162CD" w:rsidRDefault="00307032" w:rsidP="00307032">
      <w:pPr>
        <w:pStyle w:val="Copyrightbodytext"/>
        <w:rPr>
          <w:sz w:val="20"/>
          <w:szCs w:val="24"/>
        </w:rPr>
      </w:pPr>
      <w:r w:rsidRPr="00C162CD">
        <w:rPr>
          <w:sz w:val="20"/>
        </w:rPr>
        <w:t xml:space="preserve">This work should be attributed as follows, </w:t>
      </w:r>
      <w:r w:rsidRPr="00C162CD">
        <w:rPr>
          <w:i/>
          <w:sz w:val="20"/>
          <w:szCs w:val="24"/>
        </w:rPr>
        <w:t xml:space="preserve">Source: Productivity Commission, PC Productivity Insights 2020: </w:t>
      </w:r>
      <w:r>
        <w:rPr>
          <w:i/>
          <w:sz w:val="20"/>
        </w:rPr>
        <w:t xml:space="preserve">Australia’s long term productivity </w:t>
      </w:r>
      <w:r w:rsidR="00793ECF">
        <w:rPr>
          <w:i/>
          <w:sz w:val="20"/>
        </w:rPr>
        <w:t>e</w:t>
      </w:r>
      <w:r w:rsidR="00793ECF" w:rsidRPr="00C162CD">
        <w:rPr>
          <w:i/>
          <w:sz w:val="20"/>
        </w:rPr>
        <w:t>xperience</w:t>
      </w:r>
      <w:r w:rsidR="00793ECF">
        <w:rPr>
          <w:i/>
          <w:sz w:val="20"/>
        </w:rPr>
        <w:t>, Appendices A</w:t>
      </w:r>
      <w:r w:rsidR="00793ECF" w:rsidRPr="00793ECF">
        <w:rPr>
          <w:rFonts w:cs="Calibri"/>
          <w:i/>
          <w:sz w:val="20"/>
        </w:rPr>
        <w:t>–E</w:t>
      </w:r>
      <w:r>
        <w:rPr>
          <w:i/>
          <w:sz w:val="20"/>
        </w:rPr>
        <w:t>.</w:t>
      </w:r>
    </w:p>
    <w:p w14:paraId="34AA6A54" w14:textId="77777777" w:rsidR="00307032" w:rsidRPr="00C162CD" w:rsidRDefault="00307032" w:rsidP="00307032">
      <w:pPr>
        <w:spacing w:before="120" w:line="300" w:lineRule="atLeast"/>
        <w:jc w:val="both"/>
        <w:rPr>
          <w:rFonts w:ascii="Times New Roman" w:hAnsi="Times New Roman"/>
          <w:sz w:val="20"/>
        </w:rPr>
      </w:pPr>
      <w:r w:rsidRPr="00C162CD">
        <w:rPr>
          <w:rFonts w:ascii="Times New Roman" w:hAnsi="Times New Roman"/>
          <w:sz w:val="20"/>
        </w:rPr>
        <w:t xml:space="preserve">If you have adapted, modified or transformed this work in anyway, please use the following, </w:t>
      </w:r>
      <w:r w:rsidRPr="00C162CD">
        <w:rPr>
          <w:rFonts w:ascii="Times New Roman" w:hAnsi="Times New Roman"/>
          <w:i/>
          <w:sz w:val="20"/>
        </w:rPr>
        <w:t>Source: ba</w:t>
      </w:r>
      <w:r>
        <w:rPr>
          <w:rFonts w:ascii="Times New Roman" w:hAnsi="Times New Roman"/>
          <w:i/>
          <w:sz w:val="20"/>
        </w:rPr>
        <w:t>sed on</w:t>
      </w:r>
      <w:r w:rsidRPr="00C162CD">
        <w:rPr>
          <w:rFonts w:ascii="Times New Roman" w:hAnsi="Times New Roman"/>
          <w:i/>
          <w:sz w:val="20"/>
        </w:rPr>
        <w:t xml:space="preserve"> </w:t>
      </w:r>
      <w:r w:rsidRPr="00C162CD">
        <w:rPr>
          <w:rFonts w:ascii="Times New Roman" w:hAnsi="Times New Roman"/>
          <w:i/>
          <w:sz w:val="20"/>
          <w:szCs w:val="24"/>
        </w:rPr>
        <w:t xml:space="preserve">Productivity Commission, PC Productivity Insights 2020: </w:t>
      </w:r>
      <w:r>
        <w:rPr>
          <w:rFonts w:ascii="Times New Roman" w:hAnsi="Times New Roman"/>
          <w:i/>
          <w:sz w:val="20"/>
        </w:rPr>
        <w:t xml:space="preserve">Australia’s long term productivity </w:t>
      </w:r>
      <w:r w:rsidR="00793ECF">
        <w:rPr>
          <w:rFonts w:ascii="Times New Roman" w:hAnsi="Times New Roman"/>
          <w:i/>
          <w:sz w:val="20"/>
        </w:rPr>
        <w:t>e</w:t>
      </w:r>
      <w:r w:rsidR="00793ECF" w:rsidRPr="00C162CD">
        <w:rPr>
          <w:rFonts w:ascii="Times New Roman" w:hAnsi="Times New Roman"/>
          <w:i/>
          <w:sz w:val="20"/>
        </w:rPr>
        <w:t>xperience</w:t>
      </w:r>
      <w:r w:rsidR="00793ECF">
        <w:rPr>
          <w:rFonts w:ascii="Times New Roman" w:hAnsi="Times New Roman"/>
          <w:i/>
          <w:sz w:val="20"/>
        </w:rPr>
        <w:t>, Appendices A</w:t>
      </w:r>
      <w:r w:rsidR="00793ECF" w:rsidRPr="00793ECF">
        <w:rPr>
          <w:rFonts w:ascii="Times New Roman" w:hAnsi="Times New Roman"/>
          <w:i/>
          <w:sz w:val="20"/>
        </w:rPr>
        <w:t>–E</w:t>
      </w:r>
      <w:r>
        <w:rPr>
          <w:rFonts w:ascii="Times New Roman" w:hAnsi="Times New Roman"/>
          <w:i/>
          <w:sz w:val="20"/>
        </w:rPr>
        <w:t>.</w:t>
      </w:r>
      <w:r w:rsidRPr="00C162CD">
        <w:rPr>
          <w:rFonts w:ascii="Times New Roman" w:hAnsi="Times New Roman"/>
          <w:i/>
          <w:sz w:val="20"/>
        </w:rPr>
        <w:t xml:space="preserve"> </w:t>
      </w:r>
    </w:p>
    <w:p w14:paraId="08BDE459" w14:textId="77777777" w:rsidR="00307032" w:rsidRPr="00256A29" w:rsidRDefault="00307032" w:rsidP="00307032">
      <w:pPr>
        <w:spacing w:before="240" w:line="300" w:lineRule="atLeast"/>
        <w:jc w:val="both"/>
        <w:rPr>
          <w:rFonts w:ascii="Arial" w:hAnsi="Arial"/>
          <w:b/>
          <w:szCs w:val="25"/>
        </w:rPr>
      </w:pPr>
      <w:r w:rsidRPr="00256A29">
        <w:rPr>
          <w:rFonts w:ascii="Arial" w:hAnsi="Arial"/>
          <w:b/>
          <w:szCs w:val="25"/>
        </w:rPr>
        <w:t>An appropriate reference for this publication is:</w:t>
      </w:r>
    </w:p>
    <w:p w14:paraId="77EDD6E9" w14:textId="77777777" w:rsidR="00307032" w:rsidRPr="00C162CD" w:rsidRDefault="00307032" w:rsidP="00307032">
      <w:pPr>
        <w:spacing w:before="60" w:line="300" w:lineRule="atLeast"/>
        <w:jc w:val="both"/>
        <w:rPr>
          <w:rFonts w:ascii="Times New Roman" w:hAnsi="Times New Roman"/>
          <w:sz w:val="20"/>
        </w:rPr>
      </w:pPr>
      <w:r w:rsidRPr="00C162CD">
        <w:rPr>
          <w:rFonts w:ascii="Times New Roman" w:hAnsi="Times New Roman"/>
          <w:sz w:val="20"/>
        </w:rPr>
        <w:t xml:space="preserve">Productivity Commission 2020, </w:t>
      </w:r>
      <w:r w:rsidRPr="00C162CD">
        <w:rPr>
          <w:rFonts w:ascii="Times New Roman" w:hAnsi="Times New Roman"/>
          <w:i/>
          <w:sz w:val="20"/>
        </w:rPr>
        <w:t xml:space="preserve">PC Productivity Insights: </w:t>
      </w:r>
      <w:r>
        <w:rPr>
          <w:rFonts w:ascii="Times New Roman" w:hAnsi="Times New Roman"/>
          <w:i/>
          <w:sz w:val="20"/>
        </w:rPr>
        <w:t>Australia’s long term productivity e</w:t>
      </w:r>
      <w:r w:rsidRPr="00C162CD">
        <w:rPr>
          <w:rFonts w:ascii="Times New Roman" w:hAnsi="Times New Roman"/>
          <w:i/>
          <w:sz w:val="20"/>
        </w:rPr>
        <w:t>xperience</w:t>
      </w:r>
      <w:r w:rsidR="00793ECF">
        <w:rPr>
          <w:rFonts w:ascii="Times New Roman" w:hAnsi="Times New Roman"/>
          <w:i/>
          <w:sz w:val="20"/>
        </w:rPr>
        <w:t>, Appendices A</w:t>
      </w:r>
      <w:r w:rsidR="00793ECF" w:rsidRPr="00793ECF">
        <w:rPr>
          <w:rFonts w:ascii="Times New Roman" w:hAnsi="Times New Roman"/>
          <w:i/>
          <w:sz w:val="20"/>
        </w:rPr>
        <w:t>–E</w:t>
      </w:r>
      <w:r w:rsidRPr="00C162CD">
        <w:rPr>
          <w:rFonts w:ascii="Times New Roman" w:hAnsi="Times New Roman"/>
          <w:sz w:val="20"/>
        </w:rPr>
        <w:t xml:space="preserve">, Canberra, </w:t>
      </w:r>
      <w:r>
        <w:rPr>
          <w:rFonts w:ascii="Times New Roman" w:hAnsi="Times New Roman"/>
          <w:sz w:val="20"/>
        </w:rPr>
        <w:t>November</w:t>
      </w:r>
      <w:r w:rsidRPr="00C162CD">
        <w:rPr>
          <w:rFonts w:ascii="Times New Roman" w:hAnsi="Times New Roman"/>
          <w:sz w:val="20"/>
        </w:rPr>
        <w:t>.</w:t>
      </w:r>
    </w:p>
    <w:p w14:paraId="7A5AABC4" w14:textId="77777777" w:rsidR="00307032" w:rsidRPr="008A3857" w:rsidRDefault="00307032" w:rsidP="00307032">
      <w:pPr>
        <w:pStyle w:val="Copyrightsubtitle"/>
      </w:pPr>
      <w:r w:rsidRPr="008A3857">
        <w:t>Publications enquiries</w:t>
      </w:r>
    </w:p>
    <w:p w14:paraId="037C799D" w14:textId="77777777" w:rsidR="00307032" w:rsidRPr="00256A29" w:rsidRDefault="00307032" w:rsidP="00307032">
      <w:pPr>
        <w:pStyle w:val="Copyrightbodytext"/>
        <w:rPr>
          <w:sz w:val="20"/>
        </w:rPr>
      </w:pPr>
      <w:r w:rsidRPr="00256A29">
        <w:rPr>
          <w:sz w:val="20"/>
        </w:rPr>
        <w:t>Media, Publications and Web, phone: (03) 9653 2244 or email: mpw@pc.gov.au</w:t>
      </w:r>
    </w:p>
    <w:p w14:paraId="595235CE" w14:textId="77777777" w:rsidR="00307032" w:rsidRDefault="00307032" w:rsidP="0030703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07032" w14:paraId="5547508B" w14:textId="77777777" w:rsidTr="0012152F">
        <w:trPr>
          <w:tblHeader/>
        </w:trPr>
        <w:tc>
          <w:tcPr>
            <w:tcW w:w="5000" w:type="pct"/>
            <w:tcBorders>
              <w:top w:val="single" w:sz="6" w:space="0" w:color="78A22F"/>
              <w:left w:val="nil"/>
              <w:bottom w:val="nil"/>
              <w:right w:val="nil"/>
            </w:tcBorders>
            <w:shd w:val="clear" w:color="auto" w:fill="F2F2F2" w:themeFill="background1" w:themeFillShade="F2"/>
          </w:tcPr>
          <w:p w14:paraId="41E6FB66" w14:textId="77777777" w:rsidR="00307032" w:rsidRPr="008A3857" w:rsidRDefault="00307032" w:rsidP="0012152F">
            <w:pPr>
              <w:pStyle w:val="BoxTitle"/>
            </w:pPr>
            <w:r w:rsidRPr="008A3857">
              <w:t>The Productivity Commission</w:t>
            </w:r>
          </w:p>
        </w:tc>
      </w:tr>
      <w:tr w:rsidR="00307032" w14:paraId="21522904" w14:textId="77777777" w:rsidTr="0012152F">
        <w:tc>
          <w:tcPr>
            <w:tcW w:w="5000" w:type="pct"/>
            <w:tcBorders>
              <w:top w:val="nil"/>
              <w:left w:val="nil"/>
              <w:bottom w:val="nil"/>
              <w:right w:val="nil"/>
            </w:tcBorders>
            <w:shd w:val="clear" w:color="auto" w:fill="F2F2F2" w:themeFill="background1" w:themeFillShade="F2"/>
          </w:tcPr>
          <w:p w14:paraId="2BE9D231" w14:textId="77777777" w:rsidR="00307032" w:rsidRDefault="00307032" w:rsidP="0012152F">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43178A5" w14:textId="77777777" w:rsidR="00307032" w:rsidRDefault="00307032" w:rsidP="0012152F">
            <w:pPr>
              <w:pStyle w:val="Box"/>
            </w:pPr>
            <w:r w:rsidRPr="00BB5DCF">
              <w:t>The Commission’s independence is underpinned by an Act of Parliament. Its processes and outputs are open to public scrutiny and are driven by concern for the wellbeing of the community as a whole.</w:t>
            </w:r>
          </w:p>
          <w:p w14:paraId="38EE196C" w14:textId="77777777" w:rsidR="00307032" w:rsidRDefault="00307032" w:rsidP="0012152F">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307032" w14:paraId="52D794D4" w14:textId="77777777" w:rsidTr="0012152F">
        <w:tc>
          <w:tcPr>
            <w:tcW w:w="5000" w:type="pct"/>
            <w:tcBorders>
              <w:top w:val="nil"/>
              <w:left w:val="nil"/>
              <w:bottom w:val="single" w:sz="6" w:space="0" w:color="78A22F"/>
              <w:right w:val="nil"/>
            </w:tcBorders>
            <w:shd w:val="clear" w:color="auto" w:fill="F2F2F2" w:themeFill="background1" w:themeFillShade="F2"/>
          </w:tcPr>
          <w:p w14:paraId="67FC3DB1" w14:textId="77777777" w:rsidR="00307032" w:rsidRDefault="00307032" w:rsidP="0012152F">
            <w:pPr>
              <w:pStyle w:val="Box"/>
              <w:spacing w:before="0" w:line="120" w:lineRule="exact"/>
            </w:pPr>
          </w:p>
        </w:tc>
      </w:tr>
    </w:tbl>
    <w:p w14:paraId="33756794" w14:textId="77777777" w:rsidR="00307032" w:rsidRDefault="00307032" w:rsidP="00307032">
      <w:pPr>
        <w:pStyle w:val="BodyText"/>
        <w:sectPr w:rsidR="00307032" w:rsidSect="00F90A33">
          <w:headerReference w:type="default" r:id="rId14"/>
          <w:footerReference w:type="default" r:id="rId15"/>
          <w:pgSz w:w="11907" w:h="16840" w:code="9"/>
          <w:pgMar w:top="1985" w:right="1304" w:bottom="1247" w:left="1814" w:header="1701" w:footer="397" w:gutter="0"/>
          <w:pgNumType w:fmt="lowerRoman" w:start="1" w:chapSep="period"/>
          <w:cols w:space="720"/>
        </w:sectPr>
      </w:pPr>
      <w:bookmarkStart w:id="6" w:name="cov"/>
      <w:bookmarkEnd w:id="6"/>
    </w:p>
    <w:p w14:paraId="3A135515" w14:textId="77777777" w:rsidR="00F90A33" w:rsidRDefault="00307032" w:rsidP="00F352AF">
      <w:pPr>
        <w:pStyle w:val="Heading1"/>
      </w:pPr>
      <w:r>
        <w:lastRenderedPageBreak/>
        <w:t>Contents</w:t>
      </w:r>
      <w:bookmarkEnd w:id="2"/>
    </w:p>
    <w:sdt>
      <w:sdtPr>
        <w:rPr>
          <w:rFonts w:ascii="Times New Roman" w:eastAsia="Times New Roman" w:hAnsi="Times New Roman" w:cs="Times New Roman"/>
          <w:b w:val="0"/>
          <w:kern w:val="28"/>
          <w:sz w:val="52"/>
          <w:szCs w:val="20"/>
          <w:lang w:eastAsia="en-AU"/>
        </w:rPr>
        <w:id w:val="1230037131"/>
        <w:docPartObj>
          <w:docPartGallery w:val="Table of Contents"/>
          <w:docPartUnique/>
        </w:docPartObj>
      </w:sdtPr>
      <w:sdtEndPr>
        <w:rPr>
          <w:kern w:val="0"/>
          <w:sz w:val="24"/>
        </w:rPr>
      </w:sdtEndPr>
      <w:sdtContent>
        <w:p w14:paraId="12B3E8F0" w14:textId="77777777" w:rsidR="00307032" w:rsidRDefault="00307032">
          <w:pPr>
            <w:pStyle w:val="TOC1"/>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Reducing barriers to trade</w:t>
          </w:r>
          <w:r>
            <w:rPr>
              <w:noProof/>
            </w:rPr>
            <w:tab/>
          </w:r>
          <w:r w:rsidR="00D12FFF">
            <w:rPr>
              <w:noProof/>
            </w:rPr>
            <w:t>1</w:t>
          </w:r>
        </w:p>
        <w:p w14:paraId="1AFBFEA8" w14:textId="77777777" w:rsidR="00307032" w:rsidRDefault="00307032">
          <w:pPr>
            <w:pStyle w:val="TOC1"/>
            <w:rPr>
              <w:rFonts w:asciiTheme="minorHAnsi" w:eastAsiaTheme="minorEastAsia" w:hAnsiTheme="minorHAnsi" w:cstheme="minorBidi"/>
              <w:b w:val="0"/>
              <w:noProof/>
              <w:sz w:val="22"/>
              <w:szCs w:val="22"/>
              <w:lang w:eastAsia="en-AU"/>
            </w:rPr>
          </w:pPr>
          <w:r>
            <w:rPr>
              <w:noProof/>
            </w:rPr>
            <w:t>B</w:t>
          </w:r>
          <w:r>
            <w:rPr>
              <w:rFonts w:asciiTheme="minorHAnsi" w:eastAsiaTheme="minorEastAsia" w:hAnsiTheme="minorHAnsi" w:cstheme="minorBidi"/>
              <w:b w:val="0"/>
              <w:noProof/>
              <w:sz w:val="22"/>
              <w:szCs w:val="22"/>
              <w:lang w:eastAsia="en-AU"/>
            </w:rPr>
            <w:tab/>
          </w:r>
          <w:r>
            <w:rPr>
              <w:noProof/>
            </w:rPr>
            <w:t>National Competition policy</w:t>
          </w:r>
          <w:r>
            <w:rPr>
              <w:noProof/>
            </w:rPr>
            <w:tab/>
          </w:r>
          <w:r w:rsidR="00D12FFF">
            <w:rPr>
              <w:noProof/>
            </w:rPr>
            <w:t>3</w:t>
          </w:r>
        </w:p>
        <w:p w14:paraId="506520BD" w14:textId="77777777" w:rsidR="00307032" w:rsidRDefault="00307032">
          <w:pPr>
            <w:pStyle w:val="TOC1"/>
            <w:rPr>
              <w:rFonts w:asciiTheme="minorHAnsi" w:eastAsiaTheme="minorEastAsia" w:hAnsiTheme="minorHAnsi" w:cstheme="minorBidi"/>
              <w:b w:val="0"/>
              <w:noProof/>
              <w:sz w:val="22"/>
              <w:szCs w:val="22"/>
              <w:lang w:eastAsia="en-AU"/>
            </w:rPr>
          </w:pPr>
          <w:r>
            <w:rPr>
              <w:noProof/>
            </w:rPr>
            <w:t>C</w:t>
          </w:r>
          <w:r>
            <w:rPr>
              <w:rFonts w:asciiTheme="minorHAnsi" w:eastAsiaTheme="minorEastAsia" w:hAnsiTheme="minorHAnsi" w:cstheme="minorBidi"/>
              <w:b w:val="0"/>
              <w:noProof/>
              <w:sz w:val="22"/>
              <w:szCs w:val="22"/>
              <w:lang w:eastAsia="en-AU"/>
            </w:rPr>
            <w:tab/>
          </w:r>
          <w:r>
            <w:rPr>
              <w:noProof/>
            </w:rPr>
            <w:t>Caveats, critiques and alternative explanations</w:t>
          </w:r>
          <w:r>
            <w:rPr>
              <w:noProof/>
            </w:rPr>
            <w:tab/>
          </w:r>
          <w:r w:rsidR="00D12FFF">
            <w:rPr>
              <w:noProof/>
            </w:rPr>
            <w:t>5</w:t>
          </w:r>
        </w:p>
        <w:p w14:paraId="52A5C4DB" w14:textId="77777777" w:rsidR="00307032" w:rsidRDefault="00307032">
          <w:pPr>
            <w:pStyle w:val="TOC1"/>
            <w:rPr>
              <w:rFonts w:asciiTheme="minorHAnsi" w:eastAsiaTheme="minorEastAsia" w:hAnsiTheme="minorHAnsi" w:cstheme="minorBidi"/>
              <w:b w:val="0"/>
              <w:noProof/>
              <w:sz w:val="22"/>
              <w:szCs w:val="22"/>
              <w:lang w:eastAsia="en-AU"/>
            </w:rPr>
          </w:pPr>
          <w:r>
            <w:rPr>
              <w:noProof/>
            </w:rPr>
            <w:t>D</w:t>
          </w:r>
          <w:r>
            <w:rPr>
              <w:rFonts w:asciiTheme="minorHAnsi" w:eastAsiaTheme="minorEastAsia" w:hAnsiTheme="minorHAnsi" w:cstheme="minorBidi"/>
              <w:b w:val="0"/>
              <w:noProof/>
              <w:sz w:val="22"/>
              <w:szCs w:val="22"/>
              <w:lang w:eastAsia="en-AU"/>
            </w:rPr>
            <w:tab/>
          </w:r>
          <w:r>
            <w:rPr>
              <w:noProof/>
            </w:rPr>
            <w:t>Motivations for protectionism</w:t>
          </w:r>
          <w:r>
            <w:rPr>
              <w:noProof/>
            </w:rPr>
            <w:tab/>
          </w:r>
          <w:r w:rsidR="00D12FFF">
            <w:rPr>
              <w:noProof/>
            </w:rPr>
            <w:t>7</w:t>
          </w:r>
        </w:p>
        <w:p w14:paraId="3C7DE95D" w14:textId="77777777" w:rsidR="00307032" w:rsidRPr="00307032" w:rsidRDefault="00307032" w:rsidP="00307032">
          <w:pPr>
            <w:pStyle w:val="TOC1"/>
            <w:rPr>
              <w:rFonts w:asciiTheme="minorHAnsi" w:eastAsiaTheme="minorEastAsia" w:hAnsiTheme="minorHAnsi" w:cstheme="minorBidi"/>
              <w:b w:val="0"/>
              <w:noProof/>
              <w:sz w:val="22"/>
              <w:szCs w:val="22"/>
              <w:lang w:eastAsia="en-AU"/>
            </w:rPr>
          </w:pPr>
          <w:r>
            <w:rPr>
              <w:noProof/>
            </w:rPr>
            <w:t>E</w:t>
          </w:r>
          <w:r>
            <w:rPr>
              <w:rFonts w:asciiTheme="minorHAnsi" w:eastAsiaTheme="minorEastAsia" w:hAnsiTheme="minorHAnsi" w:cstheme="minorBidi"/>
              <w:b w:val="0"/>
              <w:noProof/>
              <w:sz w:val="22"/>
              <w:szCs w:val="22"/>
              <w:lang w:eastAsia="en-AU"/>
            </w:rPr>
            <w:tab/>
          </w:r>
          <w:r w:rsidRPr="008F0963">
            <w:rPr>
              <w:rFonts w:ascii="Arial Bold" w:hAnsi="Arial Bold"/>
              <w:noProof/>
              <w:spacing w:val="-4"/>
            </w:rPr>
            <w:t>Was Australia’s income lead the result of mismeasurement?</w:t>
          </w:r>
          <w:r>
            <w:rPr>
              <w:noProof/>
            </w:rPr>
            <w:tab/>
          </w:r>
          <w:r w:rsidR="00D12FFF">
            <w:rPr>
              <w:noProof/>
            </w:rPr>
            <w:t>19</w:t>
          </w:r>
        </w:p>
        <w:p w14:paraId="456E6C87" w14:textId="77777777" w:rsidR="00307032" w:rsidRDefault="00307032" w:rsidP="008F0963">
          <w:pPr>
            <w:pStyle w:val="TOC1"/>
            <w:rPr>
              <w:rFonts w:asciiTheme="minorHAnsi" w:eastAsiaTheme="minorEastAsia" w:hAnsiTheme="minorHAnsi" w:cstheme="minorBidi"/>
              <w:noProof/>
              <w:sz w:val="22"/>
              <w:szCs w:val="22"/>
              <w:lang w:eastAsia="en-AU"/>
            </w:rPr>
          </w:pPr>
          <w:r>
            <w:rPr>
              <w:noProof/>
            </w:rPr>
            <w:t>References</w:t>
          </w:r>
          <w:r>
            <w:rPr>
              <w:noProof/>
            </w:rPr>
            <w:tab/>
          </w:r>
          <w:r w:rsidR="00D12FFF">
            <w:rPr>
              <w:noProof/>
            </w:rPr>
            <w:t>24</w:t>
          </w:r>
        </w:p>
        <w:p w14:paraId="3846456B" w14:textId="77777777" w:rsidR="00307032" w:rsidRPr="00307032" w:rsidRDefault="00A93AFB" w:rsidP="00307032">
          <w:pPr>
            <w:pStyle w:val="BodyText"/>
          </w:pPr>
        </w:p>
      </w:sdtContent>
    </w:sdt>
    <w:p w14:paraId="7AE1F38F" w14:textId="77777777" w:rsidR="00307032" w:rsidRPr="00307032" w:rsidRDefault="00307032" w:rsidP="00307032">
      <w:pPr>
        <w:pStyle w:val="BodyText"/>
        <w:sectPr w:rsidR="00307032" w:rsidRPr="00307032" w:rsidSect="00D12FFF">
          <w:type w:val="oddPage"/>
          <w:pgSz w:w="11907" w:h="16840" w:code="9"/>
          <w:pgMar w:top="1985" w:right="1304" w:bottom="1247" w:left="1814" w:header="1701" w:footer="397" w:gutter="0"/>
          <w:pgNumType w:fmt="lowerRoman" w:chapSep="period"/>
          <w:cols w:space="720"/>
        </w:sectPr>
      </w:pPr>
    </w:p>
    <w:p w14:paraId="49499F0C" w14:textId="77777777" w:rsidR="00181598" w:rsidRPr="00F352AF" w:rsidRDefault="00181598" w:rsidP="00F352AF">
      <w:pPr>
        <w:pStyle w:val="Heading1"/>
      </w:pPr>
      <w:bookmarkStart w:id="7" w:name="_Toc56436169"/>
      <w:r>
        <w:lastRenderedPageBreak/>
        <w:t>A</w:t>
      </w:r>
      <w:bookmarkEnd w:id="3"/>
      <w:r>
        <w:tab/>
        <w:t>Reducing barriers to trade</w:t>
      </w:r>
      <w:bookmarkEnd w:id="7"/>
    </w:p>
    <w:p w14:paraId="286770FE" w14:textId="77777777" w:rsidR="00181598" w:rsidRDefault="00181598" w:rsidP="00181598">
      <w:pPr>
        <w:pStyle w:val="BodyText"/>
      </w:pPr>
      <w:r>
        <w:t>One key pillar of Australia’s microeconomic reform agenda was opening markets to international competition. After Federation, tariffs, quotas and other import controls were deployed to protect local industry from foreign competition, especially in manufacturing. Often the stated justification for these policies was an ‘infant industry’ argument: that is, that Australians needed to subsidise manufacturing in order to build scale and sustain long-term economic growth. These policies may have been effective in their goal of growing the manufacturing base (for a time) but ineffective as a source of economic growth. Average working families paid for these industrial policies in higher costs for cars, clothing and footwear, and other (non-manufacturing) exporters paid more for inputs.</w:t>
      </w:r>
    </w:p>
    <w:p w14:paraId="23668DC0" w14:textId="77777777" w:rsidR="00181598" w:rsidRDefault="00181598" w:rsidP="00181598">
      <w:pPr>
        <w:pStyle w:val="BodyText"/>
      </w:pPr>
      <w:r>
        <w:t>After fierce debate, these barriers were primarily removed in the late-1980s to mid-1990s (with a one-off reduction in the early 1970s).</w:t>
      </w:r>
      <w:r w:rsidRPr="00621D6F">
        <w:rPr>
          <w:rStyle w:val="FootnoteReference"/>
        </w:rPr>
        <w:footnoteReference w:id="2"/>
      </w:r>
      <w:r>
        <w:t xml:space="preserve"> In both agriculture and manufacturing, these tariff reductions </w:t>
      </w:r>
      <w:r w:rsidR="00827453">
        <w:t>were associated with</w:t>
      </w:r>
      <w:r>
        <w:t xml:space="preserve"> higher productivity growth (figure </w:t>
      </w:r>
      <w:r w:rsidR="00E46269">
        <w:t>A.1</w:t>
      </w:r>
      <w:r>
        <w:t xml:space="preserve">). Agriculture, in particular, has been a story of economic success. Since 1990, output in this industry has increased by about 65 per cent while combined labour and capital usage has fallen 9 per cent. </w:t>
      </w:r>
    </w:p>
    <w:p w14:paraId="3058D18C" w14:textId="77777777" w:rsidR="00181598" w:rsidRDefault="00181598" w:rsidP="00181598">
      <w:pPr>
        <w:pStyle w:val="BodyText"/>
      </w:pPr>
      <w:r>
        <w:t xml:space="preserve">In manufacturing, </w:t>
      </w:r>
      <w:r w:rsidR="005A2465">
        <w:t xml:space="preserve">the </w:t>
      </w:r>
      <w:r>
        <w:t>reform</w:t>
      </w:r>
      <w:r w:rsidR="005A2465">
        <w:t xml:space="preserve">s of the </w:t>
      </w:r>
      <w:r w:rsidR="000E57D5">
        <w:t>19</w:t>
      </w:r>
      <w:r w:rsidR="005A2465">
        <w:t xml:space="preserve">80s and </w:t>
      </w:r>
      <w:r w:rsidR="000E57D5">
        <w:t>19</w:t>
      </w:r>
      <w:r w:rsidR="005A2465">
        <w:t>90s</w:t>
      </w:r>
      <w:r>
        <w:t xml:space="preserve"> seem to have coincided with an increase in inputs, outputs and productivity of the sector. However, after a period, inputs fell, productivity flat-lined and output fell. Over the past decade, the predominant effect has been a redistribution of labour and capital out of this sector and into other parts of the economy. The same pattern has been evident in other advanced economies, reflecting the rising scale of manufacturing in China and other emerging economies. Indeed, the declines in the Australian manufacturing sector have been similar to those experienced in the US or </w:t>
      </w:r>
      <w:r w:rsidR="004C3E5B">
        <w:t>Germany</w:t>
      </w:r>
      <w:r>
        <w:t xml:space="preserve"> during this period </w:t>
      </w:r>
      <w:r>
        <w:rPr>
          <w:szCs w:val="24"/>
        </w:rPr>
        <w:t>(Langcake 2016)</w:t>
      </w:r>
      <w:r>
        <w:t>.</w:t>
      </w:r>
    </w:p>
    <w:p w14:paraId="5A6BB6AF" w14:textId="77777777" w:rsidR="00181598" w:rsidRDefault="00181598" w:rsidP="0018159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181598" w14:paraId="6F52CE70" w14:textId="77777777" w:rsidTr="00181598">
        <w:trPr>
          <w:tblHeader/>
        </w:trPr>
        <w:tc>
          <w:tcPr>
            <w:tcW w:w="5000" w:type="pct"/>
            <w:tcBorders>
              <w:top w:val="single" w:sz="6" w:space="0" w:color="78A22F" w:themeColor="accent1"/>
              <w:left w:val="nil"/>
              <w:bottom w:val="nil"/>
              <w:right w:val="nil"/>
            </w:tcBorders>
            <w:hideMark/>
          </w:tcPr>
          <w:p w14:paraId="714C34B5" w14:textId="77777777" w:rsidR="00181598" w:rsidRPr="002B3674" w:rsidRDefault="00181598">
            <w:pPr>
              <w:pStyle w:val="FigureTitle"/>
              <w:rPr>
                <w:sz w:val="24"/>
                <w:szCs w:val="24"/>
              </w:rPr>
            </w:pPr>
            <w:r w:rsidRPr="002B3674">
              <w:rPr>
                <w:b w:val="0"/>
                <w:sz w:val="24"/>
                <w:szCs w:val="24"/>
              </w:rPr>
              <w:t xml:space="preserve">Figure </w:t>
            </w:r>
            <w:r w:rsidR="00E46269" w:rsidRPr="002B3674">
              <w:rPr>
                <w:b w:val="0"/>
                <w:sz w:val="24"/>
                <w:szCs w:val="24"/>
              </w:rPr>
              <w:t>A.1</w:t>
            </w:r>
            <w:r w:rsidRPr="002B3674">
              <w:rPr>
                <w:sz w:val="24"/>
                <w:szCs w:val="24"/>
              </w:rPr>
              <w:tab/>
              <w:t>Agricultural and manufacturing productivity both grew as tariffs fell</w:t>
            </w:r>
          </w:p>
          <w:p w14:paraId="138EFB7E" w14:textId="77777777" w:rsidR="00181598" w:rsidRDefault="00181598">
            <w:pPr>
              <w:pStyle w:val="Subtitle"/>
            </w:pPr>
            <w:r>
              <w:t>Agriculture and Manufacturing MFP</w:t>
            </w:r>
            <w:r>
              <w:rPr>
                <w:rStyle w:val="NoteLabel"/>
                <w:rFonts w:cs="Times New Roman"/>
              </w:rPr>
              <w:t>a</w:t>
            </w:r>
            <w:r>
              <w:t>, inputs</w:t>
            </w:r>
            <w:r>
              <w:rPr>
                <w:rStyle w:val="NoteLabel"/>
                <w:rFonts w:cs="Times New Roman"/>
              </w:rPr>
              <w:t>b</w:t>
            </w:r>
            <w:r>
              <w:t xml:space="preserve"> and output</w:t>
            </w:r>
            <w:r>
              <w:rPr>
                <w:rStyle w:val="NoteLabel"/>
                <w:rFonts w:cs="Times New Roman"/>
              </w:rPr>
              <w:t>c</w:t>
            </w:r>
            <w:r>
              <w:t xml:space="preserve"> (top panels) and effective rates of assistance</w:t>
            </w:r>
            <w:r>
              <w:rPr>
                <w:rStyle w:val="NoteLabel"/>
                <w:rFonts w:cs="Times New Roman"/>
              </w:rPr>
              <w:t>d</w:t>
            </w:r>
            <w:r>
              <w:t xml:space="preserve"> (bottom panel)</w:t>
            </w:r>
          </w:p>
        </w:tc>
      </w:tr>
      <w:tr w:rsidR="00181598" w14:paraId="2FB2226E" w14:textId="77777777" w:rsidTr="00181598">
        <w:tc>
          <w:tcPr>
            <w:tcW w:w="5000" w:type="pct"/>
            <w:tcBorders>
              <w:top w:val="nil"/>
              <w:left w:val="nil"/>
              <w:bottom w:val="nil"/>
              <w:right w:val="nil"/>
            </w:tcBorders>
            <w:tcMar>
              <w:top w:w="28" w:type="dxa"/>
              <w:left w:w="142" w:type="dxa"/>
              <w:bottom w:w="28" w:type="dxa"/>
              <w:right w:w="142" w:type="dxa"/>
            </w:tcMar>
            <w:hideMark/>
          </w:tcPr>
          <w:tbl>
            <w:tblPr>
              <w:tblW w:w="8505" w:type="dxa"/>
              <w:jc w:val="center"/>
              <w:tblBorders>
                <w:top w:val="single" w:sz="6" w:space="0" w:color="F15A25" w:themeColor="accent4"/>
                <w:bottom w:val="single" w:sz="6" w:space="0" w:color="F15A25" w:themeColor="accent4"/>
              </w:tblBorders>
              <w:tblCellMar>
                <w:top w:w="28" w:type="dxa"/>
              </w:tblCellMar>
              <w:tblLook w:val="04A0" w:firstRow="1" w:lastRow="0" w:firstColumn="1" w:lastColumn="0" w:noHBand="0" w:noVBand="1"/>
              <w:tblDescription w:val="Nested table used for design layout."/>
            </w:tblPr>
            <w:tblGrid>
              <w:gridCol w:w="4252"/>
              <w:gridCol w:w="4253"/>
            </w:tblGrid>
            <w:tr w:rsidR="00181598" w14:paraId="2D6D6C2B" w14:textId="77777777" w:rsidTr="003819BF">
              <w:trPr>
                <w:trHeight w:val="1629"/>
                <w:tblHeader/>
                <w:jc w:val="center"/>
              </w:trPr>
              <w:tc>
                <w:tcPr>
                  <w:tcW w:w="4363" w:type="dxa"/>
                  <w:tcBorders>
                    <w:top w:val="nil"/>
                    <w:left w:val="nil"/>
                    <w:bottom w:val="nil"/>
                    <w:right w:val="nil"/>
                  </w:tcBorders>
                  <w:hideMark/>
                </w:tcPr>
                <w:p w14:paraId="56C68B55" w14:textId="77777777" w:rsidR="00181598" w:rsidRDefault="001C5889">
                  <w:pPr>
                    <w:pStyle w:val="Figure"/>
                    <w:spacing w:before="60" w:after="60"/>
                    <w:rPr>
                      <w:rFonts w:ascii="Arial" w:hAnsi="Arial" w:cs="Arial"/>
                      <w:sz w:val="18"/>
                      <w:szCs w:val="18"/>
                    </w:rPr>
                  </w:pPr>
                  <w:r w:rsidRPr="001C5889">
                    <w:rPr>
                      <w:rFonts w:ascii="Arial" w:hAnsi="Arial" w:cs="Arial"/>
                      <w:noProof/>
                      <w:sz w:val="18"/>
                      <w:szCs w:val="18"/>
                    </w:rPr>
                    <w:drawing>
                      <wp:inline distT="0" distB="0" distL="0" distR="0" wp14:anchorId="4F8F24F8" wp14:editId="418A23FF">
                        <wp:extent cx="2592000" cy="2788202"/>
                        <wp:effectExtent l="0" t="0" r="0" b="0"/>
                        <wp:docPr id="3" name="Picture 3" descr="This chart depicts indices of output, inputs and multifactor productivity (MFP) in the agricultural industry between 1990 and 2019. Both output and MFP almost doubled over this period while input usage actually f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2000" cy="2788202"/>
                                </a:xfrm>
                                <a:prstGeom prst="rect">
                                  <a:avLst/>
                                </a:prstGeom>
                                <a:noFill/>
                                <a:ln>
                                  <a:noFill/>
                                </a:ln>
                              </pic:spPr>
                            </pic:pic>
                          </a:graphicData>
                        </a:graphic>
                      </wp:inline>
                    </w:drawing>
                  </w:r>
                </w:p>
              </w:tc>
              <w:tc>
                <w:tcPr>
                  <w:tcW w:w="4142" w:type="dxa"/>
                  <w:tcBorders>
                    <w:top w:val="nil"/>
                    <w:left w:val="nil"/>
                    <w:bottom w:val="nil"/>
                    <w:right w:val="nil"/>
                  </w:tcBorders>
                  <w:hideMark/>
                </w:tcPr>
                <w:p w14:paraId="19DC2468" w14:textId="77777777" w:rsidR="00181598" w:rsidRDefault="001C5889">
                  <w:pPr>
                    <w:pStyle w:val="Figure"/>
                    <w:spacing w:before="60" w:after="60"/>
                    <w:rPr>
                      <w:rFonts w:ascii="Arial" w:hAnsi="Arial" w:cs="Arial"/>
                      <w:sz w:val="18"/>
                      <w:szCs w:val="18"/>
                    </w:rPr>
                  </w:pPr>
                  <w:r w:rsidRPr="001C5889">
                    <w:rPr>
                      <w:rFonts w:ascii="Arial" w:hAnsi="Arial" w:cs="Arial"/>
                      <w:noProof/>
                      <w:sz w:val="18"/>
                      <w:szCs w:val="18"/>
                    </w:rPr>
                    <w:drawing>
                      <wp:inline distT="0" distB="0" distL="0" distR="0" wp14:anchorId="6B93C8AC" wp14:editId="1F8662ED">
                        <wp:extent cx="2592000" cy="2806381"/>
                        <wp:effectExtent l="0" t="0" r="0" b="0"/>
                        <wp:docPr id="7" name="Picture 7" descr="This chart depicts indices of output, inputs and multifactor productivity (MFP) in the manufacturing industry between 1990 and 2019. There is initially sold growth in all three indices until the late 2000s when inputs and output both started to fall as the industry shrank, but MFP remained st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2000" cy="2806381"/>
                                </a:xfrm>
                                <a:prstGeom prst="rect">
                                  <a:avLst/>
                                </a:prstGeom>
                                <a:noFill/>
                                <a:ln>
                                  <a:noFill/>
                                </a:ln>
                              </pic:spPr>
                            </pic:pic>
                          </a:graphicData>
                        </a:graphic>
                      </wp:inline>
                    </w:drawing>
                  </w:r>
                </w:p>
              </w:tc>
            </w:tr>
            <w:tr w:rsidR="00181598" w14:paraId="5586CFEF" w14:textId="77777777" w:rsidTr="00FA1509">
              <w:tblPrEx>
                <w:tblCellMar>
                  <w:left w:w="0" w:type="dxa"/>
                  <w:right w:w="0" w:type="dxa"/>
                </w:tblCellMar>
              </w:tblPrEx>
              <w:trPr>
                <w:trHeight w:val="157"/>
                <w:tblHeader/>
                <w:jc w:val="center"/>
              </w:trPr>
              <w:tc>
                <w:tcPr>
                  <w:tcW w:w="8505" w:type="dxa"/>
                  <w:gridSpan w:val="2"/>
                  <w:tcBorders>
                    <w:top w:val="nil"/>
                    <w:left w:val="nil"/>
                    <w:bottom w:val="nil"/>
                    <w:right w:val="nil"/>
                  </w:tcBorders>
                  <w:hideMark/>
                </w:tcPr>
                <w:p w14:paraId="59DB84E9" w14:textId="77777777" w:rsidR="00181598" w:rsidRDefault="000B7693">
                  <w:pPr>
                    <w:pStyle w:val="Figure"/>
                    <w:spacing w:before="60" w:after="60"/>
                    <w:rPr>
                      <w:rFonts w:ascii="Arial" w:hAnsi="Arial" w:cs="Arial"/>
                      <w:sz w:val="18"/>
                      <w:szCs w:val="18"/>
                    </w:rPr>
                  </w:pPr>
                  <w:r>
                    <w:rPr>
                      <w:noProof/>
                    </w:rPr>
                    <w:drawing>
                      <wp:inline distT="0" distB="0" distL="0" distR="0" wp14:anchorId="018DDC11" wp14:editId="3A4033F8">
                        <wp:extent cx="1619250" cy="276225"/>
                        <wp:effectExtent l="0" t="0" r="0" b="9525"/>
                        <wp:docPr id="19" name="Picture 19"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19250" cy="276225"/>
                                </a:xfrm>
                                <a:prstGeom prst="rect">
                                  <a:avLst/>
                                </a:prstGeom>
                              </pic:spPr>
                            </pic:pic>
                          </a:graphicData>
                        </a:graphic>
                      </wp:inline>
                    </w:drawing>
                  </w:r>
                </w:p>
              </w:tc>
            </w:tr>
            <w:tr w:rsidR="00181598" w14:paraId="576A6A02" w14:textId="77777777" w:rsidTr="00FA1509">
              <w:tblPrEx>
                <w:tblCellMar>
                  <w:left w:w="0" w:type="dxa"/>
                  <w:right w:w="0" w:type="dxa"/>
                </w:tblCellMar>
              </w:tblPrEx>
              <w:trPr>
                <w:trHeight w:val="120"/>
                <w:tblHeader/>
                <w:jc w:val="center"/>
              </w:trPr>
              <w:tc>
                <w:tcPr>
                  <w:tcW w:w="8505" w:type="dxa"/>
                  <w:gridSpan w:val="2"/>
                  <w:tcBorders>
                    <w:top w:val="nil"/>
                    <w:left w:val="nil"/>
                    <w:bottom w:val="nil"/>
                    <w:right w:val="nil"/>
                  </w:tcBorders>
                  <w:tcMar>
                    <w:top w:w="28" w:type="dxa"/>
                    <w:left w:w="108" w:type="dxa"/>
                    <w:bottom w:w="0" w:type="dxa"/>
                    <w:right w:w="108" w:type="dxa"/>
                  </w:tcMar>
                  <w:hideMark/>
                </w:tcPr>
                <w:p w14:paraId="2FE3F63E" w14:textId="77777777" w:rsidR="00181598" w:rsidRDefault="000142CD">
                  <w:pPr>
                    <w:pStyle w:val="Figure"/>
                    <w:spacing w:before="60" w:after="60"/>
                    <w:rPr>
                      <w:rFonts w:ascii="Arial" w:hAnsi="Arial" w:cs="Arial"/>
                      <w:sz w:val="18"/>
                      <w:szCs w:val="18"/>
                    </w:rPr>
                  </w:pPr>
                  <w:r w:rsidRPr="000142CD">
                    <w:rPr>
                      <w:rFonts w:ascii="Arial" w:hAnsi="Arial" w:cs="Arial"/>
                      <w:noProof/>
                      <w:sz w:val="18"/>
                      <w:szCs w:val="18"/>
                    </w:rPr>
                    <w:drawing>
                      <wp:inline distT="0" distB="0" distL="0" distR="0" wp14:anchorId="4C1688FC" wp14:editId="17921353">
                        <wp:extent cx="5238750" cy="3059430"/>
                        <wp:effectExtent l="0" t="0" r="0" b="7620"/>
                        <wp:docPr id="217" name="Picture 217" descr="This chart shows the effective rates of assistance (the percentage of industries value added attributable to assistance) for agriculture and manufacturing between 1971 and 2018. Assistance was high in both industries (though higher in manufacturing) until the 1980s when the rate of assistance fell rapid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This chart shows the effective rates of assistance (the percentage of industries value added attributable to assistance) for agriculture and manufacturing between 1971 and 2018. Assistance was high in both industries (though higher in manufacturing) until the 1980s when the rate of assistance fell rapidly.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9727" cy="3060001"/>
                                </a:xfrm>
                                <a:prstGeom prst="rect">
                                  <a:avLst/>
                                </a:prstGeom>
                                <a:noFill/>
                                <a:ln>
                                  <a:noFill/>
                                </a:ln>
                              </pic:spPr>
                            </pic:pic>
                          </a:graphicData>
                        </a:graphic>
                      </wp:inline>
                    </w:drawing>
                  </w:r>
                </w:p>
              </w:tc>
            </w:tr>
          </w:tbl>
          <w:p w14:paraId="2871C57D" w14:textId="77777777" w:rsidR="00181598" w:rsidRDefault="00181598">
            <w:pPr>
              <w:pStyle w:val="Figure"/>
            </w:pPr>
          </w:p>
        </w:tc>
      </w:tr>
      <w:tr w:rsidR="00181598" w14:paraId="20AABCB4" w14:textId="77777777" w:rsidTr="00181598">
        <w:tc>
          <w:tcPr>
            <w:tcW w:w="5000" w:type="pct"/>
            <w:tcBorders>
              <w:top w:val="nil"/>
              <w:left w:val="nil"/>
              <w:bottom w:val="nil"/>
              <w:right w:val="nil"/>
            </w:tcBorders>
            <w:hideMark/>
          </w:tcPr>
          <w:p w14:paraId="5FDF9D84" w14:textId="77777777" w:rsidR="00181598" w:rsidRDefault="00181598">
            <w:pPr>
              <w:pStyle w:val="Note"/>
            </w:pPr>
            <w:r>
              <w:rPr>
                <w:rStyle w:val="NoteLabel"/>
              </w:rPr>
              <w:t>a</w:t>
            </w:r>
            <w:r>
              <w:t xml:space="preserve"> MFP = multifactor productivity. </w:t>
            </w:r>
            <w:r>
              <w:rPr>
                <w:rStyle w:val="NoteLabel"/>
              </w:rPr>
              <w:t>b</w:t>
            </w:r>
            <w:r>
              <w:t xml:space="preserve"> Inputs are a combined index of labour and capital services. </w:t>
            </w:r>
            <w:r>
              <w:rPr>
                <w:rStyle w:val="NoteLabel"/>
              </w:rPr>
              <w:t>c</w:t>
            </w:r>
            <w:r>
              <w:t>  Output is gross value</w:t>
            </w:r>
            <w:r>
              <w:noBreakHyphen/>
              <w:t xml:space="preserve">added. </w:t>
            </w:r>
            <w:r>
              <w:rPr>
                <w:rStyle w:val="NoteLabel"/>
              </w:rPr>
              <w:t>d</w:t>
            </w:r>
            <w:r>
              <w:t>  Effective rates of assistance refers to the percentage change in returns per unit of output to an activity’s value</w:t>
            </w:r>
            <w:r>
              <w:noBreakHyphen/>
              <w:t>adding factors due to the assistance structure.</w:t>
            </w:r>
          </w:p>
        </w:tc>
      </w:tr>
      <w:tr w:rsidR="00181598" w14:paraId="541E6121" w14:textId="77777777" w:rsidTr="00181598">
        <w:tc>
          <w:tcPr>
            <w:tcW w:w="5000" w:type="pct"/>
            <w:tcBorders>
              <w:top w:val="nil"/>
              <w:left w:val="nil"/>
              <w:bottom w:val="nil"/>
              <w:right w:val="nil"/>
            </w:tcBorders>
            <w:hideMark/>
          </w:tcPr>
          <w:p w14:paraId="51160082" w14:textId="77777777" w:rsidR="00181598" w:rsidRDefault="00181598">
            <w:pPr>
              <w:pStyle w:val="Source"/>
            </w:pPr>
            <w:r>
              <w:rPr>
                <w:i/>
              </w:rPr>
              <w:t>Sources</w:t>
            </w:r>
            <w:r>
              <w:t>: ABS (</w:t>
            </w:r>
            <w:r>
              <w:rPr>
                <w:i/>
              </w:rPr>
              <w:t>Estimates of Industry Multifactor Productivity, 2018</w:t>
            </w:r>
            <w:r>
              <w:rPr>
                <w:i/>
              </w:rPr>
              <w:noBreakHyphen/>
              <w:t>19</w:t>
            </w:r>
            <w:r>
              <w:t>, Cat. No. 6260.0.55.002, tables 1</w:t>
            </w:r>
            <w:r>
              <w:noBreakHyphen/>
              <w:t xml:space="preserve">19); PC </w:t>
            </w:r>
            <w:r>
              <w:rPr>
                <w:rFonts w:cs="Arial"/>
                <w:szCs w:val="24"/>
              </w:rPr>
              <w:t>(2019, p. 35)</w:t>
            </w:r>
            <w:r>
              <w:t>.</w:t>
            </w:r>
            <w:r>
              <w:rPr>
                <w:i/>
              </w:rPr>
              <w:t>Sources</w:t>
            </w:r>
            <w:r>
              <w:t>: ABS (</w:t>
            </w:r>
            <w:r>
              <w:rPr>
                <w:i/>
              </w:rPr>
              <w:t>Estimates of Industry Multifactor Productivity, 2018</w:t>
            </w:r>
            <w:r>
              <w:rPr>
                <w:i/>
              </w:rPr>
              <w:noBreakHyphen/>
              <w:t>19</w:t>
            </w:r>
            <w:r>
              <w:t>, Cat. No. 6260.0.55.002, tables 1</w:t>
            </w:r>
            <w:r>
              <w:noBreakHyphen/>
              <w:t xml:space="preserve">19); PC </w:t>
            </w:r>
            <w:r>
              <w:rPr>
                <w:rFonts w:cs="Arial"/>
                <w:szCs w:val="24"/>
              </w:rPr>
              <w:t>(2019, p. 35)</w:t>
            </w:r>
            <w:r>
              <w:t>.</w:t>
            </w:r>
          </w:p>
        </w:tc>
      </w:tr>
      <w:tr w:rsidR="00181598" w14:paraId="6D6A7C9E" w14:textId="77777777" w:rsidTr="00181598">
        <w:tc>
          <w:tcPr>
            <w:tcW w:w="5000" w:type="pct"/>
            <w:tcBorders>
              <w:top w:val="nil"/>
              <w:left w:val="nil"/>
              <w:bottom w:val="single" w:sz="6" w:space="0" w:color="78A22F" w:themeColor="accent1"/>
              <w:right w:val="nil"/>
            </w:tcBorders>
          </w:tcPr>
          <w:p w14:paraId="2C810A07" w14:textId="77777777" w:rsidR="00181598" w:rsidRDefault="00181598">
            <w:pPr>
              <w:pStyle w:val="Figurespace"/>
            </w:pPr>
          </w:p>
        </w:tc>
      </w:tr>
      <w:tr w:rsidR="00181598" w14:paraId="6F190B0F" w14:textId="77777777" w:rsidTr="00181598">
        <w:tc>
          <w:tcPr>
            <w:tcW w:w="5000" w:type="pct"/>
            <w:tcBorders>
              <w:top w:val="single" w:sz="6" w:space="0" w:color="78A22F" w:themeColor="accent1"/>
              <w:left w:val="nil"/>
              <w:bottom w:val="nil"/>
              <w:right w:val="nil"/>
            </w:tcBorders>
            <w:hideMark/>
          </w:tcPr>
          <w:p w14:paraId="293B9D94" w14:textId="77777777" w:rsidR="00181598" w:rsidRDefault="00181598">
            <w:pPr>
              <w:pStyle w:val="BoxSpaceBelow"/>
            </w:pPr>
          </w:p>
        </w:tc>
      </w:tr>
    </w:tbl>
    <w:p w14:paraId="2ECA258D" w14:textId="77777777" w:rsidR="00181598" w:rsidRDefault="00181598" w:rsidP="00F352AF">
      <w:pPr>
        <w:pStyle w:val="Heading1"/>
      </w:pPr>
      <w:bookmarkStart w:id="8" w:name="_Toc56436170"/>
      <w:r>
        <w:lastRenderedPageBreak/>
        <w:t>B</w:t>
      </w:r>
      <w:r>
        <w:tab/>
        <w:t>National Competition policy</w:t>
      </w:r>
      <w:bookmarkEnd w:id="8"/>
    </w:p>
    <w:p w14:paraId="1C0F69AB" w14:textId="77777777" w:rsidR="00181598" w:rsidRDefault="00181598" w:rsidP="00181598">
      <w:pPr>
        <w:pStyle w:val="BodyText"/>
      </w:pPr>
      <w:r>
        <w:t>A second pillar of microeconomic reform was the suite of policies that came under the banner of ‘National Competition Policy’ (NCP). A major part of this policy set was the reformation of state</w:t>
      </w:r>
      <w:r>
        <w:noBreakHyphen/>
        <w:t>owned enterprises. As recently as the 1980s electricity, gas and water were provided by state government entities, with little commercial discipline and unclear governance structures. The Australian Government held a monopoly over telephone services (Telecom Australia), as well as running one of the country’s largest financial corporations (Commonwealth Bank of Australia).</w:t>
      </w:r>
    </w:p>
    <w:p w14:paraId="165577A0" w14:textId="77777777" w:rsidR="00181598" w:rsidRDefault="00181598" w:rsidP="00181598">
      <w:pPr>
        <w:pStyle w:val="BodyText"/>
      </w:pPr>
      <w:r>
        <w:t>Following liberalisation of trade</w:t>
      </w:r>
      <w:r w:rsidR="00F87F50">
        <w:t xml:space="preserve"> and</w:t>
      </w:r>
      <w:r>
        <w:t xml:space="preserve"> capital markets</w:t>
      </w:r>
      <w:r w:rsidR="00F87F50">
        <w:t>, as well as</w:t>
      </w:r>
      <w:r>
        <w:t xml:space="preserve"> other competition enhancing reforms in the 1980s and early 1990s, policymakers expanded the scope and application of competition policy to enhance productivity growth </w:t>
      </w:r>
      <w:r>
        <w:rPr>
          <w:szCs w:val="24"/>
        </w:rPr>
        <w:t>(PC 2005, pp. 1–2)</w:t>
      </w:r>
      <w:r>
        <w:t xml:space="preserve">. The 1991 Prime Ministerial statement, </w:t>
      </w:r>
      <w:r>
        <w:rPr>
          <w:i/>
        </w:rPr>
        <w:t>Building a Competitive Australia</w:t>
      </w:r>
      <w:r>
        <w:t xml:space="preserve">, echoes this feeling: </w:t>
      </w:r>
    </w:p>
    <w:p w14:paraId="67DAF8EF" w14:textId="77777777" w:rsidR="00181598" w:rsidRDefault="00181598" w:rsidP="00181598">
      <w:pPr>
        <w:pStyle w:val="Quote"/>
      </w:pPr>
      <w:r>
        <w:t xml:space="preserve">The benefits for the consumer of expanding the scope of the Trade Practices Act could be immense: potentially lower professional fees, cheaper road and rail fares, cheaper electricity. </w:t>
      </w:r>
      <w:r w:rsidR="00B05350" w:rsidRPr="00B05350">
        <w:rPr>
          <w:szCs w:val="24"/>
        </w:rPr>
        <w:t>(Hawke 1991, p. 1766)</w:t>
      </w:r>
    </w:p>
    <w:p w14:paraId="568CD16C" w14:textId="77777777" w:rsidR="00181598" w:rsidRDefault="00181598" w:rsidP="00181598">
      <w:pPr>
        <w:pStyle w:val="BodyText"/>
      </w:pPr>
      <w:r>
        <w:t xml:space="preserve">This led to the establishment of the independent </w:t>
      </w:r>
      <w:r>
        <w:rPr>
          <w:i/>
        </w:rPr>
        <w:t>Committee of inquiry into a National Competition Policy for Australia</w:t>
      </w:r>
      <w:r>
        <w:t xml:space="preserve"> (the Hilmer inquiry) </w:t>
      </w:r>
      <w:r>
        <w:rPr>
          <w:szCs w:val="24"/>
        </w:rPr>
        <w:t>(Hilmer 1993)</w:t>
      </w:r>
      <w:r>
        <w:t xml:space="preserve">, which established the principles and the policy blueprint for NCP. These recommendations were adopted by the Council of Australia Governments in 1995 as part of a six year reform program, later extended to 2005 </w:t>
      </w:r>
      <w:r>
        <w:rPr>
          <w:szCs w:val="24"/>
        </w:rPr>
        <w:t>(PC 2005, p. 2)</w:t>
      </w:r>
      <w:r>
        <w:t xml:space="preserve">. </w:t>
      </w:r>
    </w:p>
    <w:p w14:paraId="734B0BF3" w14:textId="77777777" w:rsidR="00181598" w:rsidRDefault="00181598" w:rsidP="00181598">
      <w:pPr>
        <w:pStyle w:val="BodyText"/>
      </w:pPr>
      <w:r>
        <w:t>The overriding principle of NCP is that competition is beneficial, and governments should only erect barriers to competition if the benefits of doing so outweigh the costs and these benefits can only be achieved by restricting competition. Whilst this may seem uncontroversial, at the time government businesses and unincorporated enterprises were not subject to competition regulation and there were numerous examples of anti</w:t>
      </w:r>
      <w:r>
        <w:noBreakHyphen/>
        <w:t>competitive behaviour without clear benefit to the public. Following NCP, there was significant corporatisation, some privatisation and a general opening</w:t>
      </w:r>
      <w:r w:rsidR="00ED115B">
        <w:noBreakHyphen/>
      </w:r>
      <w:r>
        <w:t>up to competition of government monopolies</w:t>
      </w:r>
      <w:r w:rsidR="00806AE9">
        <w:t xml:space="preserve"> (</w:t>
      </w:r>
      <w:r>
        <w:t xml:space="preserve">as well as removal of barriers to entry in a number of private markets). </w:t>
      </w:r>
    </w:p>
    <w:p w14:paraId="211662D0" w14:textId="77777777" w:rsidR="00181598" w:rsidRPr="001C5889" w:rsidRDefault="00181598" w:rsidP="00181598">
      <w:pPr>
        <w:pStyle w:val="BodyText"/>
        <w:rPr>
          <w:spacing w:val="-4"/>
        </w:rPr>
      </w:pPr>
      <w:r w:rsidRPr="001C5889">
        <w:rPr>
          <w:spacing w:val="-4"/>
        </w:rPr>
        <w:t xml:space="preserve">Early reviews of NCP found the benefits of the reform were both positive and substantial — for example, the Commission </w:t>
      </w:r>
      <w:r w:rsidRPr="001C5889">
        <w:rPr>
          <w:spacing w:val="-4"/>
          <w:szCs w:val="24"/>
        </w:rPr>
        <w:t>(PC 2005, p. 51)</w:t>
      </w:r>
      <w:r w:rsidRPr="001C5889">
        <w:rPr>
          <w:spacing w:val="-4"/>
        </w:rPr>
        <w:t xml:space="preserve"> undertook modelling that suggested NCP had increased real GDP by about 2.5 per cent (mainly from productivity improvements in the telecommunications and electricity sectors). That said, for electricity, gas and water services it appears all of the early productivity gains, realised primarily through reductions in labour inputs in the 1990s, have since been reversed (figure </w:t>
      </w:r>
      <w:r w:rsidR="00E46269" w:rsidRPr="001C5889">
        <w:rPr>
          <w:spacing w:val="-4"/>
        </w:rPr>
        <w:t>B.1</w:t>
      </w:r>
      <w:r w:rsidRPr="001C5889">
        <w:rPr>
          <w:spacing w:val="-4"/>
        </w:rPr>
        <w:t>). The causes of this are discussed below.</w:t>
      </w:r>
    </w:p>
    <w:p w14:paraId="72D99103" w14:textId="77777777" w:rsidR="00181598" w:rsidRDefault="00181598" w:rsidP="0018159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181598" w14:paraId="55A4696C" w14:textId="77777777" w:rsidTr="00181598">
        <w:trPr>
          <w:tblHeader/>
        </w:trPr>
        <w:tc>
          <w:tcPr>
            <w:tcW w:w="5000" w:type="pct"/>
            <w:tcBorders>
              <w:top w:val="single" w:sz="6" w:space="0" w:color="78A22F" w:themeColor="accent1"/>
              <w:left w:val="nil"/>
              <w:bottom w:val="nil"/>
              <w:right w:val="nil"/>
            </w:tcBorders>
            <w:hideMark/>
          </w:tcPr>
          <w:p w14:paraId="1F9D1CEC" w14:textId="77777777" w:rsidR="00181598" w:rsidRPr="001C5889" w:rsidRDefault="00181598">
            <w:pPr>
              <w:pStyle w:val="FigureTitle"/>
              <w:rPr>
                <w:sz w:val="24"/>
                <w:szCs w:val="24"/>
              </w:rPr>
            </w:pPr>
            <w:r w:rsidRPr="001C5889">
              <w:rPr>
                <w:b w:val="0"/>
                <w:sz w:val="24"/>
                <w:szCs w:val="24"/>
              </w:rPr>
              <w:t xml:space="preserve">Figure </w:t>
            </w:r>
            <w:r w:rsidR="00E46269" w:rsidRPr="001C5889">
              <w:rPr>
                <w:b w:val="0"/>
                <w:sz w:val="24"/>
                <w:szCs w:val="24"/>
              </w:rPr>
              <w:t>B.1</w:t>
            </w:r>
            <w:r w:rsidRPr="001C5889">
              <w:rPr>
                <w:sz w:val="24"/>
                <w:szCs w:val="24"/>
              </w:rPr>
              <w:tab/>
              <w:t>Corporatisation, competition and deregulation produced sharp improvements in productivity (though in electricity, gas and water, these proved transitory)</w:t>
            </w:r>
          </w:p>
          <w:p w14:paraId="696B54E3" w14:textId="77777777" w:rsidR="00181598" w:rsidRDefault="00181598">
            <w:pPr>
              <w:pStyle w:val="Subtitle"/>
            </w:pPr>
            <w:r>
              <w:t>Output</w:t>
            </w:r>
            <w:r>
              <w:rPr>
                <w:rStyle w:val="NoteLabel"/>
                <w:rFonts w:cs="Times New Roman"/>
              </w:rPr>
              <w:t>a</w:t>
            </w:r>
            <w:r>
              <w:t>, inputs</w:t>
            </w:r>
            <w:r>
              <w:rPr>
                <w:rStyle w:val="NoteLabel"/>
                <w:rFonts w:cs="Times New Roman"/>
              </w:rPr>
              <w:t>b</w:t>
            </w:r>
            <w:r>
              <w:t xml:space="preserve"> and MFP</w:t>
            </w:r>
            <w:r>
              <w:rPr>
                <w:rStyle w:val="NoteLabel"/>
                <w:rFonts w:cs="Times New Roman"/>
              </w:rPr>
              <w:t>c</w:t>
            </w:r>
            <w:r>
              <w:t xml:space="preserve"> for utilities</w:t>
            </w:r>
            <w:r>
              <w:rPr>
                <w:rStyle w:val="NoteLabel"/>
                <w:rFonts w:cs="Times New Roman"/>
              </w:rPr>
              <w:t>d</w:t>
            </w:r>
            <w:r>
              <w:t>, transport</w:t>
            </w:r>
            <w:r>
              <w:rPr>
                <w:rStyle w:val="NoteLabel"/>
                <w:rFonts w:cs="Times New Roman"/>
              </w:rPr>
              <w:t>e</w:t>
            </w:r>
            <w:r>
              <w:t>, telecommunications</w:t>
            </w:r>
            <w:r>
              <w:rPr>
                <w:rStyle w:val="NoteLabel"/>
                <w:rFonts w:cs="Times New Roman"/>
              </w:rPr>
              <w:t>f</w:t>
            </w:r>
            <w:r>
              <w:t xml:space="preserve"> and 12 industry market sector</w:t>
            </w:r>
          </w:p>
        </w:tc>
      </w:tr>
      <w:tr w:rsidR="00181598" w14:paraId="2104184E" w14:textId="77777777" w:rsidTr="00181598">
        <w:tc>
          <w:tcPr>
            <w:tcW w:w="5000" w:type="pct"/>
            <w:tcBorders>
              <w:top w:val="nil"/>
              <w:left w:val="nil"/>
              <w:bottom w:val="nil"/>
              <w:right w:val="nil"/>
            </w:tcBorders>
            <w:tcMar>
              <w:top w:w="28" w:type="dxa"/>
              <w:left w:w="142" w:type="dxa"/>
              <w:bottom w:w="28" w:type="dxa"/>
              <w:right w:w="142" w:type="dxa"/>
            </w:tcMar>
            <w:hideMark/>
          </w:tcPr>
          <w:tbl>
            <w:tblPr>
              <w:tblW w:w="8505" w:type="dxa"/>
              <w:jc w:val="center"/>
              <w:tblBorders>
                <w:top w:val="single" w:sz="6" w:space="0" w:color="F15A25" w:themeColor="accent4"/>
                <w:bottom w:val="single" w:sz="6" w:space="0" w:color="F15A25" w:themeColor="accent4"/>
              </w:tblBorders>
              <w:tblCellMar>
                <w:top w:w="28" w:type="dxa"/>
              </w:tblCellMar>
              <w:tblLook w:val="04A0" w:firstRow="1" w:lastRow="0" w:firstColumn="1" w:lastColumn="0" w:noHBand="0" w:noVBand="1"/>
              <w:tblDescription w:val="Nested table used for design layout."/>
            </w:tblPr>
            <w:tblGrid>
              <w:gridCol w:w="4338"/>
              <w:gridCol w:w="4167"/>
            </w:tblGrid>
            <w:tr w:rsidR="00181598" w14:paraId="56CBDA63" w14:textId="77777777" w:rsidTr="00286CDF">
              <w:trPr>
                <w:trHeight w:val="120"/>
                <w:tblHeader/>
                <w:jc w:val="center"/>
              </w:trPr>
              <w:tc>
                <w:tcPr>
                  <w:tcW w:w="4281" w:type="dxa"/>
                  <w:tcBorders>
                    <w:top w:val="nil"/>
                    <w:left w:val="nil"/>
                    <w:bottom w:val="nil"/>
                    <w:right w:val="nil"/>
                  </w:tcBorders>
                  <w:hideMark/>
                </w:tcPr>
                <w:p w14:paraId="1F6D2FB9" w14:textId="77777777" w:rsidR="00181598" w:rsidRDefault="00EF0CA2">
                  <w:pPr>
                    <w:pStyle w:val="Figure"/>
                    <w:spacing w:before="60" w:after="60"/>
                    <w:rPr>
                      <w:rFonts w:ascii="Arial" w:hAnsi="Arial" w:cs="Arial"/>
                      <w:sz w:val="18"/>
                      <w:szCs w:val="18"/>
                    </w:rPr>
                  </w:pPr>
                  <w:r w:rsidRPr="00EF0CA2">
                    <w:rPr>
                      <w:rFonts w:ascii="Arial" w:hAnsi="Arial" w:cs="Arial"/>
                      <w:noProof/>
                      <w:sz w:val="18"/>
                      <w:szCs w:val="18"/>
                    </w:rPr>
                    <w:drawing>
                      <wp:inline distT="0" distB="0" distL="0" distR="0" wp14:anchorId="59FC2095" wp14:editId="387ACE45">
                        <wp:extent cx="2733675" cy="2781300"/>
                        <wp:effectExtent l="0" t="0" r="9525" b="0"/>
                        <wp:docPr id="16" name="Picture 16" descr="This chart displays indices of output, inputs and multifactor productivity (MFP) in the electricity, gas, water and waste industry between 1990 and 2019. MFP improved in the 1990s as input usage fell but in the early 2000s, this trend reversed and input usage growth outstripped output growth so that MFP fell below its 1990 level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chart displays indices of output, inputs and multifactor productivity (MFP) in the electricity, gas, water and waste industry between 1990 and 2019. MFP improved in the 1990s as input usage fell but in the early 2000s, this trend reversed and input usage growth outstripped output growth so that MFP fell below its 1990 levels. &#10;&#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3675" cy="2781300"/>
                                </a:xfrm>
                                <a:prstGeom prst="rect">
                                  <a:avLst/>
                                </a:prstGeom>
                                <a:noFill/>
                                <a:ln>
                                  <a:noFill/>
                                </a:ln>
                              </pic:spPr>
                            </pic:pic>
                          </a:graphicData>
                        </a:graphic>
                      </wp:inline>
                    </w:drawing>
                  </w:r>
                </w:p>
              </w:tc>
              <w:tc>
                <w:tcPr>
                  <w:tcW w:w="4224" w:type="dxa"/>
                  <w:tcBorders>
                    <w:top w:val="nil"/>
                    <w:left w:val="nil"/>
                    <w:bottom w:val="nil"/>
                    <w:right w:val="nil"/>
                  </w:tcBorders>
                  <w:hideMark/>
                </w:tcPr>
                <w:p w14:paraId="3ACC9DBB" w14:textId="77777777" w:rsidR="00181598" w:rsidRDefault="00EF0CA2">
                  <w:pPr>
                    <w:pStyle w:val="Figure"/>
                    <w:spacing w:before="60" w:after="60"/>
                    <w:rPr>
                      <w:rFonts w:ascii="Arial" w:hAnsi="Arial" w:cs="Arial"/>
                      <w:sz w:val="18"/>
                      <w:szCs w:val="18"/>
                    </w:rPr>
                  </w:pPr>
                  <w:r w:rsidRPr="00EF0CA2">
                    <w:rPr>
                      <w:rFonts w:ascii="Arial" w:hAnsi="Arial" w:cs="Arial"/>
                      <w:noProof/>
                      <w:sz w:val="18"/>
                      <w:szCs w:val="18"/>
                    </w:rPr>
                    <w:drawing>
                      <wp:inline distT="0" distB="0" distL="0" distR="0" wp14:anchorId="5A47F43F" wp14:editId="15720428">
                        <wp:extent cx="2619375" cy="2781300"/>
                        <wp:effectExtent l="0" t="0" r="9525" b="0"/>
                        <wp:docPr id="15" name="Picture 15" descr="This chart displays indices of output, inputs and multifactor productivity (MFP) in the transport industry between 1990 and 2019. There is faster growth in MFP between 1990 and 2005, than there is after 2005 (in line with a global slowdown in productivity that occurred at this tim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chart displays indices of output, inputs and multifactor productivity (MFP) in the transport industry between 1990 and 2019. There is faster growth in MFP between 1990 and 2005, than there is after 2005 (in line with a global slowdown in productivity that occurred at this time). &#10;&#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9375" cy="2781300"/>
                                </a:xfrm>
                                <a:prstGeom prst="rect">
                                  <a:avLst/>
                                </a:prstGeom>
                                <a:noFill/>
                                <a:ln>
                                  <a:noFill/>
                                </a:ln>
                              </pic:spPr>
                            </pic:pic>
                          </a:graphicData>
                        </a:graphic>
                      </wp:inline>
                    </w:drawing>
                  </w:r>
                </w:p>
              </w:tc>
            </w:tr>
            <w:tr w:rsidR="00181598" w14:paraId="7FF95088" w14:textId="77777777" w:rsidTr="00286CDF">
              <w:trPr>
                <w:trHeight w:val="129"/>
                <w:tblHeader/>
                <w:jc w:val="center"/>
              </w:trPr>
              <w:tc>
                <w:tcPr>
                  <w:tcW w:w="4281" w:type="dxa"/>
                  <w:tcBorders>
                    <w:top w:val="nil"/>
                    <w:left w:val="nil"/>
                    <w:bottom w:val="nil"/>
                    <w:right w:val="nil"/>
                  </w:tcBorders>
                  <w:hideMark/>
                </w:tcPr>
                <w:p w14:paraId="6585DE6E" w14:textId="77777777" w:rsidR="00181598" w:rsidRDefault="00EF0CA2">
                  <w:pPr>
                    <w:pStyle w:val="Figure"/>
                    <w:spacing w:before="60" w:after="60"/>
                    <w:rPr>
                      <w:rFonts w:ascii="Arial" w:hAnsi="Arial" w:cs="Arial"/>
                      <w:sz w:val="18"/>
                      <w:szCs w:val="18"/>
                    </w:rPr>
                  </w:pPr>
                  <w:r w:rsidRPr="00EF0CA2">
                    <w:rPr>
                      <w:rFonts w:ascii="Arial" w:hAnsi="Arial" w:cs="Arial"/>
                      <w:noProof/>
                      <w:sz w:val="18"/>
                      <w:szCs w:val="18"/>
                    </w:rPr>
                    <w:drawing>
                      <wp:inline distT="0" distB="0" distL="0" distR="0" wp14:anchorId="52164241" wp14:editId="3AF89BA5">
                        <wp:extent cx="2638425" cy="2781300"/>
                        <wp:effectExtent l="0" t="0" r="9525" b="0"/>
                        <wp:docPr id="14" name="Picture 14" descr="This chart displays indices of output, inputs and multifactor productivity (MFP) in the telecommunications industry between 1990 and 2019. There has been rapid growth in output, inputs, and MFP in line with the digital revolution of the last few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chart displays indices of output, inputs and multifactor productivity (MFP) in the telecommunications industry between 1990 and 2019. There has been rapid growth in output, inputs, and MFP in line with the digital revolution of the last few year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8425" cy="2781300"/>
                                </a:xfrm>
                                <a:prstGeom prst="rect">
                                  <a:avLst/>
                                </a:prstGeom>
                                <a:noFill/>
                                <a:ln>
                                  <a:noFill/>
                                </a:ln>
                              </pic:spPr>
                            </pic:pic>
                          </a:graphicData>
                        </a:graphic>
                      </wp:inline>
                    </w:drawing>
                  </w:r>
                </w:p>
              </w:tc>
              <w:tc>
                <w:tcPr>
                  <w:tcW w:w="4224" w:type="dxa"/>
                  <w:tcBorders>
                    <w:top w:val="nil"/>
                    <w:left w:val="nil"/>
                    <w:bottom w:val="nil"/>
                    <w:right w:val="nil"/>
                  </w:tcBorders>
                  <w:hideMark/>
                </w:tcPr>
                <w:p w14:paraId="5BB31353" w14:textId="77777777" w:rsidR="00181598" w:rsidRDefault="00EF0CA2">
                  <w:pPr>
                    <w:pStyle w:val="Figure"/>
                    <w:spacing w:before="60" w:after="60"/>
                    <w:rPr>
                      <w:rFonts w:ascii="Arial" w:hAnsi="Arial" w:cs="Arial"/>
                      <w:sz w:val="18"/>
                      <w:szCs w:val="18"/>
                    </w:rPr>
                  </w:pPr>
                  <w:r w:rsidRPr="00EF0CA2">
                    <w:rPr>
                      <w:rFonts w:ascii="Arial" w:hAnsi="Arial" w:cs="Arial"/>
                      <w:noProof/>
                      <w:sz w:val="18"/>
                      <w:szCs w:val="18"/>
                    </w:rPr>
                    <w:drawing>
                      <wp:inline distT="0" distB="0" distL="0" distR="0" wp14:anchorId="6E77CF39" wp14:editId="0555A616">
                        <wp:extent cx="2628900" cy="2771775"/>
                        <wp:effectExtent l="0" t="0" r="0" b="9525"/>
                        <wp:docPr id="12" name="Picture 12" descr="This chart displays indices of output, inputs and multifactor productivity (MFP) in the 12-industry aggregate market sector between 1990 and 2019. MFP growth was faster between 1990 and 2005 than it was after 2005 (in line with a global slowdown in productivity that occurred at this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chart displays indices of output, inputs and multifactor productivity (MFP) in the 12-industry aggregate market sector between 1990 and 2019. MFP growth was faster between 1990 and 2005 than it was after 2005 (in line with a global slowdown in productivity that occurred at this time).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8900" cy="2771775"/>
                                </a:xfrm>
                                <a:prstGeom prst="rect">
                                  <a:avLst/>
                                </a:prstGeom>
                                <a:noFill/>
                                <a:ln>
                                  <a:noFill/>
                                </a:ln>
                              </pic:spPr>
                            </pic:pic>
                          </a:graphicData>
                        </a:graphic>
                      </wp:inline>
                    </w:drawing>
                  </w:r>
                </w:p>
              </w:tc>
            </w:tr>
            <w:tr w:rsidR="00181598" w14:paraId="26F5AE59" w14:textId="77777777">
              <w:trPr>
                <w:trHeight w:val="128"/>
                <w:tblHeader/>
                <w:jc w:val="center"/>
              </w:trPr>
              <w:tc>
                <w:tcPr>
                  <w:tcW w:w="8505" w:type="dxa"/>
                  <w:gridSpan w:val="2"/>
                  <w:tcBorders>
                    <w:top w:val="nil"/>
                    <w:left w:val="nil"/>
                    <w:bottom w:val="nil"/>
                    <w:right w:val="nil"/>
                  </w:tcBorders>
                  <w:hideMark/>
                </w:tcPr>
                <w:p w14:paraId="1A937B80" w14:textId="77777777" w:rsidR="00181598" w:rsidRDefault="00C705BF">
                  <w:pPr>
                    <w:pStyle w:val="Figure"/>
                    <w:spacing w:before="60" w:after="60"/>
                    <w:rPr>
                      <w:rFonts w:ascii="Arial" w:hAnsi="Arial" w:cs="Arial"/>
                      <w:sz w:val="18"/>
                      <w:szCs w:val="18"/>
                    </w:rPr>
                  </w:pPr>
                  <w:r>
                    <w:rPr>
                      <w:noProof/>
                    </w:rPr>
                    <w:drawing>
                      <wp:inline distT="0" distB="0" distL="0" distR="0" wp14:anchorId="41D14E84" wp14:editId="15BE0475">
                        <wp:extent cx="1619250" cy="276225"/>
                        <wp:effectExtent l="0" t="0" r="0" b="9525"/>
                        <wp:docPr id="18" name="Picture 18"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19250" cy="276225"/>
                                </a:xfrm>
                                <a:prstGeom prst="rect">
                                  <a:avLst/>
                                </a:prstGeom>
                              </pic:spPr>
                            </pic:pic>
                          </a:graphicData>
                        </a:graphic>
                      </wp:inline>
                    </w:drawing>
                  </w:r>
                </w:p>
              </w:tc>
            </w:tr>
          </w:tbl>
          <w:p w14:paraId="3A2E65CC" w14:textId="77777777" w:rsidR="00181598" w:rsidRDefault="00181598">
            <w:pPr>
              <w:pStyle w:val="Figure"/>
            </w:pPr>
          </w:p>
        </w:tc>
      </w:tr>
      <w:tr w:rsidR="00181598" w14:paraId="6EAE0971" w14:textId="77777777" w:rsidTr="00181598">
        <w:tc>
          <w:tcPr>
            <w:tcW w:w="5000" w:type="pct"/>
            <w:tcBorders>
              <w:top w:val="nil"/>
              <w:left w:val="nil"/>
              <w:bottom w:val="nil"/>
              <w:right w:val="nil"/>
            </w:tcBorders>
            <w:hideMark/>
          </w:tcPr>
          <w:p w14:paraId="35252FF8" w14:textId="77777777" w:rsidR="00181598" w:rsidRDefault="00181598">
            <w:pPr>
              <w:pStyle w:val="Note"/>
            </w:pPr>
            <w:r>
              <w:rPr>
                <w:rStyle w:val="NoteLabel"/>
              </w:rPr>
              <w:t>a</w:t>
            </w:r>
            <w:r>
              <w:t xml:space="preserve"> Output is gross value</w:t>
            </w:r>
            <w:r>
              <w:noBreakHyphen/>
              <w:t xml:space="preserve">added. </w:t>
            </w:r>
            <w:r>
              <w:rPr>
                <w:rStyle w:val="NoteLabel"/>
              </w:rPr>
              <w:t>b</w:t>
            </w:r>
            <w:r>
              <w:t xml:space="preserve"> Combined index of labour and capital services. </w:t>
            </w:r>
            <w:r>
              <w:rPr>
                <w:rStyle w:val="NoteLabel"/>
              </w:rPr>
              <w:t>c</w:t>
            </w:r>
            <w:r>
              <w:t> Multi</w:t>
            </w:r>
            <w:r>
              <w:noBreakHyphen/>
              <w:t xml:space="preserve">factor productivity. </w:t>
            </w:r>
            <w:r>
              <w:rPr>
                <w:rStyle w:val="NoteLabel"/>
              </w:rPr>
              <w:t>d</w:t>
            </w:r>
            <w:r>
              <w:t xml:space="preserve"> Electricity, gas, water and waste services. </w:t>
            </w:r>
            <w:r>
              <w:rPr>
                <w:rStyle w:val="NoteLabel"/>
              </w:rPr>
              <w:t>e</w:t>
            </w:r>
            <w:r>
              <w:t xml:space="preserve"> Transport, postal and warehousing. </w:t>
            </w:r>
            <w:r>
              <w:rPr>
                <w:rStyle w:val="NoteLabel"/>
              </w:rPr>
              <w:t>f</w:t>
            </w:r>
            <w:r>
              <w:t xml:space="preserve"> Information, media and telecommunications. </w:t>
            </w:r>
            <w:r>
              <w:rPr>
                <w:rStyle w:val="NoteLabel"/>
              </w:rPr>
              <w:t>g</w:t>
            </w:r>
            <w:r>
              <w:t> All market sectors except Rental, hiring and real estate services; Professional, scientific and technical services; Administrative and support services.</w:t>
            </w:r>
          </w:p>
        </w:tc>
      </w:tr>
      <w:tr w:rsidR="00181598" w14:paraId="01418D5C" w14:textId="77777777" w:rsidTr="00181598">
        <w:tc>
          <w:tcPr>
            <w:tcW w:w="5000" w:type="pct"/>
            <w:tcBorders>
              <w:top w:val="nil"/>
              <w:left w:val="nil"/>
              <w:bottom w:val="nil"/>
              <w:right w:val="nil"/>
            </w:tcBorders>
            <w:hideMark/>
          </w:tcPr>
          <w:p w14:paraId="25AD37C7" w14:textId="77777777" w:rsidR="00181598" w:rsidRDefault="00181598">
            <w:pPr>
              <w:pStyle w:val="Source"/>
            </w:pPr>
            <w:r>
              <w:rPr>
                <w:i/>
              </w:rPr>
              <w:t>Source</w:t>
            </w:r>
            <w:r>
              <w:t>: ABS (</w:t>
            </w:r>
            <w:r>
              <w:rPr>
                <w:i/>
              </w:rPr>
              <w:t>Estimates of Industry Multifactor Productivity, 2018</w:t>
            </w:r>
            <w:r>
              <w:rPr>
                <w:i/>
              </w:rPr>
              <w:noBreakHyphen/>
              <w:t>19</w:t>
            </w:r>
            <w:r>
              <w:t>, Cat. No. 6260.0.55.002, tables 1–19).</w:t>
            </w:r>
          </w:p>
        </w:tc>
      </w:tr>
      <w:tr w:rsidR="00181598" w14:paraId="7884962E" w14:textId="77777777" w:rsidTr="00181598">
        <w:tc>
          <w:tcPr>
            <w:tcW w:w="5000" w:type="pct"/>
            <w:tcBorders>
              <w:top w:val="nil"/>
              <w:left w:val="nil"/>
              <w:bottom w:val="single" w:sz="6" w:space="0" w:color="78A22F" w:themeColor="accent1"/>
              <w:right w:val="nil"/>
            </w:tcBorders>
          </w:tcPr>
          <w:p w14:paraId="4AD8C183" w14:textId="77777777" w:rsidR="00181598" w:rsidRDefault="00181598">
            <w:pPr>
              <w:pStyle w:val="Figurespace"/>
            </w:pPr>
          </w:p>
        </w:tc>
      </w:tr>
      <w:tr w:rsidR="00181598" w14:paraId="5002D4CF" w14:textId="77777777" w:rsidTr="00181598">
        <w:tc>
          <w:tcPr>
            <w:tcW w:w="5000" w:type="pct"/>
            <w:tcBorders>
              <w:top w:val="single" w:sz="6" w:space="0" w:color="78A22F" w:themeColor="accent1"/>
              <w:left w:val="nil"/>
              <w:bottom w:val="nil"/>
              <w:right w:val="nil"/>
            </w:tcBorders>
            <w:hideMark/>
          </w:tcPr>
          <w:p w14:paraId="118254FB" w14:textId="77777777" w:rsidR="00181598" w:rsidRDefault="00181598">
            <w:pPr>
              <w:pStyle w:val="BoxSpaceBelow"/>
            </w:pPr>
          </w:p>
        </w:tc>
      </w:tr>
    </w:tbl>
    <w:p w14:paraId="17AAE8CF" w14:textId="77777777" w:rsidR="00181598" w:rsidRDefault="00A826AC" w:rsidP="00A826AC">
      <w:pPr>
        <w:pStyle w:val="Heading1"/>
      </w:pPr>
      <w:bookmarkStart w:id="9" w:name="_Toc56436171"/>
      <w:r>
        <w:lastRenderedPageBreak/>
        <w:t>C</w:t>
      </w:r>
      <w:r>
        <w:tab/>
      </w:r>
      <w:r w:rsidR="00181598">
        <w:t>Caveats, critiques and alternative explanations</w:t>
      </w:r>
      <w:bookmarkEnd w:id="9"/>
    </w:p>
    <w:p w14:paraId="12B21E5A" w14:textId="77777777" w:rsidR="00181598" w:rsidRDefault="00181598" w:rsidP="00181598">
      <w:pPr>
        <w:pStyle w:val="BodyText"/>
        <w:rPr>
          <w:szCs w:val="24"/>
        </w:rPr>
      </w:pPr>
      <w:r>
        <w:t xml:space="preserve">A number of commentators have cast doubt on, or downplayed, the role that microeconomic policy reform played in this economic turnaround, especially the high rate of multifactor productivity growth in the late 1990s. One such criticism is based on the observation that it is difficult, statistically, to identify any structural change in Australia’s annual productivity growth during the 1990s </w:t>
      </w:r>
      <w:r>
        <w:rPr>
          <w:szCs w:val="24"/>
        </w:rPr>
        <w:t>(Hancock 2005)</w:t>
      </w:r>
      <w:r>
        <w:t xml:space="preserve">. Others have pointed out that the measured productivity gains could be illusory by virtue of unmeasured increases in hours worked </w:t>
      </w:r>
      <w:r>
        <w:rPr>
          <w:szCs w:val="24"/>
        </w:rPr>
        <w:t>(Quiggin 1998, 2006)</w:t>
      </w:r>
      <w:r>
        <w:t xml:space="preserve">. It has also been noted </w:t>
      </w:r>
      <w:r w:rsidR="00CA2507">
        <w:t>that</w:t>
      </w:r>
      <w:r>
        <w:t xml:space="preserve"> </w:t>
      </w:r>
      <w:r>
        <w:rPr>
          <w:szCs w:val="24"/>
        </w:rPr>
        <w:t xml:space="preserve">certain reforms, especially of utilities, delivered only temporary productivity improvements (Quiggin 2001). Each of these points </w:t>
      </w:r>
      <w:r w:rsidR="00303432">
        <w:rPr>
          <w:szCs w:val="24"/>
        </w:rPr>
        <w:t>has</w:t>
      </w:r>
      <w:r>
        <w:rPr>
          <w:szCs w:val="24"/>
        </w:rPr>
        <w:t xml:space="preserve"> some </w:t>
      </w:r>
      <w:r w:rsidR="00303432">
        <w:rPr>
          <w:szCs w:val="24"/>
        </w:rPr>
        <w:t>validity</w:t>
      </w:r>
      <w:r>
        <w:rPr>
          <w:szCs w:val="24"/>
        </w:rPr>
        <w:t>. Nonetheless, as will be discussed below, none of them refute the view that microeconomic policy reform has played some role in raising Australia’s relative productivity growth over the past 30 years.</w:t>
      </w:r>
    </w:p>
    <w:p w14:paraId="56430B4E" w14:textId="77777777" w:rsidR="00181598" w:rsidRDefault="00181598" w:rsidP="00181598">
      <w:pPr>
        <w:pStyle w:val="BodyText"/>
      </w:pPr>
      <w:r>
        <w:rPr>
          <w:szCs w:val="24"/>
        </w:rPr>
        <w:t xml:space="preserve">It is true that, by itself, the MFP surge in the late 1990s does not, establish the causal effect of the  policy reforms noted above (Hancock 2005). However, there is additional domestic and international evidence pointing to the beneficial role that microeconomic policy reform, especially reforms liberalising international trade and NCP, has had on productivity. Domestically, following the productivity surge of the late 1990s, the Commission undertook a series of case studies in industries that were affected by microeconomic policy reform and found beneficial effects on productivity (PC 1999, p. XXIV). There is also international evidence about the role of microeconomic reform in raising productivity </w:t>
      </w:r>
      <w:r w:rsidR="000578DB">
        <w:rPr>
          <w:szCs w:val="24"/>
        </w:rPr>
        <w:t>that</w:t>
      </w:r>
      <w:r>
        <w:rPr>
          <w:szCs w:val="24"/>
        </w:rPr>
        <w:t xml:space="preserve"> suggest a causal connection. This evidence includes studies on</w:t>
      </w:r>
      <w:r>
        <w:t>:</w:t>
      </w:r>
    </w:p>
    <w:p w14:paraId="65159A68" w14:textId="77777777" w:rsidR="00181598" w:rsidRDefault="00181598" w:rsidP="00181598">
      <w:pPr>
        <w:pStyle w:val="ListBullet"/>
      </w:pPr>
      <w:r>
        <w:t xml:space="preserve">deregulation — reducing both labour and product market regulation is associated with faster MFP growth </w:t>
      </w:r>
      <w:r>
        <w:rPr>
          <w:szCs w:val="24"/>
        </w:rPr>
        <w:t>(Kent and Simon 2007, pp. 18–19)</w:t>
      </w:r>
      <w:r>
        <w:t xml:space="preserve"> </w:t>
      </w:r>
    </w:p>
    <w:p w14:paraId="08D17747" w14:textId="77777777" w:rsidR="00181598" w:rsidRDefault="00181598" w:rsidP="00181598">
      <w:pPr>
        <w:pStyle w:val="ListBullet"/>
      </w:pPr>
      <w:r>
        <w:t>trade openness — trade enhances productivity growth through three</w:t>
      </w:r>
      <w:r w:rsidRPr="00621D6F">
        <w:rPr>
          <w:rStyle w:val="FootnoteReference"/>
        </w:rPr>
        <w:footnoteReference w:id="3"/>
      </w:r>
      <w:r>
        <w:t xml:space="preserve"> main channels:</w:t>
      </w:r>
    </w:p>
    <w:p w14:paraId="66D99D0E" w14:textId="77777777" w:rsidR="00181598" w:rsidRDefault="00181598" w:rsidP="00181598">
      <w:pPr>
        <w:pStyle w:val="ListBullet2"/>
      </w:pPr>
      <w:r>
        <w:t xml:space="preserve">increased competition leads to resource allocation away from unproductive firms and towards productive ones </w:t>
      </w:r>
      <w:r>
        <w:rPr>
          <w:szCs w:val="24"/>
        </w:rPr>
        <w:t>(Melitz and Trefler 2012)</w:t>
      </w:r>
    </w:p>
    <w:p w14:paraId="456B201E" w14:textId="77777777" w:rsidR="00181598" w:rsidRDefault="00181598" w:rsidP="00181598">
      <w:pPr>
        <w:pStyle w:val="ListBullet2"/>
      </w:pPr>
      <w:r>
        <w:t xml:space="preserve">increased market size for exporting firms raises the returns on both developing and adopting new innovations </w:t>
      </w:r>
      <w:r>
        <w:rPr>
          <w:szCs w:val="24"/>
        </w:rPr>
        <w:t>(Acemoglu and Linn 2004)</w:t>
      </w:r>
    </w:p>
    <w:p w14:paraId="39BBE64E" w14:textId="77777777" w:rsidR="00181598" w:rsidRDefault="00181598" w:rsidP="00181598">
      <w:pPr>
        <w:pStyle w:val="ListBullet2"/>
      </w:pPr>
      <w:r>
        <w:t xml:space="preserve">increased economic integration creates more opportunities for knowledge flows, leading to faster diffusion of innovation </w:t>
      </w:r>
      <w:r>
        <w:rPr>
          <w:szCs w:val="24"/>
        </w:rPr>
        <w:t>(Crespi, Criscuolo and Haskel 2008)</w:t>
      </w:r>
      <w:r>
        <w:t>.</w:t>
      </w:r>
    </w:p>
    <w:p w14:paraId="787F1C25" w14:textId="77777777" w:rsidR="00181598" w:rsidRDefault="00181598" w:rsidP="00181598">
      <w:pPr>
        <w:pStyle w:val="ListBullet"/>
      </w:pPr>
      <w:r>
        <w:lastRenderedPageBreak/>
        <w:t>corporatisation — moving government businesses from a broad public welfare mandate to a for</w:t>
      </w:r>
      <w:r w:rsidR="007C74D1">
        <w:noBreakHyphen/>
      </w:r>
      <w:r>
        <w:t>profit firm objective leads to improvements in productivity</w:t>
      </w:r>
      <w:r w:rsidRPr="00621D6F">
        <w:rPr>
          <w:rStyle w:val="FootnoteReference"/>
        </w:rPr>
        <w:footnoteReference w:id="4"/>
      </w:r>
      <w:r>
        <w:t xml:space="preserve"> (Aivazian, Ge and Qiu 2005; Megginson and Netter 2001). </w:t>
      </w:r>
    </w:p>
    <w:p w14:paraId="3F67A12A" w14:textId="77777777" w:rsidR="00181598" w:rsidRDefault="00181598" w:rsidP="00181598">
      <w:pPr>
        <w:pStyle w:val="BodyText"/>
      </w:pPr>
      <w:r>
        <w:t>For some industries, the productivity gains of the 1990s appear to have been lost</w:t>
      </w:r>
      <w:r w:rsidR="00CB7F75">
        <w:t>,</w:t>
      </w:r>
      <w:r w:rsidR="003A7187">
        <w:t xml:space="preserve"> with productivity falling below their 1990 levels</w:t>
      </w:r>
      <w:r>
        <w:t xml:space="preserve">. As noted above, the electricity, gas, water and waste services industry had strong initial productivity gains but then lost these by about 2010. And some features of the utilities sector reforms, especially in electricity </w:t>
      </w:r>
      <w:r>
        <w:rPr>
          <w:szCs w:val="24"/>
        </w:rPr>
        <w:t>(Quiggin 2001)</w:t>
      </w:r>
      <w:r>
        <w:t>, were criticised even before these productivity gains were lost. However, this apparent failure in the utilities industry does not completely discount the role microeconomic reform played in Australia’s post</w:t>
      </w:r>
      <w:r>
        <w:noBreakHyphen/>
        <w:t xml:space="preserve">1990 economic revival. </w:t>
      </w:r>
    </w:p>
    <w:p w14:paraId="059EAD7D" w14:textId="77777777" w:rsidR="00181598" w:rsidRPr="002A6632" w:rsidRDefault="00181598" w:rsidP="00181598">
      <w:pPr>
        <w:pStyle w:val="BodyText"/>
        <w:rPr>
          <w:spacing w:val="-2"/>
        </w:rPr>
      </w:pPr>
      <w:r w:rsidRPr="002A6632">
        <w:rPr>
          <w:spacing w:val="-2"/>
        </w:rPr>
        <w:t>Firstly, similar reversals were not observed for other industries affected by microeconomic reform</w:t>
      </w:r>
      <w:r w:rsidR="007827F3" w:rsidRPr="002A6632">
        <w:rPr>
          <w:spacing w:val="-2"/>
        </w:rPr>
        <w:t xml:space="preserve">, indicating </w:t>
      </w:r>
      <w:r w:rsidR="00F976F6" w:rsidRPr="002A6632">
        <w:rPr>
          <w:spacing w:val="-2"/>
        </w:rPr>
        <w:t xml:space="preserve">that the failures were likely specific to the </w:t>
      </w:r>
      <w:r w:rsidR="00136B6C" w:rsidRPr="002A6632">
        <w:rPr>
          <w:spacing w:val="-2"/>
        </w:rPr>
        <w:t>problems of</w:t>
      </w:r>
      <w:r w:rsidR="00F976F6" w:rsidRPr="002A6632">
        <w:rPr>
          <w:spacing w:val="-2"/>
        </w:rPr>
        <w:t xml:space="preserve"> </w:t>
      </w:r>
      <w:r w:rsidR="00136B6C" w:rsidRPr="002A6632">
        <w:rPr>
          <w:spacing w:val="-2"/>
        </w:rPr>
        <w:t>implementation for this sector</w:t>
      </w:r>
      <w:r w:rsidRPr="002A6632">
        <w:rPr>
          <w:spacing w:val="-2"/>
        </w:rPr>
        <w:t xml:space="preserve">. Secondly, although Australia’s recent productivity performance has not matched the gains of the 1990s, we have performed at least as well as most other OECD countries </w:t>
      </w:r>
      <w:r w:rsidR="00E547B8" w:rsidRPr="002A6632">
        <w:rPr>
          <w:spacing w:val="-2"/>
          <w:szCs w:val="24"/>
        </w:rPr>
        <w:t>(PC 2020)</w:t>
      </w:r>
      <w:r w:rsidRPr="002A6632">
        <w:rPr>
          <w:spacing w:val="-2"/>
        </w:rPr>
        <w:t>. Thirdly, it is an open question as to what caused input growth (especially capital) to outpace output growth in the electricity industry. While the Commission</w:t>
      </w:r>
      <w:r w:rsidR="006C74B4" w:rsidRPr="002A6632">
        <w:rPr>
          <w:spacing w:val="-2"/>
        </w:rPr>
        <w:t xml:space="preserve"> (2013)</w:t>
      </w:r>
      <w:r w:rsidRPr="002A6632">
        <w:rPr>
          <w:spacing w:val="-2"/>
        </w:rPr>
        <w:t xml:space="preserve"> has previously noted that the high levels of capital expenditure by some network operators was ‘not easily justified’, and may indicate flaws in ‘incentive regulation’ (which sits at the heart of the reforms in this sector), other factors were also blamed. For example, state ownership of network distributors</w:t>
      </w:r>
      <w:r w:rsidR="00AF105E" w:rsidRPr="002A6632">
        <w:rPr>
          <w:spacing w:val="-2"/>
        </w:rPr>
        <w:t>,</w:t>
      </w:r>
      <w:r w:rsidRPr="002A6632">
        <w:rPr>
          <w:spacing w:val="-2"/>
        </w:rPr>
        <w:t xml:space="preserve"> overly rigid reliability standards (both hangovers from the old regulatory regime) were also implicated in the increased cost of electricity</w:t>
      </w:r>
      <w:r w:rsidR="001D5540" w:rsidRPr="002A6632">
        <w:rPr>
          <w:spacing w:val="-2"/>
        </w:rPr>
        <w:t xml:space="preserve"> </w:t>
      </w:r>
      <w:r w:rsidR="003A58E8" w:rsidRPr="002A6632">
        <w:rPr>
          <w:spacing w:val="-2"/>
          <w:szCs w:val="24"/>
        </w:rPr>
        <w:t>(ACCC 2018)</w:t>
      </w:r>
      <w:r w:rsidRPr="002A6632">
        <w:rPr>
          <w:spacing w:val="-2"/>
        </w:rPr>
        <w:t xml:space="preserve">.  </w:t>
      </w:r>
    </w:p>
    <w:p w14:paraId="33725719" w14:textId="77777777" w:rsidR="00E46269" w:rsidRDefault="00E46269">
      <w:pPr>
        <w:rPr>
          <w:rFonts w:ascii="Times New Roman" w:eastAsia="Times New Roman" w:hAnsi="Times New Roman" w:cs="Times New Roman"/>
          <w:sz w:val="24"/>
          <w:szCs w:val="20"/>
          <w:lang w:eastAsia="en-AU"/>
        </w:rPr>
      </w:pPr>
      <w:r>
        <w:br w:type="page"/>
      </w:r>
    </w:p>
    <w:p w14:paraId="448426E2" w14:textId="77777777" w:rsidR="00A33DFF" w:rsidRDefault="00A826AC" w:rsidP="004335E2">
      <w:pPr>
        <w:pStyle w:val="Heading1"/>
        <w:spacing w:before="0"/>
      </w:pPr>
      <w:bookmarkStart w:id="10" w:name="_Toc56436172"/>
      <w:r>
        <w:lastRenderedPageBreak/>
        <w:t>D</w:t>
      </w:r>
      <w:r w:rsidR="004335E2">
        <w:tab/>
        <w:t>Motivation</w:t>
      </w:r>
      <w:r w:rsidR="001C2C78">
        <w:t>s</w:t>
      </w:r>
      <w:r w:rsidR="004335E2">
        <w:t xml:space="preserve"> for protectionism</w:t>
      </w:r>
      <w:bookmarkEnd w:id="10"/>
    </w:p>
    <w:p w14:paraId="1CD48CE9" w14:textId="77777777" w:rsidR="009D3440" w:rsidRDefault="009D3440" w:rsidP="00333D15">
      <w:pPr>
        <w:pStyle w:val="Heading2"/>
      </w:pPr>
      <w:bookmarkStart w:id="11" w:name="begin"/>
      <w:bookmarkStart w:id="12" w:name="_Toc56436173"/>
      <w:bookmarkEnd w:id="11"/>
      <w:r>
        <w:t>Summary</w:t>
      </w:r>
      <w:bookmarkEnd w:id="12"/>
    </w:p>
    <w:p w14:paraId="212E9433" w14:textId="77777777" w:rsidR="009D3440" w:rsidRPr="002A6632" w:rsidRDefault="009D3440" w:rsidP="009D3440">
      <w:pPr>
        <w:pStyle w:val="BodyText"/>
        <w:rPr>
          <w:spacing w:val="-2"/>
        </w:rPr>
      </w:pPr>
      <w:r w:rsidRPr="002A6632">
        <w:rPr>
          <w:spacing w:val="-2"/>
        </w:rPr>
        <w:t xml:space="preserve">Australian protectionism </w:t>
      </w:r>
      <w:r w:rsidR="006C2912" w:rsidRPr="002A6632">
        <w:rPr>
          <w:spacing w:val="-2"/>
        </w:rPr>
        <w:t>was thought to encourage</w:t>
      </w:r>
      <w:r w:rsidRPr="002A6632">
        <w:rPr>
          <w:spacing w:val="-2"/>
        </w:rPr>
        <w:t xml:space="preserve"> industrialisation </w:t>
      </w:r>
      <w:r w:rsidR="006C2912" w:rsidRPr="002A6632">
        <w:rPr>
          <w:spacing w:val="-2"/>
        </w:rPr>
        <w:t>which</w:t>
      </w:r>
      <w:r w:rsidRPr="002A6632">
        <w:rPr>
          <w:spacing w:val="-2"/>
        </w:rPr>
        <w:t xml:space="preserve"> in turn</w:t>
      </w:r>
      <w:r w:rsidR="006C2912" w:rsidRPr="002A6632">
        <w:rPr>
          <w:spacing w:val="-2"/>
        </w:rPr>
        <w:t xml:space="preserve"> was</w:t>
      </w:r>
      <w:r w:rsidRPr="002A6632">
        <w:rPr>
          <w:spacing w:val="-2"/>
        </w:rPr>
        <w:t xml:space="preserve"> thought to drive numerous beneficial </w:t>
      </w:r>
      <w:r w:rsidR="006C2912" w:rsidRPr="002A6632">
        <w:rPr>
          <w:spacing w:val="-2"/>
        </w:rPr>
        <w:t>social and economic</w:t>
      </w:r>
      <w:r w:rsidRPr="002A6632">
        <w:rPr>
          <w:spacing w:val="-2"/>
        </w:rPr>
        <w:t xml:space="preserve"> outcomes. Chief among these were:</w:t>
      </w:r>
    </w:p>
    <w:p w14:paraId="12F81BEE" w14:textId="77777777" w:rsidR="009D3440" w:rsidRPr="002A6632" w:rsidRDefault="009D3440" w:rsidP="009D3440">
      <w:pPr>
        <w:pStyle w:val="ListBullet"/>
        <w:rPr>
          <w:spacing w:val="-2"/>
        </w:rPr>
      </w:pPr>
      <w:r w:rsidRPr="002A6632">
        <w:rPr>
          <w:spacing w:val="-2"/>
        </w:rPr>
        <w:t>creating a highly productive sector that would otherwise not exist (‘infant industry’ arguments)</w:t>
      </w:r>
    </w:p>
    <w:p w14:paraId="5354442A" w14:textId="77777777" w:rsidR="009D3440" w:rsidRDefault="009D3440" w:rsidP="009D3440">
      <w:pPr>
        <w:pStyle w:val="ListBullet"/>
      </w:pPr>
      <w:r>
        <w:t xml:space="preserve">redistribute incomes away from </w:t>
      </w:r>
      <w:r w:rsidR="001A31A3">
        <w:t>landowners</w:t>
      </w:r>
      <w:r>
        <w:t xml:space="preserve"> towards workers through higher real wages</w:t>
      </w:r>
    </w:p>
    <w:p w14:paraId="62C7DCC4" w14:textId="77777777" w:rsidR="009D3440" w:rsidRDefault="009D3440" w:rsidP="009D3440">
      <w:pPr>
        <w:pStyle w:val="ListBullet"/>
      </w:pPr>
      <w:r>
        <w:t>attracting</w:t>
      </w:r>
      <w:r w:rsidR="001C2C78">
        <w:t xml:space="preserve"> migrants and</w:t>
      </w:r>
      <w:r>
        <w:t xml:space="preserve"> foreign capital</w:t>
      </w:r>
    </w:p>
    <w:p w14:paraId="286D3F6B" w14:textId="77777777" w:rsidR="009D3440" w:rsidRDefault="009D3440" w:rsidP="009D3440">
      <w:pPr>
        <w:pStyle w:val="ListBullet"/>
      </w:pPr>
      <w:r>
        <w:t xml:space="preserve">diversifying the economy away from </w:t>
      </w:r>
      <w:r w:rsidR="007B2547">
        <w:t>its reliance on primary product</w:t>
      </w:r>
      <w:r>
        <w:t xml:space="preserve"> exports (whose prices were more volatile than manufactured goods)</w:t>
      </w:r>
      <w:r w:rsidR="001C2C78">
        <w:t xml:space="preserve"> and limit dependence on foreign imports that could be cut off in times of war</w:t>
      </w:r>
    </w:p>
    <w:p w14:paraId="0226BB26" w14:textId="77777777" w:rsidR="009D3440" w:rsidRDefault="009D3440" w:rsidP="009D3440">
      <w:pPr>
        <w:pStyle w:val="ListBullet"/>
      </w:pPr>
      <w:r>
        <w:t xml:space="preserve">reducing the outflows of foreign currency exchange reserves, </w:t>
      </w:r>
      <w:r w:rsidR="00D91375">
        <w:t>which would help</w:t>
      </w:r>
      <w:r>
        <w:t xml:space="preserve"> maintain the balance of payments</w:t>
      </w:r>
      <w:r w:rsidR="006C2912">
        <w:t xml:space="preserve"> (</w:t>
      </w:r>
      <w:r w:rsidR="00D91375">
        <w:t xml:space="preserve">a </w:t>
      </w:r>
      <w:r w:rsidR="006C2912">
        <w:t>priority under a fixed exchange rate)</w:t>
      </w:r>
      <w:r>
        <w:t>.</w:t>
      </w:r>
    </w:p>
    <w:p w14:paraId="22E65B07" w14:textId="77777777" w:rsidR="001C2C78" w:rsidRDefault="001C2C78" w:rsidP="009D3440">
      <w:pPr>
        <w:pStyle w:val="BodyText"/>
      </w:pPr>
      <w:r>
        <w:t>In addition to these, there were also a host of special interests that benefited from protectionism, though that will not be the focus of this appendix.</w:t>
      </w:r>
    </w:p>
    <w:p w14:paraId="7A3ED430" w14:textId="77777777" w:rsidR="009D3440" w:rsidRPr="009D3440" w:rsidRDefault="009D3440" w:rsidP="009D3440">
      <w:pPr>
        <w:pStyle w:val="BodyText"/>
      </w:pPr>
      <w:r>
        <w:t xml:space="preserve">In view of the suite of policy options available to governments now, none of </w:t>
      </w:r>
      <w:r w:rsidR="001C2C78">
        <w:t>the above</w:t>
      </w:r>
      <w:r>
        <w:t xml:space="preserve"> arguments establishes a first</w:t>
      </w:r>
      <w:r w:rsidR="00C4152A">
        <w:noBreakHyphen/>
      </w:r>
      <w:r>
        <w:t>best</w:t>
      </w:r>
      <w:r w:rsidR="00C4152A">
        <w:noBreakHyphen/>
      </w:r>
      <w:r>
        <w:t>case for tariff protection. However, in view of the limited scope and size of government when protectionism was initially implemented, there was some justification for tariff protection. In particular, the redistributive and balance of payments concerns would have been difficult to solve given the policy constraints of the time</w:t>
      </w:r>
      <w:r w:rsidR="00EB03EB">
        <w:t xml:space="preserve"> (though in the former case, the effects of protectionism are difficult to </w:t>
      </w:r>
      <w:r w:rsidR="007B2547">
        <w:t>determine</w:t>
      </w:r>
      <w:r w:rsidR="00EB03EB">
        <w:t>)</w:t>
      </w:r>
      <w:r>
        <w:t xml:space="preserve">. </w:t>
      </w:r>
    </w:p>
    <w:p w14:paraId="575F3291" w14:textId="77777777" w:rsidR="003D6F0C" w:rsidRDefault="003D6F0C" w:rsidP="00333D15">
      <w:pPr>
        <w:pStyle w:val="Heading2"/>
      </w:pPr>
      <w:bookmarkStart w:id="13" w:name="_Toc56436174"/>
      <w:r>
        <w:t>An overview of Australian protectionism</w:t>
      </w:r>
      <w:bookmarkEnd w:id="13"/>
    </w:p>
    <w:p w14:paraId="7A23CBB3" w14:textId="77777777" w:rsidR="00F54724" w:rsidRPr="002A6632" w:rsidRDefault="003D6F0C">
      <w:pPr>
        <w:pStyle w:val="BodyText"/>
        <w:rPr>
          <w:spacing w:val="2"/>
        </w:rPr>
      </w:pPr>
      <w:r w:rsidRPr="002A6632">
        <w:rPr>
          <w:spacing w:val="2"/>
        </w:rPr>
        <w:t>Australia’s history of protectionism is long and complex, so this discussion can only capture some of the highlights. It is useful to discuss this history in four stages: pre</w:t>
      </w:r>
      <w:r w:rsidRPr="002A6632">
        <w:rPr>
          <w:spacing w:val="2"/>
        </w:rPr>
        <w:noBreakHyphen/>
        <w:t xml:space="preserve">Federation, early Federation to </w:t>
      </w:r>
      <w:r w:rsidR="00CD5787" w:rsidRPr="002A6632">
        <w:rPr>
          <w:spacing w:val="2"/>
        </w:rPr>
        <w:t>World War One (</w:t>
      </w:r>
      <w:r w:rsidRPr="002A6632">
        <w:rPr>
          <w:spacing w:val="2"/>
        </w:rPr>
        <w:t>WWI</w:t>
      </w:r>
      <w:r w:rsidR="00CD5787" w:rsidRPr="002A6632">
        <w:rPr>
          <w:spacing w:val="2"/>
        </w:rPr>
        <w:t>)</w:t>
      </w:r>
      <w:r w:rsidRPr="002A6632">
        <w:rPr>
          <w:spacing w:val="2"/>
        </w:rPr>
        <w:t>, the interwar period, the post</w:t>
      </w:r>
      <w:r w:rsidRPr="002A6632">
        <w:rPr>
          <w:spacing w:val="2"/>
        </w:rPr>
        <w:noBreakHyphen/>
      </w:r>
      <w:r w:rsidR="00CD5787" w:rsidRPr="002A6632">
        <w:rPr>
          <w:spacing w:val="2"/>
        </w:rPr>
        <w:t>World War Two (</w:t>
      </w:r>
      <w:r w:rsidRPr="002A6632">
        <w:rPr>
          <w:spacing w:val="2"/>
        </w:rPr>
        <w:t>WWII</w:t>
      </w:r>
      <w:r w:rsidR="00CD5787" w:rsidRPr="002A6632">
        <w:rPr>
          <w:spacing w:val="2"/>
        </w:rPr>
        <w:t>)</w:t>
      </w:r>
      <w:r w:rsidRPr="002A6632">
        <w:rPr>
          <w:spacing w:val="2"/>
        </w:rPr>
        <w:t xml:space="preserve"> period and the current era beginning in the 1980s</w:t>
      </w:r>
      <w:r w:rsidR="00333D15" w:rsidRPr="002A6632">
        <w:rPr>
          <w:spacing w:val="2"/>
        </w:rPr>
        <w:t xml:space="preserve"> (the latter of these already discussed in appendix A)</w:t>
      </w:r>
      <w:r w:rsidRPr="002A6632">
        <w:rPr>
          <w:spacing w:val="2"/>
        </w:rPr>
        <w:t xml:space="preserve">. </w:t>
      </w:r>
    </w:p>
    <w:p w14:paraId="4A4A88DD" w14:textId="77777777" w:rsidR="003D6F0C" w:rsidRDefault="00F54724">
      <w:pPr>
        <w:pStyle w:val="BodyText"/>
      </w:pPr>
      <w:r>
        <w:t xml:space="preserve">It is </w:t>
      </w:r>
      <w:r w:rsidR="00EF1355">
        <w:t>not possible</w:t>
      </w:r>
      <w:r>
        <w:t xml:space="preserve"> to </w:t>
      </w:r>
      <w:r w:rsidR="00EF1355">
        <w:t>accurately quantify</w:t>
      </w:r>
      <w:r>
        <w:t xml:space="preserve"> the level </w:t>
      </w:r>
      <w:r w:rsidR="00787BC0">
        <w:t>of</w:t>
      </w:r>
      <w:r>
        <w:t xml:space="preserve"> protectionism throughout Australia’s history. The preferred method of doing so would be to use effective rates of assistance </w:t>
      </w:r>
      <w:r w:rsidR="005364B8">
        <w:t>(ERA)</w:t>
      </w:r>
      <w:r>
        <w:t xml:space="preserve"> but </w:t>
      </w:r>
      <w:r w:rsidR="005364B8">
        <w:t>Commission estimates of ERA only go back</w:t>
      </w:r>
      <w:r>
        <w:t xml:space="preserve"> to the </w:t>
      </w:r>
      <w:r w:rsidR="005364B8">
        <w:t xml:space="preserve">early 1970s </w:t>
      </w:r>
      <w:r w:rsidR="005364B8" w:rsidRPr="005364B8">
        <w:rPr>
          <w:szCs w:val="24"/>
        </w:rPr>
        <w:t>(PC 2019)</w:t>
      </w:r>
      <w:r>
        <w:t xml:space="preserve">. That said, </w:t>
      </w:r>
      <w:r w:rsidR="00480B13">
        <w:lastRenderedPageBreak/>
        <w:t>there is evidence that Australia was relatively open in the Nineteenth Century</w:t>
      </w:r>
      <w:r w:rsidR="00480B13" w:rsidRPr="00621D6F">
        <w:rPr>
          <w:rStyle w:val="FootnoteReference"/>
        </w:rPr>
        <w:footnoteReference w:id="5"/>
      </w:r>
      <w:r>
        <w:t xml:space="preserve"> with a small increase in protectionism from Federation to WWI</w:t>
      </w:r>
      <w:r w:rsidR="007478E1">
        <w:t xml:space="preserve"> (figure D.1)</w:t>
      </w:r>
      <w:r>
        <w:t>. This was followed by large increases in tariff protectionism in the interwar period and then post</w:t>
      </w:r>
      <w:r>
        <w:noBreakHyphen/>
        <w:t>WWII</w:t>
      </w:r>
      <w:r w:rsidR="00A50B42">
        <w:t>,</w:t>
      </w:r>
      <w:r>
        <w:t xml:space="preserve"> an initial transition away from tariffs and towards import licensing </w:t>
      </w:r>
      <w:r w:rsidR="000F0D23">
        <w:t>that was later reversed</w:t>
      </w:r>
      <w:r>
        <w:t xml:space="preserve">. Finally, Australia has been reducing its barriers to foreign trade since the 1980s and now has very low levels of effective assistance. </w:t>
      </w:r>
    </w:p>
    <w:p w14:paraId="2871636C" w14:textId="77777777" w:rsidR="003D6F0C" w:rsidRDefault="003D6F0C" w:rsidP="003D6F0C">
      <w:pPr>
        <w:pStyle w:val="BodyText"/>
      </w:pPr>
      <w:r>
        <w:t>Pre</w:t>
      </w:r>
      <w:r>
        <w:noBreakHyphen/>
        <w:t>Federation, tariff levels were typically low and mainly concerned with revenue collection rather than protecting local industry. The exception to this was Victoria which set higher average tariffs with the aim of protecting and nurturing the local manufacturing industry</w:t>
      </w:r>
      <w:r w:rsidR="00291B24">
        <w:t xml:space="preserve"> </w:t>
      </w:r>
      <w:r w:rsidR="00291B24" w:rsidRPr="00291B24">
        <w:rPr>
          <w:szCs w:val="24"/>
        </w:rPr>
        <w:t>(Lloyd 2017)</w:t>
      </w:r>
      <w:r>
        <w:t>. Due in part to compromises made at Federation, the early Australian Government implemented tariffs that were closer to those prevailing in Victoria than in the relatively free-trade orientated New South Wales</w:t>
      </w:r>
      <w:r w:rsidR="001F768F">
        <w:t>,</w:t>
      </w:r>
      <w:r>
        <w:t xml:space="preserve"> with the result that country</w:t>
      </w:r>
      <w:r>
        <w:noBreakHyphen/>
        <w:t>wide tariffs increased</w:t>
      </w:r>
      <w:r w:rsidR="000F0D23">
        <w:t xml:space="preserve"> </w:t>
      </w:r>
      <w:r w:rsidR="000F0D23" w:rsidRPr="000F0D23">
        <w:rPr>
          <w:szCs w:val="24"/>
        </w:rPr>
        <w:t>(Pincus 2009)</w:t>
      </w:r>
      <w:r>
        <w:t xml:space="preserve">. </w:t>
      </w:r>
    </w:p>
    <w:p w14:paraId="20FFF79C" w14:textId="77777777" w:rsidR="003D6F0C" w:rsidRDefault="003D6F0C" w:rsidP="003D6F0C">
      <w:pPr>
        <w:pStyle w:val="BodyText"/>
      </w:pPr>
      <w:r>
        <w:t>However, the great acceleration of tariff protection occurred during the interwar period. Of the many consequences of WWI, two augmented the case to protect infant industries, during the interwar period. First,</w:t>
      </w:r>
      <w:r w:rsidRPr="00D039B3">
        <w:t xml:space="preserve"> </w:t>
      </w:r>
      <w:r>
        <w:t>despite an exodus of 64</w:t>
      </w:r>
      <w:r w:rsidR="001E51CB">
        <w:t> </w:t>
      </w:r>
      <w:r>
        <w:t>700 workers, the war provided the manufacturing sector with a significant boost and the sector faced rapid contraction if the reinstatement of pre-war competition from overseas occurred</w:t>
      </w:r>
      <w:r w:rsidR="007D6FA7">
        <w:t xml:space="preserve"> </w:t>
      </w:r>
      <w:r w:rsidR="007D6FA7" w:rsidRPr="007D6FA7">
        <w:rPr>
          <w:szCs w:val="24"/>
        </w:rPr>
        <w:t>(Ville and Withers 2014</w:t>
      </w:r>
      <w:r w:rsidR="00E66587">
        <w:rPr>
          <w:szCs w:val="24"/>
        </w:rPr>
        <w:t>, pp. 339</w:t>
      </w:r>
      <w:r w:rsidR="007D6FA7" w:rsidRPr="007D6FA7">
        <w:rPr>
          <w:szCs w:val="24"/>
        </w:rPr>
        <w:t>)</w:t>
      </w:r>
      <w:r w:rsidR="004D0DE3">
        <w:t>. S</w:t>
      </w:r>
      <w:r>
        <w:t xml:space="preserve">econd, </w:t>
      </w:r>
      <w:r w:rsidR="00B56FFE">
        <w:t>some</w:t>
      </w:r>
      <w:r w:rsidR="00011F01">
        <w:t xml:space="preserve"> of these manufacturing industries included steel manufacturers and motor-body building, and therefore </w:t>
      </w:r>
      <w:r w:rsidR="00AB2EAF">
        <w:t>protecting manufacturing industries was linked to national defence</w:t>
      </w:r>
      <w:r>
        <w:t xml:space="preserve">. In response, the Australian government significantly increased the number and intensity of tariffs after the war. </w:t>
      </w:r>
    </w:p>
    <w:p w14:paraId="16CAD931" w14:textId="77777777" w:rsidR="003D6F0C" w:rsidRPr="002A6632" w:rsidRDefault="003D6F0C" w:rsidP="003D6F0C">
      <w:pPr>
        <w:pStyle w:val="BodyText"/>
        <w:rPr>
          <w:spacing w:val="-2"/>
        </w:rPr>
      </w:pPr>
      <w:r w:rsidRPr="002A6632">
        <w:rPr>
          <w:spacing w:val="-2"/>
        </w:rPr>
        <w:t>In 1921 the Green</w:t>
      </w:r>
      <w:r w:rsidR="001C0BA9" w:rsidRPr="002A6632">
        <w:rPr>
          <w:spacing w:val="-2"/>
        </w:rPr>
        <w:t>e</w:t>
      </w:r>
      <w:r w:rsidRPr="002A6632">
        <w:rPr>
          <w:spacing w:val="-2"/>
        </w:rPr>
        <w:t xml:space="preserve"> Tariff was introduced, in part to protect infant industries after the war. Average amounts of duties payable doubled from the Lyne tariff (1908) and the range of dutiable imports increased significantly. At the same time the Tariff Board was established, acting as a conduit through which industries and special interest groups could lobby their case to increase tariffs. Out of 180 cases that were brought before the Tariff Board between 1923 and 1930, Hall </w:t>
      </w:r>
      <w:r w:rsidR="00485544" w:rsidRPr="002A6632">
        <w:rPr>
          <w:spacing w:val="-2"/>
        </w:rPr>
        <w:t>(1958)</w:t>
      </w:r>
      <w:r w:rsidR="00F0205A" w:rsidRPr="002A6632">
        <w:rPr>
          <w:spacing w:val="-2"/>
        </w:rPr>
        <w:t xml:space="preserve"> </w:t>
      </w:r>
      <w:r w:rsidRPr="002A6632">
        <w:rPr>
          <w:spacing w:val="-2"/>
        </w:rPr>
        <w:t>identified that one hundred of these resulted in a recommendation of an increase, 61 to keep the tariff unchanged and only 19 to reduce it</w:t>
      </w:r>
      <w:r w:rsidR="004B03E6" w:rsidRPr="002A6632">
        <w:rPr>
          <w:spacing w:val="-2"/>
        </w:rPr>
        <w:t xml:space="preserve"> </w:t>
      </w:r>
      <w:r w:rsidR="004B03E6" w:rsidRPr="002A6632">
        <w:rPr>
          <w:spacing w:val="-2"/>
          <w:szCs w:val="24"/>
        </w:rPr>
        <w:t>(Wilson 2014)</w:t>
      </w:r>
      <w:r w:rsidRPr="002A6632">
        <w:rPr>
          <w:spacing w:val="-2"/>
        </w:rPr>
        <w:t xml:space="preserve">. </w:t>
      </w:r>
    </w:p>
    <w:p w14:paraId="7EFAE525" w14:textId="77777777" w:rsidR="004B03E6" w:rsidRDefault="004B03E6" w:rsidP="003D6F0C">
      <w:pPr>
        <w:pStyle w:val="BodyText"/>
      </w:pPr>
      <w:r>
        <w:t>During the Great Depression, Australia, along with most advanced economies, greatly increased its tariff protection (figure </w:t>
      </w:r>
      <w:r w:rsidR="00A826AC">
        <w:t>D</w:t>
      </w:r>
      <w:r w:rsidR="00497097">
        <w:t>.1</w:t>
      </w:r>
      <w:r>
        <w:t>) with the stated goal of boosting wages and employment in the manufacturing sector</w:t>
      </w:r>
      <w:r w:rsidR="00A25DB9">
        <w:t xml:space="preserve"> </w:t>
      </w:r>
      <w:r w:rsidR="00A25DB9" w:rsidRPr="00A25DB9">
        <w:rPr>
          <w:szCs w:val="24"/>
        </w:rPr>
        <w:t>(Wilson 2014)</w:t>
      </w:r>
      <w:r>
        <w:t>. While today most economists would argue for subsidies over tariffs to reduce the distortionary effects on domestic consumption</w:t>
      </w:r>
      <w:r w:rsidR="00CB1B8C">
        <w:t xml:space="preserve"> </w:t>
      </w:r>
      <w:r w:rsidR="00CB1B8C" w:rsidRPr="00CB1B8C">
        <w:rPr>
          <w:szCs w:val="24"/>
        </w:rPr>
        <w:t>(Corden 1996)</w:t>
      </w:r>
      <w:r>
        <w:t>, at the time the government preferred to raise tariffs. This is likely because the former resulted in an increase in government revenue while the latter resulted in an increase in government debt.</w:t>
      </w:r>
      <w:r w:rsidRPr="00621D6F">
        <w:rPr>
          <w:rStyle w:val="FootnoteReference"/>
        </w:rPr>
        <w:footnoteReference w:id="6"/>
      </w:r>
    </w:p>
    <w:p w14:paraId="7A35AD0E" w14:textId="77777777" w:rsidR="00A25DB9" w:rsidRDefault="00A25DB9" w:rsidP="00E84E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25DB9" w14:paraId="2CE1F27C" w14:textId="77777777" w:rsidTr="00E84EE2">
        <w:trPr>
          <w:tblHeader/>
        </w:trPr>
        <w:tc>
          <w:tcPr>
            <w:tcW w:w="5000" w:type="pct"/>
            <w:tcBorders>
              <w:top w:val="single" w:sz="6" w:space="0" w:color="78A22F"/>
              <w:left w:val="nil"/>
              <w:bottom w:val="nil"/>
              <w:right w:val="nil"/>
            </w:tcBorders>
            <w:shd w:val="clear" w:color="auto" w:fill="auto"/>
          </w:tcPr>
          <w:p w14:paraId="783CF296" w14:textId="77777777" w:rsidR="00A25DB9" w:rsidRPr="002A6632" w:rsidRDefault="00A25DB9" w:rsidP="00E84EE2">
            <w:pPr>
              <w:pStyle w:val="FigureTitle"/>
              <w:rPr>
                <w:sz w:val="24"/>
                <w:szCs w:val="24"/>
              </w:rPr>
            </w:pPr>
            <w:r w:rsidRPr="002A6632">
              <w:rPr>
                <w:b w:val="0"/>
                <w:sz w:val="24"/>
                <w:szCs w:val="24"/>
              </w:rPr>
              <w:t xml:space="preserve">Figure </w:t>
            </w:r>
            <w:r w:rsidR="00A826AC" w:rsidRPr="002A6632">
              <w:rPr>
                <w:b w:val="0"/>
                <w:sz w:val="24"/>
                <w:szCs w:val="24"/>
              </w:rPr>
              <w:t>D</w:t>
            </w:r>
            <w:r w:rsidR="00497097" w:rsidRPr="002A6632">
              <w:rPr>
                <w:b w:val="0"/>
                <w:sz w:val="24"/>
                <w:szCs w:val="24"/>
              </w:rPr>
              <w:t>.1</w:t>
            </w:r>
            <w:r w:rsidRPr="002A6632">
              <w:rPr>
                <w:sz w:val="24"/>
                <w:szCs w:val="24"/>
              </w:rPr>
              <w:tab/>
            </w:r>
            <w:r w:rsidR="00497097" w:rsidRPr="002A6632">
              <w:rPr>
                <w:sz w:val="24"/>
                <w:szCs w:val="24"/>
              </w:rPr>
              <w:t>Australia’s history shows significant protectionism from Federation until very recently</w:t>
            </w:r>
          </w:p>
          <w:p w14:paraId="5533521C" w14:textId="77777777" w:rsidR="00A25DB9" w:rsidRPr="00176D3F" w:rsidRDefault="00035DFB" w:rsidP="00E84EE2">
            <w:pPr>
              <w:pStyle w:val="Subtitle"/>
            </w:pPr>
            <w:r>
              <w:t>Average tariffs in the six colonies pre Federation</w:t>
            </w:r>
            <w:r w:rsidRPr="002D4595">
              <w:rPr>
                <w:rStyle w:val="NoteLabel"/>
              </w:rPr>
              <w:t>a</w:t>
            </w:r>
            <w:r w:rsidRPr="006563BD">
              <w:t>,</w:t>
            </w:r>
            <w:r>
              <w:t>post Federation</w:t>
            </w:r>
            <w:r w:rsidRPr="002D4595">
              <w:rPr>
                <w:rStyle w:val="NoteLabel"/>
              </w:rPr>
              <w:t>b</w:t>
            </w:r>
            <w:r>
              <w:t xml:space="preserve"> and in manufacturing</w:t>
            </w:r>
            <w:r>
              <w:rPr>
                <w:rStyle w:val="NoteLabel"/>
              </w:rPr>
              <w:t>c</w:t>
            </w:r>
            <w:r>
              <w:t xml:space="preserve"> and agriculture</w:t>
            </w:r>
            <w:r>
              <w:rPr>
                <w:rStyle w:val="NoteLabel"/>
              </w:rPr>
              <w:t>d</w:t>
            </w:r>
            <w:r>
              <w:t xml:space="preserve"> from 1825 to 2005</w:t>
            </w:r>
          </w:p>
        </w:tc>
      </w:tr>
      <w:tr w:rsidR="00A25DB9" w14:paraId="556BE970" w14:textId="77777777" w:rsidTr="00E84EE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35DFB" w:rsidRPr="00B1465D" w14:paraId="39E7FAAF" w14:textId="77777777" w:rsidTr="00035DFB">
              <w:trPr>
                <w:trHeight w:val="180"/>
                <w:tblHeader/>
                <w:jc w:val="center"/>
              </w:trPr>
              <w:tc>
                <w:tcPr>
                  <w:tcW w:w="5000" w:type="pct"/>
                  <w:tcBorders>
                    <w:top w:val="nil"/>
                    <w:bottom w:val="nil"/>
                  </w:tcBorders>
                </w:tcPr>
                <w:p w14:paraId="7320519D" w14:textId="77777777" w:rsidR="00035DFB" w:rsidRPr="002A6632" w:rsidRDefault="00035DFB" w:rsidP="00035DFB">
                  <w:pPr>
                    <w:pStyle w:val="Figure"/>
                    <w:spacing w:before="60" w:after="60"/>
                    <w:rPr>
                      <w:rFonts w:ascii="Arial" w:hAnsi="Arial" w:cs="Arial"/>
                      <w:sz w:val="20"/>
                    </w:rPr>
                  </w:pPr>
                  <w:r w:rsidRPr="002A6632">
                    <w:rPr>
                      <w:rFonts w:ascii="Arial" w:hAnsi="Arial" w:cs="Arial"/>
                      <w:b/>
                      <w:sz w:val="20"/>
                    </w:rPr>
                    <w:t>Average tariff rate (per cent)</w:t>
                  </w:r>
                </w:p>
              </w:tc>
            </w:tr>
            <w:tr w:rsidR="00035DFB" w:rsidRPr="00B1465D" w14:paraId="0271CC3D" w14:textId="77777777" w:rsidTr="00E84EE2">
              <w:trPr>
                <w:trHeight w:val="180"/>
                <w:tblHeader/>
                <w:jc w:val="center"/>
              </w:trPr>
              <w:tc>
                <w:tcPr>
                  <w:tcW w:w="5000" w:type="pct"/>
                  <w:tcBorders>
                    <w:top w:val="nil"/>
                    <w:bottom w:val="nil"/>
                  </w:tcBorders>
                </w:tcPr>
                <w:p w14:paraId="1388CECA" w14:textId="77777777" w:rsidR="00035DFB" w:rsidRDefault="00B603B8" w:rsidP="00035DFB">
                  <w:pPr>
                    <w:pStyle w:val="Figure"/>
                    <w:spacing w:before="60" w:after="60"/>
                    <w:rPr>
                      <w:rFonts w:ascii="Arial" w:hAnsi="Arial" w:cs="Arial"/>
                      <w:sz w:val="18"/>
                      <w:szCs w:val="18"/>
                    </w:rPr>
                  </w:pPr>
                  <w:r w:rsidRPr="00B603B8">
                    <w:rPr>
                      <w:rFonts w:ascii="Arial" w:hAnsi="Arial" w:cs="Arial"/>
                      <w:noProof/>
                      <w:sz w:val="18"/>
                      <w:szCs w:val="18"/>
                    </w:rPr>
                    <w:drawing>
                      <wp:inline distT="0" distB="0" distL="0" distR="0" wp14:anchorId="35BDC290" wp14:editId="4BDDE1C8">
                        <wp:extent cx="5400675" cy="3238500"/>
                        <wp:effectExtent l="0" t="0" r="9525" b="0"/>
                        <wp:docPr id="218" name="Picture 218" descr="This chart shows the average level of tariff protection between 1825 and 2005 in Australia, as well as for agriculture and manufacturing specifically between 1905 and 2005. Average tariffs were relatively low pre-Federation (1901) and then increased after Federation, with massive growth in the 1930s when average manufacturing tariffs peaked at over 70 per cent. From the 1970s to 2005, tariffs gradually fell until they were neglig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This chart shows the average level of tariff protection between 1825 and 2005 in Australia, as well as for agriculture and manufacturing specifically between 1905 and 2005. Average tariffs were relatively low pre-Federation (1901) and then increased after Federation, with massive growth in the 1930s when average manufacturing tariffs peaked at over 70 per cent. From the 1970s to 2005, tariffs gradually fell until they were negligible.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p>
              </w:tc>
            </w:tr>
          </w:tbl>
          <w:p w14:paraId="62B5041E" w14:textId="77777777" w:rsidR="00A25DB9" w:rsidRDefault="00A25DB9" w:rsidP="00E84EE2">
            <w:pPr>
              <w:pStyle w:val="Figure"/>
            </w:pPr>
          </w:p>
        </w:tc>
      </w:tr>
      <w:tr w:rsidR="00A25DB9" w:rsidRPr="00176D3F" w14:paraId="6E6DBAB0" w14:textId="77777777" w:rsidTr="00E84EE2">
        <w:tc>
          <w:tcPr>
            <w:tcW w:w="5000" w:type="pct"/>
            <w:tcBorders>
              <w:top w:val="nil"/>
              <w:left w:val="nil"/>
              <w:bottom w:val="nil"/>
              <w:right w:val="nil"/>
            </w:tcBorders>
            <w:shd w:val="clear" w:color="auto" w:fill="auto"/>
          </w:tcPr>
          <w:p w14:paraId="27E745CE" w14:textId="77777777" w:rsidR="00A25DB9" w:rsidRPr="00176D3F" w:rsidRDefault="00A25DB9" w:rsidP="00CB1B8C">
            <w:pPr>
              <w:pStyle w:val="Note"/>
            </w:pPr>
            <w:r>
              <w:rPr>
                <w:rStyle w:val="NoteLabel"/>
              </w:rPr>
              <w:t>a</w:t>
            </w:r>
            <w:r>
              <w:t xml:space="preserve"> </w:t>
            </w:r>
            <w:r w:rsidR="00035DFB">
              <w:t xml:space="preserve">Average duty paid on all imports (both those subject to duties and those not). </w:t>
            </w:r>
            <w:r w:rsidR="00035DFB">
              <w:rPr>
                <w:rStyle w:val="NoteLabel"/>
              </w:rPr>
              <w:t>b</w:t>
            </w:r>
            <w:r w:rsidR="00035DFB">
              <w:t xml:space="preserve"> Average duty (customs plus primage, net) – all clearances adjusted for method of valuation. </w:t>
            </w:r>
            <w:r w:rsidR="00035DFB">
              <w:rPr>
                <w:rStyle w:val="NoteLabel"/>
              </w:rPr>
              <w:t>c</w:t>
            </w:r>
            <w:r w:rsidR="00035DFB">
              <w:t xml:space="preserve"> Average tariff for manufacturing is the average duty paid on dutiable imports. </w:t>
            </w:r>
            <w:r w:rsidR="00035DFB">
              <w:rPr>
                <w:rStyle w:val="NoteLabel"/>
              </w:rPr>
              <w:t>d</w:t>
            </w:r>
            <w:r w:rsidR="00035DFB">
              <w:t xml:space="preserve">  Average tariff for agriculture here is proxied by the average rate of assistance. This is calculated by the average difference between domestic and world prices for all covered agricultural commodities. </w:t>
            </w:r>
          </w:p>
        </w:tc>
      </w:tr>
      <w:tr w:rsidR="00A25DB9" w:rsidRPr="00176D3F" w14:paraId="49FCE4B9" w14:textId="77777777" w:rsidTr="00E84EE2">
        <w:tc>
          <w:tcPr>
            <w:tcW w:w="5000" w:type="pct"/>
            <w:tcBorders>
              <w:top w:val="nil"/>
              <w:left w:val="nil"/>
              <w:bottom w:val="nil"/>
              <w:right w:val="nil"/>
            </w:tcBorders>
            <w:shd w:val="clear" w:color="auto" w:fill="auto"/>
          </w:tcPr>
          <w:p w14:paraId="029FDD64" w14:textId="77777777" w:rsidR="00A25DB9" w:rsidRPr="00176D3F" w:rsidRDefault="00035DFB" w:rsidP="00E84EE2">
            <w:pPr>
              <w:pStyle w:val="Source"/>
            </w:pPr>
            <w:r>
              <w:rPr>
                <w:i/>
              </w:rPr>
              <w:t>S</w:t>
            </w:r>
            <w:r w:rsidR="00A25DB9" w:rsidRPr="00784A05">
              <w:rPr>
                <w:i/>
              </w:rPr>
              <w:t>ource</w:t>
            </w:r>
            <w:r w:rsidR="00A25DB9" w:rsidRPr="00176D3F">
              <w:t xml:space="preserve">: </w:t>
            </w:r>
            <w:r>
              <w:t xml:space="preserve">Butlin, Dixon and Lloyd </w:t>
            </w:r>
            <w:r w:rsidRPr="00A264C1">
              <w:rPr>
                <w:rFonts w:cs="Arial"/>
                <w:szCs w:val="24"/>
              </w:rPr>
              <w:t>(2015, pp. 578–580)</w:t>
            </w:r>
            <w:r>
              <w:t xml:space="preserve">; Lloyd </w:t>
            </w:r>
            <w:r w:rsidRPr="00175108">
              <w:rPr>
                <w:rFonts w:cs="Arial"/>
              </w:rPr>
              <w:t>(2008, 2017)</w:t>
            </w:r>
            <w:r>
              <w:t>.</w:t>
            </w:r>
          </w:p>
        </w:tc>
      </w:tr>
      <w:tr w:rsidR="00A25DB9" w14:paraId="671F38EB" w14:textId="77777777" w:rsidTr="00E84EE2">
        <w:tc>
          <w:tcPr>
            <w:tcW w:w="5000" w:type="pct"/>
            <w:tcBorders>
              <w:top w:val="nil"/>
              <w:left w:val="nil"/>
              <w:bottom w:val="single" w:sz="6" w:space="0" w:color="78A22F"/>
              <w:right w:val="nil"/>
            </w:tcBorders>
            <w:shd w:val="clear" w:color="auto" w:fill="auto"/>
          </w:tcPr>
          <w:p w14:paraId="05DF6B2C" w14:textId="77777777" w:rsidR="00A25DB9" w:rsidRDefault="00A25DB9" w:rsidP="00E84EE2">
            <w:pPr>
              <w:pStyle w:val="Figurespace"/>
            </w:pPr>
          </w:p>
        </w:tc>
      </w:tr>
      <w:tr w:rsidR="00A25DB9" w:rsidRPr="000863A5" w14:paraId="6EC5D66B" w14:textId="77777777" w:rsidTr="00E84EE2">
        <w:tc>
          <w:tcPr>
            <w:tcW w:w="5000" w:type="pct"/>
            <w:tcBorders>
              <w:top w:val="single" w:sz="6" w:space="0" w:color="78A22F"/>
              <w:left w:val="nil"/>
              <w:bottom w:val="nil"/>
              <w:right w:val="nil"/>
            </w:tcBorders>
          </w:tcPr>
          <w:p w14:paraId="33D78995" w14:textId="77777777" w:rsidR="00A25DB9" w:rsidRPr="00626D32" w:rsidRDefault="00A25DB9" w:rsidP="00E84EE2">
            <w:pPr>
              <w:pStyle w:val="BoxSpaceBelow"/>
            </w:pPr>
          </w:p>
        </w:tc>
      </w:tr>
    </w:tbl>
    <w:p w14:paraId="36BFB70A" w14:textId="77777777" w:rsidR="00497097" w:rsidRDefault="00497097" w:rsidP="00497097">
      <w:pPr>
        <w:pStyle w:val="BodyText"/>
      </w:pPr>
      <w:r>
        <w:t>Following WWII</w:t>
      </w:r>
      <w:r w:rsidR="00E80F81">
        <w:t>,</w:t>
      </w:r>
      <w:r>
        <w:t xml:space="preserve"> it appears tariff rates fell (figure </w:t>
      </w:r>
      <w:r w:rsidR="00DB385B">
        <w:t>D</w:t>
      </w:r>
      <w:r>
        <w:t>.1) but this is</w:t>
      </w:r>
      <w:r w:rsidDel="00994CDC">
        <w:t xml:space="preserve"> </w:t>
      </w:r>
      <w:r>
        <w:t>not indicative of a fall in the overall level of protectionism. During the 1950</w:t>
      </w:r>
      <w:r w:rsidR="00C84F5A">
        <w:t>s</w:t>
      </w:r>
      <w:r>
        <w:t>, when import licensing became more important as an instrument of protectionism (a legacy of the non-convertibility of the sterling following WWII), there is evidence that overall protectionism</w:t>
      </w:r>
      <w:r w:rsidDel="00994CDC">
        <w:t xml:space="preserve"> </w:t>
      </w:r>
      <w:r>
        <w:t>increased before falling to pre</w:t>
      </w:r>
      <w:r>
        <w:noBreakHyphen/>
        <w:t xml:space="preserve">WWII levels in the 1960s </w:t>
      </w:r>
      <w:r w:rsidRPr="00333D15">
        <w:rPr>
          <w:szCs w:val="24"/>
        </w:rPr>
        <w:t>(Anderson and Garnaut 1987)</w:t>
      </w:r>
      <w:r>
        <w:t xml:space="preserve">. Moreover, following the phasing out of import licences in the early 1960s, there appeared to be no further reductions in protectionism until the </w:t>
      </w:r>
      <w:r w:rsidR="009A759A">
        <w:t>trade liberalisation</w:t>
      </w:r>
      <w:r>
        <w:t xml:space="preserve"> </w:t>
      </w:r>
      <w:r w:rsidR="009A759A">
        <w:t>that began in the 1970s and greatly accelerated in the 1980s (</w:t>
      </w:r>
      <w:r>
        <w:t>appendix A</w:t>
      </w:r>
      <w:r w:rsidR="009A759A">
        <w:t>)</w:t>
      </w:r>
      <w:r>
        <w:t>.</w:t>
      </w:r>
    </w:p>
    <w:p w14:paraId="73DDD152" w14:textId="77777777" w:rsidR="009307AA" w:rsidRPr="00903723" w:rsidRDefault="009307AA" w:rsidP="009307AA">
      <w:pPr>
        <w:pStyle w:val="Heading2"/>
      </w:pPr>
      <w:bookmarkStart w:id="14" w:name="_Toc56436175"/>
      <w:r>
        <w:t>Redistribution and welfare</w:t>
      </w:r>
      <w:bookmarkEnd w:id="14"/>
    </w:p>
    <w:p w14:paraId="1FB43D10" w14:textId="77777777" w:rsidR="009307AA" w:rsidRDefault="009307AA" w:rsidP="009307AA">
      <w:pPr>
        <w:pStyle w:val="BodyText"/>
      </w:pPr>
      <w:r>
        <w:t xml:space="preserve">Individuals emigrate with the hope of finding a future better than the present. As a nation of </w:t>
      </w:r>
      <w:r w:rsidR="00EF1355">
        <w:t xml:space="preserve">convicts and </w:t>
      </w:r>
      <w:r>
        <w:t xml:space="preserve">immigrants, Australia was founded on an egalitarian attitude that sought to </w:t>
      </w:r>
      <w:r>
        <w:lastRenderedPageBreak/>
        <w:t xml:space="preserve">overcome class inequalities. So, it is unsurprising that income inequality became a concern of the early Federal Government. And they had some reason for concern. By 1921 the top 1 per cent of income earners held a higher proportion of income (11.63 per cent) than </w:t>
      </w:r>
      <w:r w:rsidR="00713027">
        <w:t xml:space="preserve">at </w:t>
      </w:r>
      <w:r>
        <w:t xml:space="preserve">any </w:t>
      </w:r>
      <w:r w:rsidR="00E4605D">
        <w:t>other point in that century</w:t>
      </w:r>
      <w:r>
        <w:t xml:space="preserve"> (4.61</w:t>
      </w:r>
      <w:r w:rsidR="00987A73">
        <w:t> per cent</w:t>
      </w:r>
      <w:r>
        <w:t xml:space="preserve"> in 1981 and 9.18</w:t>
      </w:r>
      <w:r w:rsidR="00987A73">
        <w:t> per cent</w:t>
      </w:r>
      <w:r>
        <w:t xml:space="preserve"> in 2003) </w:t>
      </w:r>
      <w:r w:rsidRPr="003E48DD">
        <w:rPr>
          <w:szCs w:val="24"/>
        </w:rPr>
        <w:t>(Atkinson and Leigh 2007)</w:t>
      </w:r>
      <w:r>
        <w:t xml:space="preserve">. However, the limited size and scope of governments at the time (and the Australian Government specifically) left policymakers with fewer options (and revenue) to address income inequality. </w:t>
      </w:r>
    </w:p>
    <w:p w14:paraId="60975578" w14:textId="77777777" w:rsidR="009307AA" w:rsidRPr="002A6632" w:rsidRDefault="009307AA" w:rsidP="009307AA">
      <w:pPr>
        <w:pStyle w:val="BodyText"/>
        <w:rPr>
          <w:spacing w:val="-2"/>
        </w:rPr>
      </w:pPr>
      <w:r w:rsidRPr="002A6632">
        <w:rPr>
          <w:spacing w:val="-2"/>
        </w:rPr>
        <w:t xml:space="preserve">At the time of </w:t>
      </w:r>
      <w:r w:rsidR="00A062C0" w:rsidRPr="002A6632">
        <w:rPr>
          <w:spacing w:val="-2"/>
        </w:rPr>
        <w:t>F</w:t>
      </w:r>
      <w:r w:rsidRPr="002A6632">
        <w:rPr>
          <w:spacing w:val="-2"/>
        </w:rPr>
        <w:t>ederation, the Federal Government’s primary source of revenue was tariffs rather than income tax and therefore redistributive options such as welfare payments were mostly unavailable.</w:t>
      </w:r>
      <w:r w:rsidRPr="002A6632">
        <w:rPr>
          <w:rStyle w:val="FootnoteReference"/>
          <w:spacing w:val="-2"/>
        </w:rPr>
        <w:footnoteReference w:id="7"/>
      </w:r>
      <w:r w:rsidRPr="002A6632">
        <w:rPr>
          <w:spacing w:val="-2"/>
        </w:rPr>
        <w:t xml:space="preserve"> Additionally, the consensus of economists of the early Twentieth century was that the cost of protectionism was born by export industries, namely by owners of fixed assets and in particular farm owners. At the time it was thought that tariffs were reducing  inequality by acting as a transfer of income from primary producer</w:t>
      </w:r>
      <w:r w:rsidR="008E5656" w:rsidRPr="002A6632">
        <w:rPr>
          <w:spacing w:val="-2"/>
        </w:rPr>
        <w:t>s</w:t>
      </w:r>
      <w:r w:rsidRPr="002A6632">
        <w:rPr>
          <w:spacing w:val="-2"/>
        </w:rPr>
        <w:t xml:space="preserve"> to workers in the urban sector </w:t>
      </w:r>
      <w:r w:rsidRPr="002A6632">
        <w:rPr>
          <w:spacing w:val="-2"/>
          <w:szCs w:val="24"/>
        </w:rPr>
        <w:t>(Anderson 2020)</w:t>
      </w:r>
      <w:r w:rsidRPr="002A6632">
        <w:rPr>
          <w:spacing w:val="-2"/>
        </w:rPr>
        <w:t xml:space="preserve">. Economists have since proposed a model of trade more appropriate to the Australian context which casts doubt on the efficacy of this transfer (box 1.1). </w:t>
      </w:r>
    </w:p>
    <w:p w14:paraId="28B6C173" w14:textId="77777777" w:rsidR="00EF1355" w:rsidRPr="002A6632" w:rsidRDefault="00836CC6" w:rsidP="009307AA">
      <w:pPr>
        <w:pStyle w:val="BodyText"/>
        <w:rPr>
          <w:spacing w:val="-2"/>
        </w:rPr>
      </w:pPr>
      <w:r w:rsidRPr="002A6632">
        <w:rPr>
          <w:spacing w:val="-2"/>
        </w:rPr>
        <w:t>Empirically, the</w:t>
      </w:r>
      <w:r w:rsidR="00062959" w:rsidRPr="002A6632">
        <w:rPr>
          <w:spacing w:val="-2"/>
        </w:rPr>
        <w:t xml:space="preserve"> limited</w:t>
      </w:r>
      <w:r w:rsidRPr="002A6632">
        <w:rPr>
          <w:spacing w:val="-2"/>
        </w:rPr>
        <w:t xml:space="preserve"> evidence does also not </w:t>
      </w:r>
      <w:r w:rsidR="00062959" w:rsidRPr="002A6632">
        <w:rPr>
          <w:spacing w:val="-2"/>
        </w:rPr>
        <w:t>support</w:t>
      </w:r>
      <w:r w:rsidR="00022A55" w:rsidRPr="002A6632">
        <w:rPr>
          <w:spacing w:val="-2"/>
        </w:rPr>
        <w:t xml:space="preserve"> either protectionism or</w:t>
      </w:r>
      <w:r w:rsidR="00062959" w:rsidRPr="002A6632">
        <w:rPr>
          <w:spacing w:val="-2"/>
        </w:rPr>
        <w:t xml:space="preserve"> trade liberalisation</w:t>
      </w:r>
      <w:r w:rsidRPr="002A6632">
        <w:rPr>
          <w:spacing w:val="-2"/>
        </w:rPr>
        <w:t xml:space="preserve"> as having a very significant effect</w:t>
      </w:r>
      <w:r w:rsidR="00062959" w:rsidRPr="002A6632">
        <w:rPr>
          <w:spacing w:val="-2"/>
        </w:rPr>
        <w:t xml:space="preserve"> on the distribution of earnings</w:t>
      </w:r>
      <w:r w:rsidR="00022A55" w:rsidRPr="002A6632">
        <w:rPr>
          <w:spacing w:val="-2"/>
        </w:rPr>
        <w:t xml:space="preserve"> in the Australian context</w:t>
      </w:r>
      <w:r w:rsidRPr="002A6632">
        <w:rPr>
          <w:spacing w:val="-2"/>
        </w:rPr>
        <w:t>. Modelling and empirical analysis undertake</w:t>
      </w:r>
      <w:r w:rsidR="008E5656" w:rsidRPr="002A6632">
        <w:rPr>
          <w:spacing w:val="-2"/>
        </w:rPr>
        <w:t>n</w:t>
      </w:r>
      <w:r w:rsidRPr="002A6632">
        <w:rPr>
          <w:spacing w:val="-2"/>
        </w:rPr>
        <w:t xml:space="preserve"> close to the event of trade liberalisation (as well as broader microeconomic reform) </w:t>
      </w:r>
      <w:r w:rsidR="00606D4A" w:rsidRPr="002A6632">
        <w:rPr>
          <w:spacing w:val="-2"/>
        </w:rPr>
        <w:t>find</w:t>
      </w:r>
      <w:r w:rsidR="00062959" w:rsidRPr="002A6632">
        <w:rPr>
          <w:spacing w:val="-2"/>
        </w:rPr>
        <w:t xml:space="preserve"> </w:t>
      </w:r>
      <w:r w:rsidR="00606D4A" w:rsidRPr="002A6632">
        <w:rPr>
          <w:spacing w:val="-2"/>
        </w:rPr>
        <w:t>that this had minimal</w:t>
      </w:r>
      <w:r w:rsidR="00062959" w:rsidRPr="002A6632">
        <w:rPr>
          <w:spacing w:val="-2"/>
        </w:rPr>
        <w:t xml:space="preserve"> effect on the structural changes in employment at the time or the distribution of earnings (relative to other factors)</w:t>
      </w:r>
      <w:r w:rsidR="008C0291" w:rsidRPr="002A6632">
        <w:rPr>
          <w:spacing w:val="-2"/>
        </w:rPr>
        <w:t xml:space="preserve"> </w:t>
      </w:r>
      <w:r w:rsidR="008C0291" w:rsidRPr="002A6632">
        <w:rPr>
          <w:spacing w:val="-2"/>
          <w:szCs w:val="24"/>
        </w:rPr>
        <w:t>(de Laine, Lee and Woodbridge 1997; Murtough, Pearson and Wreford 1998)</w:t>
      </w:r>
      <w:r w:rsidR="00062959" w:rsidRPr="002A6632">
        <w:rPr>
          <w:spacing w:val="-2"/>
        </w:rPr>
        <w:t xml:space="preserve">. </w:t>
      </w:r>
    </w:p>
    <w:p w14:paraId="06281EFD" w14:textId="77777777" w:rsidR="00836CC6" w:rsidRPr="00F111EA" w:rsidRDefault="00062959" w:rsidP="009307AA">
      <w:pPr>
        <w:pStyle w:val="BodyText"/>
        <w:rPr>
          <w:spacing w:val="-4"/>
        </w:rPr>
      </w:pPr>
      <w:r w:rsidRPr="00F111EA">
        <w:rPr>
          <w:spacing w:val="-4"/>
        </w:rPr>
        <w:t>Recent modelling by the Commission</w:t>
      </w:r>
      <w:r w:rsidR="00022A55" w:rsidRPr="00F111EA">
        <w:rPr>
          <w:spacing w:val="-4"/>
        </w:rPr>
        <w:t xml:space="preserve"> (2017</w:t>
      </w:r>
      <w:r w:rsidR="00A90F55" w:rsidRPr="00F111EA">
        <w:rPr>
          <w:spacing w:val="-4"/>
        </w:rPr>
        <w:t xml:space="preserve">, pp. </w:t>
      </w:r>
      <w:r w:rsidR="00E42B40" w:rsidRPr="00F111EA">
        <w:rPr>
          <w:spacing w:val="-4"/>
        </w:rPr>
        <w:t>41</w:t>
      </w:r>
      <w:r w:rsidR="00022A55" w:rsidRPr="00F111EA">
        <w:rPr>
          <w:spacing w:val="-4"/>
        </w:rPr>
        <w:t>)</w:t>
      </w:r>
      <w:r w:rsidRPr="00F111EA">
        <w:rPr>
          <w:spacing w:val="-4"/>
        </w:rPr>
        <w:t xml:space="preserve"> on the effects of a hypothetical increase in global protection</w:t>
      </w:r>
      <w:r w:rsidR="00634228" w:rsidRPr="00F111EA">
        <w:rPr>
          <w:spacing w:val="-4"/>
        </w:rPr>
        <w:t xml:space="preserve"> (similar to the 1930s)</w:t>
      </w:r>
      <w:r w:rsidR="00356084" w:rsidRPr="00F111EA">
        <w:rPr>
          <w:spacing w:val="-4"/>
        </w:rPr>
        <w:t xml:space="preserve"> showed that while incomes fell for all income deciles, </w:t>
      </w:r>
      <w:r w:rsidR="00D2677B" w:rsidRPr="00F111EA">
        <w:rPr>
          <w:spacing w:val="-4"/>
        </w:rPr>
        <w:t>they fell to far lesser degree for those in the lowest ends of the income distribution. A</w:t>
      </w:r>
      <w:r w:rsidR="00E51A97" w:rsidRPr="00F111EA">
        <w:rPr>
          <w:spacing w:val="-4"/>
        </w:rPr>
        <w:t>lthough this</w:t>
      </w:r>
      <w:r w:rsidR="00EF1355" w:rsidRPr="00F111EA">
        <w:rPr>
          <w:spacing w:val="-4"/>
        </w:rPr>
        <w:t xml:space="preserve"> modelling</w:t>
      </w:r>
      <w:r w:rsidR="00E51A97" w:rsidRPr="00F111EA">
        <w:rPr>
          <w:spacing w:val="-4"/>
        </w:rPr>
        <w:t xml:space="preserve"> would</w:t>
      </w:r>
      <w:r w:rsidR="00163386" w:rsidRPr="00F111EA">
        <w:rPr>
          <w:spacing w:val="-4"/>
        </w:rPr>
        <w:t xml:space="preserve"> appear to</w:t>
      </w:r>
      <w:r w:rsidR="00E51A97" w:rsidRPr="00F111EA">
        <w:rPr>
          <w:spacing w:val="-4"/>
        </w:rPr>
        <w:t xml:space="preserve"> be prima</w:t>
      </w:r>
      <w:r w:rsidR="00D2677B" w:rsidRPr="00F111EA">
        <w:rPr>
          <w:spacing w:val="-4"/>
        </w:rPr>
        <w:t xml:space="preserve"> facie evidence </w:t>
      </w:r>
      <w:r w:rsidR="00163386" w:rsidRPr="00F111EA">
        <w:rPr>
          <w:spacing w:val="-4"/>
        </w:rPr>
        <w:t>for protectionism lessening income inequality, the absolute incomes of the bottom deciles still fell.</w:t>
      </w:r>
      <w:r w:rsidR="00891B80" w:rsidRPr="00F111EA">
        <w:rPr>
          <w:spacing w:val="-4"/>
        </w:rPr>
        <w:t xml:space="preserve"> Therefore, </w:t>
      </w:r>
      <w:r w:rsidR="00FD7B9E" w:rsidRPr="00F111EA">
        <w:rPr>
          <w:spacing w:val="-4"/>
        </w:rPr>
        <w:t xml:space="preserve">despite having a larger </w:t>
      </w:r>
      <w:r w:rsidR="00FD7B9E" w:rsidRPr="00F111EA">
        <w:rPr>
          <w:i/>
          <w:iCs/>
          <w:spacing w:val="-4"/>
        </w:rPr>
        <w:t>share</w:t>
      </w:r>
      <w:r w:rsidR="00FD7B9E" w:rsidRPr="00F111EA">
        <w:rPr>
          <w:spacing w:val="-4"/>
        </w:rPr>
        <w:t xml:space="preserve"> of total income, </w:t>
      </w:r>
      <w:r w:rsidR="000F334E" w:rsidRPr="00F111EA">
        <w:rPr>
          <w:spacing w:val="-4"/>
        </w:rPr>
        <w:t>the lower income deciles</w:t>
      </w:r>
      <w:r w:rsidR="00FD7B9E" w:rsidRPr="00F111EA">
        <w:rPr>
          <w:spacing w:val="-4"/>
        </w:rPr>
        <w:t xml:space="preserve">’ ability to purchase goods and services fell. </w:t>
      </w:r>
    </w:p>
    <w:p w14:paraId="4C398AF4" w14:textId="77777777" w:rsidR="0068640F" w:rsidRDefault="00022A55" w:rsidP="009307AA">
      <w:pPr>
        <w:pStyle w:val="BodyText"/>
      </w:pPr>
      <w:r>
        <w:t>There</w:t>
      </w:r>
      <w:r w:rsidR="00987A73">
        <w:t xml:space="preserve"> is</w:t>
      </w:r>
      <w:r w:rsidR="004A7D49">
        <w:t xml:space="preserve"> some</w:t>
      </w:r>
      <w:r w:rsidR="00987A73">
        <w:t xml:space="preserve"> evidence on the effect of protection on the </w:t>
      </w:r>
      <w:r w:rsidR="00987A73">
        <w:rPr>
          <w:i/>
        </w:rPr>
        <w:t>level</w:t>
      </w:r>
      <w:r w:rsidR="00987A73">
        <w:t xml:space="preserve"> of income for the</w:t>
      </w:r>
      <w:r w:rsidR="00163386">
        <w:t xml:space="preserve"> </w:t>
      </w:r>
      <w:r w:rsidR="00987A73">
        <w:t xml:space="preserve">period when </w:t>
      </w:r>
      <w:r>
        <w:t>these</w:t>
      </w:r>
      <w:r w:rsidR="00987A73">
        <w:t xml:space="preserve"> policies were</w:t>
      </w:r>
      <w:r>
        <w:t xml:space="preserve"> first </w:t>
      </w:r>
      <w:r w:rsidR="00163386">
        <w:t>greatly expanded</w:t>
      </w:r>
      <w:r w:rsidR="00987A73">
        <w:t xml:space="preserve"> </w:t>
      </w:r>
      <w:r w:rsidR="00987A73" w:rsidRPr="008C0291">
        <w:rPr>
          <w:szCs w:val="24"/>
        </w:rPr>
        <w:t>(Clemens and Williamson 2004)</w:t>
      </w:r>
      <w:r w:rsidR="00987A73">
        <w:t>, but there is little on the distributional effects. Looking at the overall movements in the distribution of income in Australia, there</w:t>
      </w:r>
      <w:r w:rsidR="00687ECA">
        <w:t xml:space="preserve"> appears to have</w:t>
      </w:r>
      <w:r w:rsidR="00FC784D">
        <w:t xml:space="preserve"> significant levelling of incomes between 1820 and 1870, </w:t>
      </w:r>
      <w:r w:rsidR="008E565A">
        <w:t>so at the latter end of this period there was</w:t>
      </w:r>
      <w:r w:rsidR="00687ECA">
        <w:t xml:space="preserve"> a relatively equitable distribution of income</w:t>
      </w:r>
      <w:r w:rsidR="00FC784D">
        <w:t xml:space="preserve"> </w:t>
      </w:r>
      <w:r w:rsidR="005364B8" w:rsidRPr="005364B8">
        <w:rPr>
          <w:szCs w:val="24"/>
        </w:rPr>
        <w:t>(Panza and Williamson </w:t>
      </w:r>
      <w:r w:rsidR="005364B8" w:rsidRPr="00333D15">
        <w:rPr>
          <w:szCs w:val="24"/>
        </w:rPr>
        <w:t>2017, 2019)</w:t>
      </w:r>
      <w:r w:rsidR="00FC784D">
        <w:t>. There was then</w:t>
      </w:r>
      <w:r w:rsidR="00687ECA">
        <w:t xml:space="preserve"> </w:t>
      </w:r>
      <w:r w:rsidR="00FC784D">
        <w:t>an apparent</w:t>
      </w:r>
      <w:r w:rsidR="00687ECA">
        <w:t xml:space="preserve"> rise in inequality occurring sometime before 1918</w:t>
      </w:r>
      <w:r w:rsidR="00FC784D">
        <w:t>, although</w:t>
      </w:r>
      <w:r w:rsidR="00687ECA">
        <w:t xml:space="preserve"> </w:t>
      </w:r>
      <w:r w:rsidR="00FC784D">
        <w:t xml:space="preserve">at this time </w:t>
      </w:r>
      <w:r w:rsidR="00687ECA">
        <w:t>Australia still had a lower proportion of income going to those in the top 1 per cent than in the United Kingdom or the United States</w:t>
      </w:r>
      <w:r w:rsidR="00CF1CD8">
        <w:t xml:space="preserve"> </w:t>
      </w:r>
      <w:r w:rsidR="00CF1CD8" w:rsidRPr="00CF1CD8">
        <w:rPr>
          <w:szCs w:val="24"/>
        </w:rPr>
        <w:t>(Atkinson and Leigh 2010</w:t>
      </w:r>
      <w:r w:rsidR="00E32205">
        <w:rPr>
          <w:szCs w:val="24"/>
        </w:rPr>
        <w:t>, pp. 40</w:t>
      </w:r>
      <w:r w:rsidR="00CF1CD8" w:rsidRPr="00CF1CD8">
        <w:rPr>
          <w:szCs w:val="24"/>
        </w:rPr>
        <w:t>)</w:t>
      </w:r>
      <w:r w:rsidR="00687ECA">
        <w:t>. Thereafter, Australia experienced marked decline in inequality</w:t>
      </w:r>
      <w:r w:rsidR="008E565A">
        <w:t xml:space="preserve"> </w:t>
      </w:r>
      <w:r w:rsidR="00687ECA">
        <w:t xml:space="preserve">but given this occurred in most developed nations, it is difficult to determine the effect of local policy. </w:t>
      </w:r>
    </w:p>
    <w:p w14:paraId="56949193" w14:textId="77777777" w:rsidR="009307AA" w:rsidRDefault="009307AA" w:rsidP="009307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307AA" w14:paraId="7DA6C902" w14:textId="77777777" w:rsidTr="008C0291">
        <w:trPr>
          <w:tblHeader/>
        </w:trPr>
        <w:tc>
          <w:tcPr>
            <w:tcW w:w="5000" w:type="pct"/>
            <w:tcBorders>
              <w:top w:val="single" w:sz="6" w:space="0" w:color="78A22F"/>
              <w:left w:val="nil"/>
              <w:bottom w:val="nil"/>
              <w:right w:val="nil"/>
            </w:tcBorders>
            <w:shd w:val="clear" w:color="auto" w:fill="F2F2F2"/>
          </w:tcPr>
          <w:p w14:paraId="1CA19390" w14:textId="77777777" w:rsidR="009307AA" w:rsidRDefault="009307AA" w:rsidP="000E368A">
            <w:pPr>
              <w:pStyle w:val="BoxTitle"/>
            </w:pPr>
            <w:r>
              <w:rPr>
                <w:b w:val="0"/>
              </w:rPr>
              <w:t xml:space="preserve">Box </w:t>
            </w:r>
            <w:r w:rsidR="00912BFC">
              <w:rPr>
                <w:b w:val="0"/>
              </w:rPr>
              <w:t>D</w:t>
            </w:r>
            <w:r w:rsidR="000E368A">
              <w:rPr>
                <w:b w:val="0"/>
              </w:rPr>
              <w:t>.1</w:t>
            </w:r>
            <w:r>
              <w:tab/>
              <w:t>Theory on the redistributive effects of tariff protection</w:t>
            </w:r>
          </w:p>
        </w:tc>
      </w:tr>
      <w:tr w:rsidR="009307AA" w14:paraId="2ADFEC78" w14:textId="77777777" w:rsidTr="008C0291">
        <w:tc>
          <w:tcPr>
            <w:tcW w:w="5000" w:type="pct"/>
            <w:tcBorders>
              <w:top w:val="nil"/>
              <w:left w:val="nil"/>
              <w:bottom w:val="nil"/>
              <w:right w:val="nil"/>
            </w:tcBorders>
            <w:shd w:val="clear" w:color="auto" w:fill="F2F2F2"/>
          </w:tcPr>
          <w:p w14:paraId="027A5FCB" w14:textId="77777777" w:rsidR="009307AA" w:rsidRPr="002A6632" w:rsidRDefault="00DD78B6" w:rsidP="008C0291">
            <w:pPr>
              <w:pStyle w:val="Box"/>
              <w:rPr>
                <w:spacing w:val="-2"/>
              </w:rPr>
            </w:pPr>
            <w:bookmarkStart w:id="15" w:name="_Hlk55485283"/>
            <w:r w:rsidRPr="002A6632">
              <w:rPr>
                <w:spacing w:val="-2"/>
              </w:rPr>
              <w:t>T</w:t>
            </w:r>
            <w:r w:rsidR="00DC4A0C" w:rsidRPr="002A6632">
              <w:rPr>
                <w:spacing w:val="-2"/>
              </w:rPr>
              <w:t xml:space="preserve">he </w:t>
            </w:r>
            <w:r w:rsidR="008E3DFA" w:rsidRPr="002A6632">
              <w:rPr>
                <w:spacing w:val="-2"/>
              </w:rPr>
              <w:t>‘</w:t>
            </w:r>
            <w:r w:rsidR="00DC4A0C" w:rsidRPr="002A6632">
              <w:rPr>
                <w:spacing w:val="-2"/>
              </w:rPr>
              <w:t>specific factors model</w:t>
            </w:r>
            <w:r w:rsidR="008E3DFA" w:rsidRPr="002A6632">
              <w:rPr>
                <w:spacing w:val="-2"/>
              </w:rPr>
              <w:t>’</w:t>
            </w:r>
            <w:r w:rsidRPr="002A6632">
              <w:rPr>
                <w:spacing w:val="-2"/>
              </w:rPr>
              <w:t>,</w:t>
            </w:r>
            <w:r w:rsidR="009307AA" w:rsidRPr="002A6632">
              <w:rPr>
                <w:spacing w:val="-2"/>
              </w:rPr>
              <w:t xml:space="preserve"> popularised by Jones </w:t>
            </w:r>
            <w:r w:rsidR="009307AA" w:rsidRPr="002A6632">
              <w:rPr>
                <w:rFonts w:cs="Arial"/>
                <w:spacing w:val="-2"/>
                <w:szCs w:val="24"/>
              </w:rPr>
              <w:t>(1971)</w:t>
            </w:r>
            <w:r w:rsidR="009106EA" w:rsidRPr="002A6632">
              <w:rPr>
                <w:spacing w:val="-2"/>
              </w:rPr>
              <w:t xml:space="preserve"> and Samuelson </w:t>
            </w:r>
            <w:r w:rsidR="009106EA" w:rsidRPr="002A6632">
              <w:rPr>
                <w:rFonts w:cs="Arial"/>
                <w:spacing w:val="-2"/>
                <w:szCs w:val="24"/>
              </w:rPr>
              <w:t>(1971)</w:t>
            </w:r>
            <w:r w:rsidR="009307AA" w:rsidRPr="002A6632">
              <w:rPr>
                <w:spacing w:val="-2"/>
              </w:rPr>
              <w:t xml:space="preserve"> is most </w:t>
            </w:r>
            <w:r w:rsidR="00785D84" w:rsidRPr="002A6632">
              <w:rPr>
                <w:spacing w:val="-2"/>
              </w:rPr>
              <w:t xml:space="preserve">suitable </w:t>
            </w:r>
            <w:r w:rsidR="009307AA" w:rsidRPr="002A6632">
              <w:rPr>
                <w:spacing w:val="-2"/>
              </w:rPr>
              <w:t>for understanding the effects of tariffs in the Australian context</w:t>
            </w:r>
            <w:r w:rsidR="00785D84" w:rsidRPr="002A6632">
              <w:rPr>
                <w:spacing w:val="-2"/>
              </w:rPr>
              <w:t xml:space="preserve">, as is argued by Anderson </w:t>
            </w:r>
            <w:r w:rsidR="00785D84" w:rsidRPr="002A6632">
              <w:rPr>
                <w:rFonts w:cs="Arial"/>
                <w:spacing w:val="-2"/>
                <w:szCs w:val="24"/>
              </w:rPr>
              <w:t>(2020)</w:t>
            </w:r>
            <w:r w:rsidR="009307AA" w:rsidRPr="002A6632">
              <w:rPr>
                <w:spacing w:val="-2"/>
              </w:rPr>
              <w:t xml:space="preserve">. </w:t>
            </w:r>
            <w:r w:rsidR="000B4A7D" w:rsidRPr="002A6632">
              <w:rPr>
                <w:spacing w:val="-2"/>
              </w:rPr>
              <w:t xml:space="preserve">The specific factors model is a simple variant of the </w:t>
            </w:r>
            <w:r w:rsidR="00A32468" w:rsidRPr="002A6632">
              <w:rPr>
                <w:spacing w:val="-2"/>
              </w:rPr>
              <w:t>Hecksher Ohlin Model</w:t>
            </w:r>
            <w:r w:rsidR="000B4A7D" w:rsidRPr="002A6632">
              <w:rPr>
                <w:spacing w:val="-2"/>
              </w:rPr>
              <w:t xml:space="preserve"> </w:t>
            </w:r>
            <w:r w:rsidR="002D502A" w:rsidRPr="002A6632">
              <w:rPr>
                <w:spacing w:val="-2"/>
              </w:rPr>
              <w:t>that</w:t>
            </w:r>
            <w:r w:rsidR="009307AA" w:rsidRPr="002A6632">
              <w:rPr>
                <w:spacing w:val="-2"/>
              </w:rPr>
              <w:t xml:space="preserve"> account</w:t>
            </w:r>
            <w:r w:rsidR="005D2942" w:rsidRPr="002A6632">
              <w:rPr>
                <w:spacing w:val="-2"/>
              </w:rPr>
              <w:t>s</w:t>
            </w:r>
            <w:r w:rsidR="009307AA" w:rsidRPr="002A6632">
              <w:rPr>
                <w:spacing w:val="-2"/>
              </w:rPr>
              <w:t xml:space="preserve"> for the immobility of primary </w:t>
            </w:r>
            <w:r w:rsidR="00DA644B" w:rsidRPr="002A6632">
              <w:rPr>
                <w:spacing w:val="-2"/>
              </w:rPr>
              <w:t>factors</w:t>
            </w:r>
            <w:r w:rsidR="009307AA" w:rsidRPr="002A6632">
              <w:rPr>
                <w:spacing w:val="-2"/>
              </w:rPr>
              <w:t xml:space="preserve"> such as land</w:t>
            </w:r>
            <w:r w:rsidR="00D62C5F" w:rsidRPr="002A6632">
              <w:rPr>
                <w:spacing w:val="-2"/>
              </w:rPr>
              <w:t xml:space="preserve"> (e.g. agricultural land is a factor that </w:t>
            </w:r>
            <w:r w:rsidR="00CD18E0" w:rsidRPr="002A6632">
              <w:rPr>
                <w:spacing w:val="-2"/>
              </w:rPr>
              <w:t>specific to, or rather</w:t>
            </w:r>
            <w:r w:rsidR="00D62C5F" w:rsidRPr="002A6632">
              <w:rPr>
                <w:spacing w:val="-2"/>
              </w:rPr>
              <w:t xml:space="preserve"> is only useful in</w:t>
            </w:r>
            <w:r w:rsidR="00CD18E0" w:rsidRPr="002A6632">
              <w:rPr>
                <w:spacing w:val="-2"/>
              </w:rPr>
              <w:t>,</w:t>
            </w:r>
            <w:r w:rsidR="00D62C5F" w:rsidRPr="002A6632">
              <w:rPr>
                <w:spacing w:val="-2"/>
              </w:rPr>
              <w:t xml:space="preserve"> the agricultural sector)</w:t>
            </w:r>
            <w:r w:rsidR="009307AA" w:rsidRPr="002A6632">
              <w:rPr>
                <w:spacing w:val="-2"/>
              </w:rPr>
              <w:t xml:space="preserve">. </w:t>
            </w:r>
            <w:bookmarkEnd w:id="15"/>
            <w:r w:rsidR="009307AA" w:rsidRPr="002A6632">
              <w:rPr>
                <w:spacing w:val="-2"/>
              </w:rPr>
              <w:t>In this model, a tariff will incentivise the import competing sector to increase their production in response to the increase in price. As a result, labour will move from the export sector (in Australia’s case</w:t>
            </w:r>
            <w:r w:rsidR="002D40D5" w:rsidRPr="002A6632">
              <w:rPr>
                <w:spacing w:val="-2"/>
              </w:rPr>
              <w:t>, a</w:t>
            </w:r>
            <w:r w:rsidR="009307AA" w:rsidRPr="002A6632">
              <w:rPr>
                <w:spacing w:val="-2"/>
              </w:rPr>
              <w:t>griculture) to the import</w:t>
            </w:r>
            <w:r w:rsidR="00591FDF" w:rsidRPr="002A6632">
              <w:rPr>
                <w:spacing w:val="-2"/>
              </w:rPr>
              <w:noBreakHyphen/>
            </w:r>
            <w:r w:rsidR="009307AA" w:rsidRPr="002A6632">
              <w:rPr>
                <w:spacing w:val="-2"/>
              </w:rPr>
              <w:t>competing sector (in Australia’s case</w:t>
            </w:r>
            <w:r w:rsidR="008A53BE" w:rsidRPr="002A6632">
              <w:rPr>
                <w:spacing w:val="-2"/>
              </w:rPr>
              <w:t>, m</w:t>
            </w:r>
            <w:r w:rsidR="009307AA" w:rsidRPr="002A6632">
              <w:rPr>
                <w:spacing w:val="-2"/>
              </w:rPr>
              <w:t>anufacturing). All else equal, owners of land used for agriculture will be worse</w:t>
            </w:r>
            <w:r w:rsidR="003E7E8D" w:rsidRPr="002A6632">
              <w:rPr>
                <w:spacing w:val="-2"/>
              </w:rPr>
              <w:noBreakHyphen/>
            </w:r>
            <w:r w:rsidR="009307AA" w:rsidRPr="002A6632">
              <w:rPr>
                <w:spacing w:val="-2"/>
              </w:rPr>
              <w:t xml:space="preserve">off after the tariff and owners of manufacturing plants better off. While the transfer of wealth from landowners to the producers of manufacturing is unambiguous, the effect on workers is unclear. </w:t>
            </w:r>
          </w:p>
          <w:p w14:paraId="2BB9B136" w14:textId="77777777" w:rsidR="009307AA" w:rsidRPr="002A6632" w:rsidRDefault="009307AA" w:rsidP="008C0291">
            <w:pPr>
              <w:pStyle w:val="Box"/>
              <w:rPr>
                <w:spacing w:val="-2"/>
              </w:rPr>
            </w:pPr>
            <w:r w:rsidRPr="002A6632">
              <w:rPr>
                <w:spacing w:val="-2"/>
              </w:rPr>
              <w:t>In response to the higher price (due to the tariff)</w:t>
            </w:r>
            <w:r w:rsidR="00326A13" w:rsidRPr="002A6632">
              <w:rPr>
                <w:spacing w:val="-2"/>
              </w:rPr>
              <w:t>,</w:t>
            </w:r>
            <w:r w:rsidRPr="002A6632">
              <w:rPr>
                <w:spacing w:val="-2"/>
              </w:rPr>
              <w:t xml:space="preserve"> the import</w:t>
            </w:r>
            <w:r w:rsidR="00326A13" w:rsidRPr="002A6632">
              <w:rPr>
                <w:spacing w:val="-2"/>
              </w:rPr>
              <w:noBreakHyphen/>
            </w:r>
            <w:r w:rsidRPr="002A6632">
              <w:rPr>
                <w:spacing w:val="-2"/>
              </w:rPr>
              <w:t>competing sector will expand production by attracting new workers through an increase in nominal wages. In response, the export sector will also increase nominal wages to remain competitive in the labour market. At face value this may seem like a direct transfer of wealth to labourers</w:t>
            </w:r>
            <w:r w:rsidR="00647653" w:rsidRPr="002A6632">
              <w:rPr>
                <w:spacing w:val="-2"/>
              </w:rPr>
              <w:t>,</w:t>
            </w:r>
            <w:r w:rsidR="004F7CDC" w:rsidRPr="002A6632">
              <w:rPr>
                <w:spacing w:val="-2"/>
              </w:rPr>
              <w:t xml:space="preserve"> (the c</w:t>
            </w:r>
            <w:r w:rsidR="002A6632" w:rsidRPr="002A6632">
              <w:rPr>
                <w:spacing w:val="-2"/>
              </w:rPr>
              <w:t xml:space="preserve">onclusion from the from Stolper </w:t>
            </w:r>
            <w:r w:rsidR="004F7CDC" w:rsidRPr="002A6632">
              <w:rPr>
                <w:spacing w:val="-2"/>
              </w:rPr>
              <w:t xml:space="preserve">Samuelson </w:t>
            </w:r>
            <w:r w:rsidR="004F7CDC" w:rsidRPr="002A6632">
              <w:rPr>
                <w:rFonts w:cs="Arial"/>
                <w:spacing w:val="-2"/>
                <w:szCs w:val="24"/>
              </w:rPr>
              <w:t>(1941)</w:t>
            </w:r>
            <w:r w:rsidR="004F7CDC" w:rsidRPr="002A6632">
              <w:rPr>
                <w:spacing w:val="-2"/>
              </w:rPr>
              <w:t xml:space="preserve"> model)</w:t>
            </w:r>
            <w:r w:rsidRPr="002A6632">
              <w:rPr>
                <w:spacing w:val="-2"/>
              </w:rPr>
              <w:t xml:space="preserve"> however, </w:t>
            </w:r>
            <w:r w:rsidR="005D2942" w:rsidRPr="002A6632">
              <w:rPr>
                <w:spacing w:val="-2"/>
              </w:rPr>
              <w:t>the specific factors model</w:t>
            </w:r>
            <w:r w:rsidRPr="002A6632">
              <w:rPr>
                <w:spacing w:val="-2"/>
              </w:rPr>
              <w:t xml:space="preserve"> differs from Stolper</w:t>
            </w:r>
            <w:r w:rsidR="002A6632">
              <w:rPr>
                <w:spacing w:val="-2"/>
              </w:rPr>
              <w:t> </w:t>
            </w:r>
            <w:r w:rsidRPr="002A6632">
              <w:rPr>
                <w:spacing w:val="-2"/>
              </w:rPr>
              <w:t xml:space="preserve">Samuelson </w:t>
            </w:r>
            <w:r w:rsidRPr="002A6632">
              <w:rPr>
                <w:rFonts w:cs="Arial"/>
                <w:spacing w:val="-2"/>
                <w:szCs w:val="24"/>
              </w:rPr>
              <w:t>(1941)</w:t>
            </w:r>
            <w:r w:rsidRPr="002A6632">
              <w:rPr>
                <w:spacing w:val="-2"/>
              </w:rPr>
              <w:t xml:space="preserve"> in </w:t>
            </w:r>
            <w:r w:rsidR="0034222D" w:rsidRPr="002A6632">
              <w:rPr>
                <w:spacing w:val="-2"/>
              </w:rPr>
              <w:t xml:space="preserve">its </w:t>
            </w:r>
            <w:r w:rsidRPr="002A6632">
              <w:rPr>
                <w:spacing w:val="-2"/>
              </w:rPr>
              <w:t xml:space="preserve">interpretation of the real wage impact. Namely, that in the latter real wages unambiguously go up after the tariff whereas in the former real wages may go up or down depending on the degree to which tariffs increase the price of manufactured goods and how </w:t>
            </w:r>
            <w:r w:rsidR="008E5656" w:rsidRPr="002A6632">
              <w:rPr>
                <w:spacing w:val="-2"/>
              </w:rPr>
              <w:t xml:space="preserve">often </w:t>
            </w:r>
            <w:r w:rsidRPr="002A6632">
              <w:rPr>
                <w:spacing w:val="-2"/>
              </w:rPr>
              <w:t xml:space="preserve">workers consume them. All else equal, according to </w:t>
            </w:r>
            <w:r w:rsidR="0034222D" w:rsidRPr="002A6632">
              <w:rPr>
                <w:spacing w:val="-2"/>
              </w:rPr>
              <w:t>the specific factors model</w:t>
            </w:r>
            <w:r w:rsidRPr="002A6632">
              <w:rPr>
                <w:spacing w:val="-2"/>
              </w:rPr>
              <w:t xml:space="preserve"> whether workers are better or worse off after the tariff depends on their consumption bundle, the more manufactured goods they consume the more likely their real wages will fall after a tariff.</w:t>
            </w:r>
          </w:p>
          <w:p w14:paraId="0DD01C85" w14:textId="77777777" w:rsidR="009307AA" w:rsidRDefault="009307AA" w:rsidP="008C0291">
            <w:pPr>
              <w:pStyle w:val="Box"/>
            </w:pPr>
            <w:r>
              <w:t xml:space="preserve">Ultimately, tariffs will redistribute wealth, but assessing general equilibrium effects depends on many factors, including the model used. An early review of tariffs by the Brigden Committee in 1929 concluded that they would result in a transfer of income from landowners to the labour force but later work from Dixon et al </w:t>
            </w:r>
            <w:r w:rsidRPr="00080FC9">
              <w:rPr>
                <w:rFonts w:cs="Arial"/>
                <w:szCs w:val="24"/>
              </w:rPr>
              <w:t>(1982)</w:t>
            </w:r>
            <w:r>
              <w:t xml:space="preserve"> disagreed, finding that transfers would impact high and low skilled workers differently and perhaps even negatively </w:t>
            </w:r>
            <w:r w:rsidRPr="00696DB8">
              <w:rPr>
                <w:szCs w:val="24"/>
              </w:rPr>
              <w:t>(Australia. Committee on Economic Effects of the Tariff 1929)</w:t>
            </w:r>
            <w:r>
              <w:t xml:space="preserve">. </w:t>
            </w:r>
          </w:p>
          <w:p w14:paraId="03E2D1C4" w14:textId="77777777" w:rsidR="009307AA" w:rsidRDefault="009307AA" w:rsidP="008C0291">
            <w:pPr>
              <w:pStyle w:val="Box"/>
            </w:pPr>
            <w:r>
              <w:t xml:space="preserve">The question of whether workers, in all industries, consumed </w:t>
            </w:r>
            <w:r w:rsidR="005D2942">
              <w:t>enough</w:t>
            </w:r>
            <w:r>
              <w:t xml:space="preserve"> manufactured goods to negate their income gains from protectionism is beyond the scope of this paper. But even if one accepts the argument </w:t>
            </w:r>
            <w:r w:rsidR="007D2EB5">
              <w:t>that</w:t>
            </w:r>
            <w:r>
              <w:t xml:space="preserve"> the redistributive effect was primarily from capital owners in primary production towards workers in all industries, it is unclear that is will always be redistributing from the top end of the income distribution towards the lower end. The fortunes of primary production were highly volatile and dependent on both international prices and domestic weather conditions. In times of prosperity, such as the terms of trade boom in the 1950s, the redistributive effects would have likely been equitable but during less favourable periods, for example the drought in 1895 to 1903, the effect would have less equitable. </w:t>
            </w:r>
          </w:p>
          <w:p w14:paraId="2F960F91" w14:textId="77777777" w:rsidR="009307AA" w:rsidRDefault="009307AA" w:rsidP="008C0291">
            <w:pPr>
              <w:pStyle w:val="Box"/>
            </w:pPr>
            <w:r>
              <w:t xml:space="preserve">In acknowledgement of this complicating factor, protectionism was sometimes also extended to agriculture </w:t>
            </w:r>
            <w:r w:rsidRPr="00FC26CE">
              <w:rPr>
                <w:rFonts w:cs="Arial"/>
                <w:szCs w:val="24"/>
              </w:rPr>
              <w:t>(McLean 2013)</w:t>
            </w:r>
            <w:r>
              <w:t xml:space="preserve">. But this resulted in a shell game where one tariff redistributes from farmers and miners to manufacturers while another tariff redistributes from manufacturers and miners back to farmers. And these tariffs were often maintained even after the agricultural sector had recovered, diminishing the effect of the manufacturing tariffs. </w:t>
            </w:r>
          </w:p>
        </w:tc>
      </w:tr>
      <w:tr w:rsidR="009307AA" w14:paraId="137794FD" w14:textId="77777777" w:rsidTr="008C0291">
        <w:tc>
          <w:tcPr>
            <w:tcW w:w="5000" w:type="pct"/>
            <w:tcBorders>
              <w:top w:val="nil"/>
              <w:left w:val="nil"/>
              <w:bottom w:val="single" w:sz="6" w:space="0" w:color="78A22F"/>
              <w:right w:val="nil"/>
            </w:tcBorders>
            <w:shd w:val="clear" w:color="auto" w:fill="F2F2F2"/>
          </w:tcPr>
          <w:p w14:paraId="6B7F734F" w14:textId="77777777" w:rsidR="009307AA" w:rsidRDefault="009307AA" w:rsidP="008C0291">
            <w:pPr>
              <w:pStyle w:val="Box"/>
              <w:spacing w:before="0" w:line="120" w:lineRule="exact"/>
            </w:pPr>
          </w:p>
        </w:tc>
      </w:tr>
      <w:tr w:rsidR="009307AA" w:rsidRPr="000863A5" w14:paraId="7DF0D941" w14:textId="77777777" w:rsidTr="008C0291">
        <w:tc>
          <w:tcPr>
            <w:tcW w:w="5000" w:type="pct"/>
            <w:tcBorders>
              <w:top w:val="single" w:sz="6" w:space="0" w:color="78A22F"/>
              <w:left w:val="nil"/>
              <w:bottom w:val="nil"/>
              <w:right w:val="nil"/>
            </w:tcBorders>
          </w:tcPr>
          <w:p w14:paraId="6D9B67FA" w14:textId="77777777" w:rsidR="009307AA" w:rsidRPr="00626D32" w:rsidRDefault="009307AA" w:rsidP="008C0291">
            <w:pPr>
              <w:pStyle w:val="BoxSpaceBelow"/>
            </w:pPr>
          </w:p>
        </w:tc>
      </w:tr>
    </w:tbl>
    <w:p w14:paraId="1BCB8123" w14:textId="77777777" w:rsidR="00B51FE5" w:rsidRPr="00F111EA" w:rsidRDefault="00B51FE5" w:rsidP="00B51FE5">
      <w:pPr>
        <w:pStyle w:val="BodyText"/>
        <w:rPr>
          <w:spacing w:val="-4"/>
        </w:rPr>
      </w:pPr>
      <w:bookmarkStart w:id="16" w:name="_Toc56436176"/>
      <w:r w:rsidRPr="00F111EA">
        <w:rPr>
          <w:spacing w:val="-4"/>
        </w:rPr>
        <w:t xml:space="preserve">In summary, the theoretical redistributive effects of protectionism are complex and depend on the level, and targets of protection as well as the consumption preferences of workers. And the limited empirical evidence does not show a very significant effect in the Australian context. Ultimately, if tariff protection did have its intended effects on income distribution (taking from </w:t>
      </w:r>
      <w:r w:rsidRPr="00F111EA">
        <w:rPr>
          <w:spacing w:val="-4"/>
        </w:rPr>
        <w:lastRenderedPageBreak/>
        <w:t>land owning primary producers and giving to workers) it was likely still a second-best policy option compared to the policy options available today. It is only in the circumstances of the early Twentieth Century, with its more limited and constrained governments, that protectionism could be a plausible strategy for redistribution (though its actual effects are unclear).</w:t>
      </w:r>
    </w:p>
    <w:p w14:paraId="6925CC31" w14:textId="77777777" w:rsidR="00CC24E5" w:rsidRDefault="00C13E67" w:rsidP="004335E2">
      <w:pPr>
        <w:pStyle w:val="Heading2"/>
      </w:pPr>
      <w:r>
        <w:t>Building a nation</w:t>
      </w:r>
      <w:r w:rsidR="00370B0A">
        <w:t>: protectionism and extensive growth</w:t>
      </w:r>
      <w:bookmarkEnd w:id="16"/>
    </w:p>
    <w:p w14:paraId="6A1761A5" w14:textId="77777777" w:rsidR="00FB017A" w:rsidRDefault="00FB017A" w:rsidP="00FB017A">
      <w:pPr>
        <w:pStyle w:val="BodyText"/>
      </w:pPr>
      <w:r>
        <w:t xml:space="preserve">Early Australian policy makers were concerned with </w:t>
      </w:r>
      <w:r w:rsidR="00C30669">
        <w:t>‘nation</w:t>
      </w:r>
      <w:r w:rsidR="00FD7D43">
        <w:t xml:space="preserve"> </w:t>
      </w:r>
      <w:r w:rsidR="00C30669">
        <w:t xml:space="preserve">building’ </w:t>
      </w:r>
      <w:r w:rsidR="00022A55">
        <w:t>—</w:t>
      </w:r>
      <w:r w:rsidR="00C30669">
        <w:t xml:space="preserve"> </w:t>
      </w:r>
      <w:r w:rsidR="00BD2FB2">
        <w:t>attracting</w:t>
      </w:r>
      <w:r w:rsidR="00C30669">
        <w:t xml:space="preserve"> migrants and foreign direct investment </w:t>
      </w:r>
      <w:r w:rsidR="00B0050A">
        <w:t>(FDI)</w:t>
      </w:r>
      <w:r w:rsidR="00C30669">
        <w:t xml:space="preserve"> to </w:t>
      </w:r>
      <w:r w:rsidR="003337A7">
        <w:t>rapidly grow</w:t>
      </w:r>
      <w:r w:rsidR="003400B5">
        <w:t xml:space="preserve"> the population</w:t>
      </w:r>
      <w:r w:rsidR="003337A7">
        <w:t xml:space="preserve"> and </w:t>
      </w:r>
      <w:r w:rsidR="00193B3F">
        <w:t xml:space="preserve">build </w:t>
      </w:r>
      <w:r w:rsidR="003337A7">
        <w:t>up</w:t>
      </w:r>
      <w:r w:rsidR="00193B3F">
        <w:t xml:space="preserve"> </w:t>
      </w:r>
      <w:r w:rsidR="003400B5">
        <w:t>infrastructure</w:t>
      </w:r>
      <w:r w:rsidR="00BD2FB2">
        <w:t xml:space="preserve">. As discussed in the main </w:t>
      </w:r>
      <w:r w:rsidR="003337A7">
        <w:t>document</w:t>
      </w:r>
      <w:r w:rsidR="00BD2FB2">
        <w:t xml:space="preserve">, </w:t>
      </w:r>
      <w:r w:rsidR="003362E5">
        <w:t>this</w:t>
      </w:r>
      <w:r w:rsidR="00BD2FB2">
        <w:t xml:space="preserve"> was </w:t>
      </w:r>
      <w:r w:rsidR="003362E5">
        <w:t xml:space="preserve">partially </w:t>
      </w:r>
      <w:r w:rsidR="00BD2FB2">
        <w:t xml:space="preserve">a </w:t>
      </w:r>
      <w:r w:rsidR="003362E5">
        <w:t>strategy of national defence</w:t>
      </w:r>
      <w:r w:rsidR="003337A7">
        <w:t xml:space="preserve">. </w:t>
      </w:r>
      <w:r w:rsidR="008C7BA5">
        <w:t xml:space="preserve">The familiar post-war </w:t>
      </w:r>
      <w:r w:rsidR="00C2552B">
        <w:t>slogan</w:t>
      </w:r>
      <w:r w:rsidR="008C7BA5">
        <w:t xml:space="preserve"> </w:t>
      </w:r>
      <w:r w:rsidR="00B40C41">
        <w:t>‘</w:t>
      </w:r>
      <w:r w:rsidR="008C7BA5">
        <w:t>p</w:t>
      </w:r>
      <w:r w:rsidR="00B40C41">
        <w:t xml:space="preserve">opulate or perish’ </w:t>
      </w:r>
      <w:r w:rsidR="008C7BA5">
        <w:t xml:space="preserve">sums up the logic. </w:t>
      </w:r>
      <w:r w:rsidR="00A04EA3">
        <w:t>By becoming a larger, more formidable country, Australia stood a better chance at surviving in a</w:t>
      </w:r>
      <w:r w:rsidR="00163BDF">
        <w:t xml:space="preserve">n increasingly hostile </w:t>
      </w:r>
      <w:r w:rsidR="000074F4">
        <w:t xml:space="preserve">international environment. </w:t>
      </w:r>
    </w:p>
    <w:p w14:paraId="1E09DBB9" w14:textId="77777777" w:rsidR="00981821" w:rsidRDefault="00524115" w:rsidP="00FB017A">
      <w:pPr>
        <w:pStyle w:val="BodyText"/>
      </w:pPr>
      <w:r>
        <w:t xml:space="preserve">While </w:t>
      </w:r>
      <w:r w:rsidR="00C2552B">
        <w:t>a</w:t>
      </w:r>
      <w:r>
        <w:t xml:space="preserve"> raft of</w:t>
      </w:r>
      <w:r w:rsidR="00C2552B">
        <w:t xml:space="preserve"> policies</w:t>
      </w:r>
      <w:r>
        <w:t xml:space="preserve"> </w:t>
      </w:r>
      <w:r w:rsidR="00B0050A">
        <w:t>could variously be described as nation</w:t>
      </w:r>
      <w:r w:rsidR="009F6D35">
        <w:t xml:space="preserve"> </w:t>
      </w:r>
      <w:r w:rsidR="00B0050A">
        <w:t xml:space="preserve">building, this section only focuses on the protectionism that </w:t>
      </w:r>
      <w:r w:rsidR="002831E8">
        <w:t>was</w:t>
      </w:r>
      <w:r w:rsidR="00B0050A">
        <w:t xml:space="preserve"> thought to promote migration and FDI. </w:t>
      </w:r>
    </w:p>
    <w:p w14:paraId="7B3F0771" w14:textId="77777777" w:rsidR="00C13E67" w:rsidRDefault="00C13E67" w:rsidP="00D324E2">
      <w:pPr>
        <w:pStyle w:val="Heading3"/>
        <w:spacing w:before="280"/>
      </w:pPr>
      <w:r>
        <w:t xml:space="preserve">Intensive vs extensive growth </w:t>
      </w:r>
      <w:r w:rsidR="00760340">
        <w:t>and other</w:t>
      </w:r>
      <w:r>
        <w:t xml:space="preserve"> </w:t>
      </w:r>
      <w:r w:rsidR="0074606E">
        <w:t>constraints</w:t>
      </w:r>
    </w:p>
    <w:p w14:paraId="3C0D85F1" w14:textId="77777777" w:rsidR="00B0050A" w:rsidRDefault="005845DB" w:rsidP="00C13E67">
      <w:pPr>
        <w:pStyle w:val="BodyText"/>
      </w:pPr>
      <w:r>
        <w:t xml:space="preserve">Policymakers in early </w:t>
      </w:r>
      <w:r w:rsidR="005C1936">
        <w:t>Australia</w:t>
      </w:r>
      <w:r>
        <w:t>, as now, faced trade</w:t>
      </w:r>
      <w:r>
        <w:noBreakHyphen/>
        <w:t>off</w:t>
      </w:r>
      <w:r w:rsidR="00A5760E">
        <w:t>s</w:t>
      </w:r>
      <w:r>
        <w:t xml:space="preserve"> between intensive (</w:t>
      </w:r>
      <w:r w:rsidR="00386206">
        <w:t>productivity</w:t>
      </w:r>
      <w:r w:rsidR="009951FE">
        <w:noBreakHyphen/>
      </w:r>
      <w:r w:rsidR="00386206">
        <w:t>driven</w:t>
      </w:r>
      <w:r>
        <w:t>) growth and extensive (</w:t>
      </w:r>
      <w:r w:rsidR="00386206">
        <w:t>input</w:t>
      </w:r>
      <w:r w:rsidR="009951FE">
        <w:noBreakHyphen/>
      </w:r>
      <w:r w:rsidR="00386206">
        <w:t>driven</w:t>
      </w:r>
      <w:r>
        <w:t>) growth</w:t>
      </w:r>
      <w:r w:rsidR="00B76B0C">
        <w:t>.</w:t>
      </w:r>
      <w:r>
        <w:t xml:space="preserve"> </w:t>
      </w:r>
      <w:r w:rsidR="00A64F95">
        <w:t xml:space="preserve">There are numerous modern examples </w:t>
      </w:r>
      <w:r w:rsidR="002831E8">
        <w:t xml:space="preserve">of </w:t>
      </w:r>
      <w:r w:rsidR="00B76B0C">
        <w:t>this</w:t>
      </w:r>
      <w:r w:rsidR="00A64F95">
        <w:t xml:space="preserve"> trade</w:t>
      </w:r>
      <w:r w:rsidR="00A64F95">
        <w:noBreakHyphen/>
        <w:t>off</w:t>
      </w:r>
      <w:r w:rsidR="00A5760E">
        <w:t>:</w:t>
      </w:r>
      <w:r w:rsidR="00A64F95">
        <w:t xml:space="preserve"> </w:t>
      </w:r>
      <w:r w:rsidR="00A5760E">
        <w:t>m</w:t>
      </w:r>
      <w:r w:rsidR="004E4253">
        <w:t xml:space="preserve">assively increasing Australia’s intake of </w:t>
      </w:r>
      <w:r>
        <w:t>low</w:t>
      </w:r>
      <w:r>
        <w:noBreakHyphen/>
        <w:t xml:space="preserve">skilled migrants </w:t>
      </w:r>
      <w:r w:rsidR="00C7058A">
        <w:t xml:space="preserve">would increase total GDP but may </w:t>
      </w:r>
      <w:r w:rsidR="00A5760E">
        <w:t>lower</w:t>
      </w:r>
      <w:r w:rsidR="00C7058A">
        <w:t xml:space="preserve"> </w:t>
      </w:r>
      <w:r w:rsidR="00386206">
        <w:t>average productivity or even GDP per capita</w:t>
      </w:r>
      <w:r w:rsidR="00C7058A">
        <w:t xml:space="preserve">. </w:t>
      </w:r>
      <w:r w:rsidR="00386206">
        <w:t>Likewise, a</w:t>
      </w:r>
      <w:r w:rsidR="00386206" w:rsidDel="00F04EF3">
        <w:t xml:space="preserve"> </w:t>
      </w:r>
      <w:r w:rsidR="00F04EF3">
        <w:t xml:space="preserve">large </w:t>
      </w:r>
      <w:r w:rsidR="00386206">
        <w:t xml:space="preserve">increase in FDI due to </w:t>
      </w:r>
      <w:r w:rsidR="00CE7C96">
        <w:t xml:space="preserve">some regulatory change </w:t>
      </w:r>
      <w:r w:rsidR="0093173B">
        <w:t>would increase the capital stock but not necessarily result in capita</w:t>
      </w:r>
      <w:r w:rsidR="005C1936">
        <w:t>l</w:t>
      </w:r>
      <w:r w:rsidR="0093173B">
        <w:t xml:space="preserve"> being used more efficiently. </w:t>
      </w:r>
    </w:p>
    <w:p w14:paraId="6DD84D2F" w14:textId="77777777" w:rsidR="00AB690F" w:rsidRDefault="00AB690F" w:rsidP="00C13E67">
      <w:pPr>
        <w:pStyle w:val="BodyText"/>
      </w:pPr>
      <w:r>
        <w:t xml:space="preserve">In the late Nineteen and early Twentieth Century, </w:t>
      </w:r>
      <w:r w:rsidR="007338BB">
        <w:t>a</w:t>
      </w:r>
      <w:r>
        <w:t xml:space="preserve"> trade</w:t>
      </w:r>
      <w:r>
        <w:noBreakHyphen/>
        <w:t xml:space="preserve">off </w:t>
      </w:r>
      <w:r w:rsidR="00246DD6">
        <w:t xml:space="preserve">existed </w:t>
      </w:r>
      <w:r>
        <w:t>between extensive and intensive growth</w:t>
      </w:r>
      <w:r w:rsidR="00246DD6">
        <w:t xml:space="preserve">. Namely, </w:t>
      </w:r>
      <w:r>
        <w:t xml:space="preserve">the </w:t>
      </w:r>
      <w:r w:rsidR="007338BB">
        <w:t>desire</w:t>
      </w:r>
      <w:r>
        <w:t xml:space="preserve"> to increase population growth to the maximum extent </w:t>
      </w:r>
      <w:r w:rsidR="007338BB">
        <w:t>but to also maintain</w:t>
      </w:r>
      <w:r>
        <w:t xml:space="preserve"> real wages. </w:t>
      </w:r>
      <w:r w:rsidR="005C1936">
        <w:t xml:space="preserve">This was a key constraint that formed </w:t>
      </w:r>
      <w:r w:rsidR="002C166E">
        <w:t xml:space="preserve">the basis </w:t>
      </w:r>
      <w:r w:rsidR="007338BB">
        <w:t>of</w:t>
      </w:r>
      <w:r w:rsidR="002C166E">
        <w:t xml:space="preserve"> discussions about migration </w:t>
      </w:r>
      <w:r w:rsidR="002C166E" w:rsidRPr="002C166E">
        <w:rPr>
          <w:szCs w:val="24"/>
        </w:rPr>
        <w:t>(McLean 2013, p. 156)</w:t>
      </w:r>
      <w:r w:rsidR="002C166E">
        <w:t xml:space="preserve">. High wages also came to </w:t>
      </w:r>
      <w:r w:rsidR="002C166E" w:rsidDel="00F04EF3">
        <w:t>be</w:t>
      </w:r>
      <w:r w:rsidR="002C166E">
        <w:t xml:space="preserve"> a principal method of </w:t>
      </w:r>
      <w:r w:rsidR="002C166E" w:rsidRPr="002C166E">
        <w:t>attracting</w:t>
      </w:r>
      <w:r w:rsidR="002C166E">
        <w:t xml:space="preserve"> migrants. </w:t>
      </w:r>
    </w:p>
    <w:p w14:paraId="1E15EDBA" w14:textId="77777777" w:rsidR="002E13B7" w:rsidRDefault="00AA24EF" w:rsidP="00C13E67">
      <w:pPr>
        <w:pStyle w:val="BodyText"/>
      </w:pPr>
      <w:r>
        <w:t xml:space="preserve">Policymakers also had </w:t>
      </w:r>
      <w:r w:rsidR="00475242">
        <w:t>self-imposed</w:t>
      </w:r>
      <w:r>
        <w:t xml:space="preserve"> constraints on migration. As </w:t>
      </w:r>
      <w:r w:rsidR="0048768D">
        <w:t>Dyster and Meredith</w:t>
      </w:r>
      <w:r>
        <w:t xml:space="preserve"> explains:</w:t>
      </w:r>
    </w:p>
    <w:p w14:paraId="4A4DB08B" w14:textId="77777777" w:rsidR="00AA24EF" w:rsidRDefault="00F31D21" w:rsidP="00475242">
      <w:pPr>
        <w:pStyle w:val="Quote"/>
      </w:pPr>
      <w:r>
        <w:t>The first legislative initiative of the newly formed Commonwealth in 1901 was to codify Australia’s immigration laws. …</w:t>
      </w:r>
    </w:p>
    <w:p w14:paraId="217A9246" w14:textId="77777777" w:rsidR="00F31D21" w:rsidRDefault="00806275" w:rsidP="00475242">
      <w:pPr>
        <w:pStyle w:val="Quote"/>
      </w:pPr>
      <w:r>
        <w:t>The objective of the policy was to maximise immigration from Britain and Ireland, but to restrict or prohibit immigration from elsewhere. With only minor modifications, this remained the basis of Australia’s immigration policy until 1973.</w:t>
      </w:r>
      <w:r w:rsidR="006C74B4">
        <w:t xml:space="preserve"> </w:t>
      </w:r>
      <w:r w:rsidR="006C74B4" w:rsidRPr="006C74B4">
        <w:rPr>
          <w:szCs w:val="24"/>
        </w:rPr>
        <w:t>(2012, p. 16)</w:t>
      </w:r>
    </w:p>
    <w:p w14:paraId="764A4FBC" w14:textId="77777777" w:rsidR="00475242" w:rsidRPr="00F07927" w:rsidRDefault="00475242" w:rsidP="00475242">
      <w:pPr>
        <w:pStyle w:val="BodyText"/>
        <w:rPr>
          <w:spacing w:val="-2"/>
        </w:rPr>
      </w:pPr>
      <w:r w:rsidRPr="00F07927">
        <w:rPr>
          <w:spacing w:val="-2"/>
        </w:rPr>
        <w:t xml:space="preserve">By </w:t>
      </w:r>
      <w:r w:rsidR="00686828" w:rsidRPr="00F07927">
        <w:rPr>
          <w:spacing w:val="-2"/>
        </w:rPr>
        <w:t xml:space="preserve">restricting migrants to those </w:t>
      </w:r>
      <w:r w:rsidR="00AF7F94" w:rsidRPr="00F07927">
        <w:rPr>
          <w:spacing w:val="-2"/>
        </w:rPr>
        <w:t>of European descent</w:t>
      </w:r>
      <w:r w:rsidR="00F72B2C" w:rsidRPr="00F07927">
        <w:rPr>
          <w:spacing w:val="-2"/>
        </w:rPr>
        <w:t>, policymakers greatly restricted the potential flow of new migrants</w:t>
      </w:r>
      <w:r w:rsidR="00F54461" w:rsidRPr="00F07927">
        <w:rPr>
          <w:spacing w:val="-2"/>
        </w:rPr>
        <w:t xml:space="preserve">. </w:t>
      </w:r>
      <w:r w:rsidR="00F72B2C" w:rsidRPr="00F07927">
        <w:rPr>
          <w:spacing w:val="-2"/>
        </w:rPr>
        <w:t xml:space="preserve">Given this constraint, it is unsurprising that </w:t>
      </w:r>
      <w:r w:rsidR="00384277" w:rsidRPr="00F07927">
        <w:rPr>
          <w:spacing w:val="-2"/>
        </w:rPr>
        <w:t xml:space="preserve">policymakers </w:t>
      </w:r>
      <w:r w:rsidR="0055448D" w:rsidRPr="00F07927">
        <w:rPr>
          <w:spacing w:val="-2"/>
        </w:rPr>
        <w:t>came to believe</w:t>
      </w:r>
      <w:r w:rsidR="00384277" w:rsidRPr="00F07927">
        <w:rPr>
          <w:spacing w:val="-2"/>
        </w:rPr>
        <w:t xml:space="preserve"> that </w:t>
      </w:r>
      <w:r w:rsidR="00EA643A" w:rsidRPr="00F07927">
        <w:rPr>
          <w:spacing w:val="-2"/>
        </w:rPr>
        <w:t>high wage employment</w:t>
      </w:r>
      <w:r w:rsidR="00FD3675" w:rsidRPr="00F07927">
        <w:rPr>
          <w:spacing w:val="-2"/>
        </w:rPr>
        <w:t xml:space="preserve"> and other incentives</w:t>
      </w:r>
      <w:r w:rsidR="00EA643A" w:rsidRPr="00F07927">
        <w:rPr>
          <w:spacing w:val="-2"/>
        </w:rPr>
        <w:t xml:space="preserve"> </w:t>
      </w:r>
      <w:r w:rsidR="00FD3675" w:rsidRPr="00F07927">
        <w:rPr>
          <w:spacing w:val="-2"/>
        </w:rPr>
        <w:t>were</w:t>
      </w:r>
      <w:r w:rsidR="00EA643A" w:rsidRPr="00F07927">
        <w:rPr>
          <w:spacing w:val="-2"/>
        </w:rPr>
        <w:t xml:space="preserve"> necessary </w:t>
      </w:r>
      <w:r w:rsidR="0055448D" w:rsidRPr="00F07927">
        <w:rPr>
          <w:spacing w:val="-2"/>
        </w:rPr>
        <w:t>to attract migrants.</w:t>
      </w:r>
    </w:p>
    <w:p w14:paraId="1BE1C401" w14:textId="77777777" w:rsidR="00734428" w:rsidRDefault="00D324E2" w:rsidP="00D324E2">
      <w:pPr>
        <w:pStyle w:val="Heading3"/>
      </w:pPr>
      <w:r>
        <w:lastRenderedPageBreak/>
        <w:t xml:space="preserve">Tariffs to attract </w:t>
      </w:r>
      <w:r w:rsidR="008B2135">
        <w:t>migrants</w:t>
      </w:r>
    </w:p>
    <w:p w14:paraId="3F2912A3" w14:textId="77777777" w:rsidR="00AB690F" w:rsidRDefault="003A4E37" w:rsidP="00C13E67">
      <w:pPr>
        <w:pStyle w:val="BodyText"/>
      </w:pPr>
      <w:r>
        <w:t>Australia has always been dependent on migration fo</w:t>
      </w:r>
      <w:r w:rsidR="00DC4747">
        <w:t>r much of its population growth.</w:t>
      </w:r>
      <w:r>
        <w:t xml:space="preserve"> </w:t>
      </w:r>
      <w:r w:rsidR="00DC4747">
        <w:t>B</w:t>
      </w:r>
      <w:r>
        <w:t>ut during various parts of the early Twentieth Century (especially after Federation and the Great Depression), migration fell to historically low levels (figure </w:t>
      </w:r>
      <w:r w:rsidR="00A826AC">
        <w:t>D</w:t>
      </w:r>
      <w:r w:rsidR="007338BB">
        <w:t>.2</w:t>
      </w:r>
      <w:r>
        <w:t xml:space="preserve">). </w:t>
      </w:r>
      <w:r w:rsidR="00DC4747">
        <w:t xml:space="preserve">Governments tried a variety of </w:t>
      </w:r>
      <w:r w:rsidR="00A92BDF">
        <w:t>policies to raise migration including subsidising passage over</w:t>
      </w:r>
      <w:r w:rsidR="00AB690F">
        <w:t xml:space="preserve"> from Europe and subsidies for setting up farms and infrastructure </w:t>
      </w:r>
      <w:r w:rsidR="002C166E" w:rsidRPr="002C166E">
        <w:rPr>
          <w:szCs w:val="24"/>
        </w:rPr>
        <w:t>(McLean 2013, p. 154)</w:t>
      </w:r>
      <w:r w:rsidR="00A92BDF">
        <w:t>.</w:t>
      </w:r>
      <w:r w:rsidR="00E4701B">
        <w:t xml:space="preserve"> But as the migration situation worsened, governments increasing turned to protectionism </w:t>
      </w:r>
      <w:r w:rsidR="00F04EF3">
        <w:t>to</w:t>
      </w:r>
      <w:r w:rsidR="00E4701B">
        <w:t xml:space="preserve"> promote migration. </w:t>
      </w:r>
    </w:p>
    <w:p w14:paraId="25BCBA81" w14:textId="77777777" w:rsidR="003C7B2E" w:rsidRDefault="003C7B2E" w:rsidP="004522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C7B2E" w14:paraId="2BFFF3D8" w14:textId="77777777" w:rsidTr="00452205">
        <w:trPr>
          <w:tblHeader/>
        </w:trPr>
        <w:tc>
          <w:tcPr>
            <w:tcW w:w="5000" w:type="pct"/>
            <w:tcBorders>
              <w:top w:val="single" w:sz="6" w:space="0" w:color="78A22F"/>
              <w:left w:val="nil"/>
              <w:bottom w:val="nil"/>
              <w:right w:val="nil"/>
            </w:tcBorders>
            <w:shd w:val="clear" w:color="auto" w:fill="auto"/>
          </w:tcPr>
          <w:p w14:paraId="544B9EAF" w14:textId="77777777" w:rsidR="003C7B2E" w:rsidRPr="00260E3D" w:rsidRDefault="003C7B2E" w:rsidP="00452205">
            <w:pPr>
              <w:pStyle w:val="FigureTitle"/>
              <w:rPr>
                <w:spacing w:val="-8"/>
                <w:sz w:val="24"/>
                <w:szCs w:val="24"/>
              </w:rPr>
            </w:pPr>
            <w:r w:rsidRPr="00260E3D">
              <w:rPr>
                <w:b w:val="0"/>
                <w:spacing w:val="-8"/>
                <w:sz w:val="24"/>
                <w:szCs w:val="24"/>
              </w:rPr>
              <w:t xml:space="preserve">Figure </w:t>
            </w:r>
            <w:r w:rsidR="00A826AC" w:rsidRPr="00260E3D">
              <w:rPr>
                <w:b w:val="0"/>
                <w:spacing w:val="-8"/>
                <w:sz w:val="24"/>
                <w:szCs w:val="24"/>
              </w:rPr>
              <w:t>D</w:t>
            </w:r>
            <w:r w:rsidR="000E368A" w:rsidRPr="00260E3D">
              <w:rPr>
                <w:b w:val="0"/>
                <w:spacing w:val="-8"/>
                <w:sz w:val="24"/>
                <w:szCs w:val="24"/>
              </w:rPr>
              <w:t>.2</w:t>
            </w:r>
            <w:r w:rsidRPr="00260E3D">
              <w:rPr>
                <w:spacing w:val="-8"/>
                <w:sz w:val="24"/>
                <w:szCs w:val="24"/>
              </w:rPr>
              <w:tab/>
              <w:t>Migration fell significantly for much of the early Twentieth Century</w:t>
            </w:r>
          </w:p>
          <w:p w14:paraId="741385C6" w14:textId="77777777" w:rsidR="003C7B2E" w:rsidRPr="00176D3F" w:rsidRDefault="005C26E1" w:rsidP="005C26E1">
            <w:pPr>
              <w:pStyle w:val="Ntoela"/>
            </w:pPr>
            <w:r>
              <w:t>Migrants as a proportion of ten</w:t>
            </w:r>
            <w:r w:rsidR="000D5F67">
              <w:t>-</w:t>
            </w:r>
            <w:r>
              <w:t>year total population growth</w:t>
            </w:r>
            <w:r w:rsidRPr="005C26E1">
              <w:rPr>
                <w:rStyle w:val="NoteLabel"/>
              </w:rPr>
              <w:t>a</w:t>
            </w:r>
            <w:r w:rsidR="00662819">
              <w:rPr>
                <w:rStyle w:val="NoteLabel"/>
              </w:rPr>
              <w:t xml:space="preserve"> </w:t>
            </w:r>
            <w:r w:rsidR="00662819" w:rsidRPr="00662819">
              <w:rPr>
                <w:rStyle w:val="SubtitleChar"/>
              </w:rPr>
              <w:t>from 1870 to 2015</w:t>
            </w:r>
          </w:p>
        </w:tc>
      </w:tr>
      <w:tr w:rsidR="003C7B2E" w14:paraId="3DCEA3FA" w14:textId="77777777" w:rsidTr="0045220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C7B2E" w:rsidRPr="00B1465D" w14:paraId="7BF9FBFF" w14:textId="77777777" w:rsidTr="00452205">
              <w:trPr>
                <w:tblHeader/>
                <w:jc w:val="center"/>
              </w:trPr>
              <w:tc>
                <w:tcPr>
                  <w:tcW w:w="5000" w:type="pct"/>
                  <w:tcBorders>
                    <w:top w:val="nil"/>
                    <w:bottom w:val="nil"/>
                  </w:tcBorders>
                </w:tcPr>
                <w:p w14:paraId="153A6323" w14:textId="77777777" w:rsidR="003C7B2E" w:rsidRPr="00B1465D" w:rsidRDefault="003C7B2E" w:rsidP="00452205">
                  <w:pPr>
                    <w:pStyle w:val="Figure"/>
                    <w:spacing w:before="60" w:after="60"/>
                    <w:rPr>
                      <w:rFonts w:ascii="Arial" w:hAnsi="Arial" w:cs="Arial"/>
                      <w:sz w:val="18"/>
                      <w:szCs w:val="18"/>
                    </w:rPr>
                  </w:pPr>
                  <w:r w:rsidRPr="003C7B2E">
                    <w:rPr>
                      <w:rFonts w:ascii="Arial" w:hAnsi="Arial" w:cs="Arial"/>
                      <w:noProof/>
                      <w:sz w:val="18"/>
                      <w:szCs w:val="18"/>
                    </w:rPr>
                    <w:drawing>
                      <wp:inline distT="0" distB="0" distL="0" distR="0" wp14:anchorId="1A2B9CD6" wp14:editId="162C75CB">
                        <wp:extent cx="5400675" cy="2876550"/>
                        <wp:effectExtent l="0" t="0" r="9525" b="0"/>
                        <wp:docPr id="5" name="Picture 5" descr="This chart shows the proportion of the ten-year moving average population growth that is supplied by migrants between 1870 and 2015. Migration has generally accounted for between 30 to 50 per cent of total population growth over this period, but during (and for a short term after) economic crises such as between 1890 and 1900, and between 1930 and 1950, migration has typically fall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chart shows the proportion of the ten-year moving average population growth that is supplied by migrants between 1870 and 2015. Migration has generally accounted for between 30 to 50 per cent of total population growth over this period, but during (and for a short term after) economic crises such as between 1890 and 1900, and between 1930 and 1950, migration has typically fallen.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40454E03" w14:textId="77777777" w:rsidR="003C7B2E" w:rsidRDefault="003C7B2E" w:rsidP="00452205">
            <w:pPr>
              <w:pStyle w:val="Figure"/>
            </w:pPr>
          </w:p>
        </w:tc>
      </w:tr>
      <w:tr w:rsidR="003C7B2E" w:rsidRPr="00176D3F" w14:paraId="28C7FA36" w14:textId="77777777" w:rsidTr="00452205">
        <w:tc>
          <w:tcPr>
            <w:tcW w:w="5000" w:type="pct"/>
            <w:tcBorders>
              <w:top w:val="nil"/>
              <w:left w:val="nil"/>
              <w:bottom w:val="nil"/>
              <w:right w:val="nil"/>
            </w:tcBorders>
            <w:shd w:val="clear" w:color="auto" w:fill="auto"/>
          </w:tcPr>
          <w:p w14:paraId="3B759453" w14:textId="77777777" w:rsidR="003C7B2E" w:rsidRPr="00176D3F" w:rsidRDefault="003C7B2E" w:rsidP="00452205">
            <w:pPr>
              <w:pStyle w:val="Note"/>
            </w:pPr>
            <w:r>
              <w:rPr>
                <w:rStyle w:val="NoteLabel"/>
              </w:rPr>
              <w:t>a</w:t>
            </w:r>
            <w:r w:rsidR="005C26E1">
              <w:t xml:space="preserve"> So for 1870, the figure represents the total number of migrants from 1861</w:t>
            </w:r>
            <w:r w:rsidR="006D1154">
              <w:t>–</w:t>
            </w:r>
            <w:r w:rsidR="005C26E1">
              <w:t>70 divided by the total population change over the same period</w:t>
            </w:r>
            <w:r>
              <w:t xml:space="preserve">. </w:t>
            </w:r>
          </w:p>
        </w:tc>
      </w:tr>
      <w:tr w:rsidR="003C7B2E" w:rsidRPr="00176D3F" w14:paraId="3B20DC2B" w14:textId="77777777" w:rsidTr="00452205">
        <w:tc>
          <w:tcPr>
            <w:tcW w:w="5000" w:type="pct"/>
            <w:tcBorders>
              <w:top w:val="nil"/>
              <w:left w:val="nil"/>
              <w:bottom w:val="nil"/>
              <w:right w:val="nil"/>
            </w:tcBorders>
            <w:shd w:val="clear" w:color="auto" w:fill="auto"/>
          </w:tcPr>
          <w:p w14:paraId="1AD6BD17" w14:textId="77777777" w:rsidR="003C7B2E" w:rsidRPr="00176D3F" w:rsidRDefault="003C7B2E" w:rsidP="00452205">
            <w:pPr>
              <w:pStyle w:val="Source"/>
            </w:pPr>
            <w:r>
              <w:rPr>
                <w:i/>
              </w:rPr>
              <w:t>S</w:t>
            </w:r>
            <w:r w:rsidRPr="00784A05">
              <w:rPr>
                <w:i/>
              </w:rPr>
              <w:t>ource</w:t>
            </w:r>
            <w:r w:rsidRPr="00176D3F">
              <w:t xml:space="preserve">: </w:t>
            </w:r>
            <w:r>
              <w:t>ABS (</w:t>
            </w:r>
            <w:r w:rsidRPr="00955883">
              <w:rPr>
                <w:i/>
              </w:rPr>
              <w:t>Historical population statistics 2016</w:t>
            </w:r>
            <w:r>
              <w:t>, Cat. no. </w:t>
            </w:r>
            <w:r w:rsidRPr="003C7B2E">
              <w:t>3105.0.65.001</w:t>
            </w:r>
            <w:r>
              <w:t>).</w:t>
            </w:r>
          </w:p>
        </w:tc>
      </w:tr>
      <w:tr w:rsidR="003C7B2E" w14:paraId="222AD3A7" w14:textId="77777777" w:rsidTr="00452205">
        <w:tc>
          <w:tcPr>
            <w:tcW w:w="5000" w:type="pct"/>
            <w:tcBorders>
              <w:top w:val="nil"/>
              <w:left w:val="nil"/>
              <w:bottom w:val="single" w:sz="6" w:space="0" w:color="78A22F"/>
              <w:right w:val="nil"/>
            </w:tcBorders>
            <w:shd w:val="clear" w:color="auto" w:fill="auto"/>
          </w:tcPr>
          <w:p w14:paraId="76AB3C07" w14:textId="77777777" w:rsidR="003C7B2E" w:rsidRDefault="003C7B2E" w:rsidP="00452205">
            <w:pPr>
              <w:pStyle w:val="Figurespace"/>
            </w:pPr>
          </w:p>
        </w:tc>
      </w:tr>
      <w:tr w:rsidR="003C7B2E" w:rsidRPr="000863A5" w14:paraId="724D7D24" w14:textId="77777777" w:rsidTr="00452205">
        <w:tc>
          <w:tcPr>
            <w:tcW w:w="5000" w:type="pct"/>
            <w:tcBorders>
              <w:top w:val="single" w:sz="6" w:space="0" w:color="78A22F"/>
              <w:left w:val="nil"/>
              <w:bottom w:val="nil"/>
              <w:right w:val="nil"/>
            </w:tcBorders>
          </w:tcPr>
          <w:p w14:paraId="600671ED" w14:textId="77777777" w:rsidR="003C7B2E" w:rsidRPr="00626D32" w:rsidRDefault="003C7B2E" w:rsidP="00452205">
            <w:pPr>
              <w:pStyle w:val="BoxSpaceBelow"/>
            </w:pPr>
          </w:p>
        </w:tc>
      </w:tr>
    </w:tbl>
    <w:p w14:paraId="21C6CB6F" w14:textId="77777777" w:rsidR="00C2552B" w:rsidRDefault="00C2552B" w:rsidP="00C2552B">
      <w:pPr>
        <w:pStyle w:val="BodyText"/>
      </w:pPr>
      <w:r>
        <w:t xml:space="preserve">In the late Nineteenth Century, Victoria adopted relatively heavy tariffs on manufactured goods </w:t>
      </w:r>
      <w:r w:rsidR="002D2740">
        <w:t>to</w:t>
      </w:r>
      <w:r>
        <w:t xml:space="preserve"> increase wages and employment in the manufacturing industry. The logic was </w:t>
      </w:r>
      <w:r w:rsidDel="002D2740">
        <w:t xml:space="preserve">that </w:t>
      </w:r>
      <w:r>
        <w:t xml:space="preserve">for the manufacturing industry to expand to meet domestic demand, they would drive up employment and wages in this sector. At Federation, the Victorian policy was adopted as a compromise and this protectionism greatly expanded through the 1920s and 1930s (in part as a strategy to tackle unemployment) </w:t>
      </w:r>
      <w:r w:rsidRPr="00895D3F">
        <w:rPr>
          <w:szCs w:val="24"/>
        </w:rPr>
        <w:t>(Pincus 2009)</w:t>
      </w:r>
      <w:r>
        <w:t xml:space="preserve">. Clearly this approach rests on the assumption that potential migrants are primarily seeking manufacturing employment, and that they do not consume protected manufactured goods to a large enough degree to offset the benefits of higher wages. </w:t>
      </w:r>
    </w:p>
    <w:p w14:paraId="627736D1" w14:textId="77777777" w:rsidR="009D2C30" w:rsidRPr="009D2C30" w:rsidRDefault="00E4701B" w:rsidP="009D2C30">
      <w:pPr>
        <w:pStyle w:val="BodyText"/>
      </w:pPr>
      <w:r>
        <w:t xml:space="preserve">In part to ensure wages did not fall as migrants came, and to attract new migrants, industrial courts begun increasing basic wages in the 1920s </w:t>
      </w:r>
      <w:r w:rsidRPr="00E4701B">
        <w:rPr>
          <w:szCs w:val="24"/>
        </w:rPr>
        <w:t>(Wilson 2014)</w:t>
      </w:r>
      <w:r>
        <w:t xml:space="preserve">. As discussed in the main </w:t>
      </w:r>
      <w:r>
        <w:lastRenderedPageBreak/>
        <w:t>document, this was accompanied by rapid growth in average real earnings that far outstripped GDP per capita</w:t>
      </w:r>
      <w:r w:rsidR="006A0976">
        <w:t>.</w:t>
      </w:r>
    </w:p>
    <w:p w14:paraId="127ED36F" w14:textId="77777777" w:rsidR="00D324E2" w:rsidRDefault="00D324E2" w:rsidP="00D324E2">
      <w:pPr>
        <w:pStyle w:val="Heading3"/>
      </w:pPr>
      <w:r>
        <w:t>Attracting foreign investment</w:t>
      </w:r>
    </w:p>
    <w:p w14:paraId="26820532" w14:textId="77777777" w:rsidR="00E4701B" w:rsidRDefault="00E84EE2" w:rsidP="00C13E67">
      <w:pPr>
        <w:pStyle w:val="BodyText"/>
      </w:pPr>
      <w:r>
        <w:t xml:space="preserve">Protectionism was implemented under the belief that tariffs would attract foreign capital into import substituting industries. And several old surveys of Australian subsidiaries of multinational manufacturing firms showed that avoiding tariffs was indeed a motivation for investing in Australian </w:t>
      </w:r>
      <w:r w:rsidR="006C74B4" w:rsidRPr="00E84EE2">
        <w:rPr>
          <w:szCs w:val="24"/>
        </w:rPr>
        <w:t>(Corden 1996)</w:t>
      </w:r>
      <w:r>
        <w:t>. However, the effect of tariffs on total foreign investment is quite complex. While import competing industries receiving protectionism would see higher profitability and increased foreign investment, there would likely be fall in profitability in export</w:t>
      </w:r>
      <w:r w:rsidR="00741A7B">
        <w:noBreakHyphen/>
      </w:r>
      <w:r>
        <w:t xml:space="preserve">orientated sectors (in Australia’s case, primary production). This would likely decrease the level of foreign investment in this sector with an ambiguous net effect on total foreign investment. The overall effect will only be to raise total foreign investment if the </w:t>
      </w:r>
      <w:r w:rsidR="00755FBA">
        <w:t>industry receiving protectionism is relatively capital intensive and the export oriented industries are relatively labour intensive</w:t>
      </w:r>
      <w:r>
        <w:t xml:space="preserve"> </w:t>
      </w:r>
      <w:r w:rsidRPr="00E84EE2">
        <w:rPr>
          <w:szCs w:val="24"/>
        </w:rPr>
        <w:t>(Corden 1996)</w:t>
      </w:r>
      <w:r>
        <w:t xml:space="preserve">. </w:t>
      </w:r>
    </w:p>
    <w:p w14:paraId="650E07A8" w14:textId="77777777" w:rsidR="00755FBA" w:rsidRDefault="00755FBA" w:rsidP="00C13E67">
      <w:pPr>
        <w:pStyle w:val="BodyText"/>
      </w:pPr>
      <w:r>
        <w:t>That said, if tariffs raise migration (above), then this would raise the profitability of further investment in numerous industries (by increasing demand for their products) and so potentially attract greater foreign investment</w:t>
      </w:r>
      <w:r w:rsidR="00EB03EB">
        <w:t xml:space="preserve"> </w:t>
      </w:r>
      <w:r w:rsidR="00EB03EB" w:rsidRPr="00EB03EB">
        <w:rPr>
          <w:szCs w:val="24"/>
        </w:rPr>
        <w:t>(Dyster and Meredith 2012, p. 217)</w:t>
      </w:r>
      <w:r>
        <w:t xml:space="preserve">. </w:t>
      </w:r>
    </w:p>
    <w:p w14:paraId="6648B695" w14:textId="77777777" w:rsidR="00E4701B" w:rsidRDefault="00E4701B" w:rsidP="00E4701B">
      <w:pPr>
        <w:pStyle w:val="Heading3"/>
      </w:pPr>
      <w:r>
        <w:t xml:space="preserve">Did protectionism </w:t>
      </w:r>
      <w:r w:rsidR="001411DD">
        <w:t>help</w:t>
      </w:r>
      <w:r>
        <w:t xml:space="preserve"> build Australia?</w:t>
      </w:r>
    </w:p>
    <w:p w14:paraId="0E916A51" w14:textId="77777777" w:rsidR="00C13E67" w:rsidRPr="00C13E67" w:rsidRDefault="00755FBA" w:rsidP="00C13E67">
      <w:pPr>
        <w:pStyle w:val="BodyText"/>
      </w:pPr>
      <w:r>
        <w:t>There is little evidence on the effect of Australian protectionism on</w:t>
      </w:r>
      <w:r w:rsidR="00477F2D">
        <w:t xml:space="preserve"> the</w:t>
      </w:r>
      <w:r>
        <w:t xml:space="preserve"> real wages </w:t>
      </w:r>
      <w:r w:rsidR="00477F2D">
        <w:t xml:space="preserve">of workers (especially in its early days, above) or the effect of higher real wages on migration. However, the fact that </w:t>
      </w:r>
      <w:r w:rsidR="00AF7F94">
        <w:t xml:space="preserve">migrants comprised more than two-thirds of the net increase in the manufacturing workforce in the 1950s </w:t>
      </w:r>
      <w:r w:rsidR="00AF7F94" w:rsidRPr="00AF7F94">
        <w:rPr>
          <w:szCs w:val="24"/>
        </w:rPr>
        <w:t>(Dyster and Meredith 2012, p. 216)</w:t>
      </w:r>
      <w:r w:rsidR="00477F2D">
        <w:t xml:space="preserve"> indicates that they may have indeed had a preference for these industries, somewhat vindicating </w:t>
      </w:r>
      <w:r w:rsidR="00AF7F94">
        <w:t>protectionism as a means of boosting migration. Ultimately, whatever the effect of protectionism on the level of migration, it was likely a second</w:t>
      </w:r>
      <w:r w:rsidR="00310D51">
        <w:noBreakHyphen/>
      </w:r>
      <w:r w:rsidR="00AF7F94">
        <w:t>best policy compared to directly subsidising migration. Such a policy would have given financial incentive to migrants without the distortions on consumption and productivity</w:t>
      </w:r>
      <w:r w:rsidR="00F6272C">
        <w:t xml:space="preserve"> </w:t>
      </w:r>
      <w:r w:rsidR="00F6272C" w:rsidRPr="00D249D7">
        <w:rPr>
          <w:szCs w:val="24"/>
        </w:rPr>
        <w:t>(Corden 1996)</w:t>
      </w:r>
      <w:r w:rsidR="00AF7F94">
        <w:t xml:space="preserve">. </w:t>
      </w:r>
    </w:p>
    <w:p w14:paraId="7BA86663" w14:textId="77777777" w:rsidR="00A11C7F" w:rsidRDefault="00A11C7F" w:rsidP="008F0130">
      <w:pPr>
        <w:pStyle w:val="Heading2"/>
        <w:ind w:left="0" w:firstLine="0"/>
      </w:pPr>
      <w:bookmarkStart w:id="17" w:name="_Toc56436177"/>
      <w:r>
        <w:t>The infant industry argument</w:t>
      </w:r>
      <w:bookmarkEnd w:id="17"/>
    </w:p>
    <w:p w14:paraId="066CD051" w14:textId="77777777" w:rsidR="005F0BCA" w:rsidRDefault="009774B4" w:rsidP="005F0BCA">
      <w:pPr>
        <w:pStyle w:val="BodyText"/>
      </w:pPr>
      <w:r>
        <w:t xml:space="preserve">Government protection of domestic industries from foreign </w:t>
      </w:r>
      <w:r w:rsidR="00393B37">
        <w:t>competition</w:t>
      </w:r>
      <w:r w:rsidR="005F0BCA">
        <w:t xml:space="preserve"> </w:t>
      </w:r>
      <w:r>
        <w:t>is</w:t>
      </w:r>
      <w:r w:rsidR="005F0BCA">
        <w:t xml:space="preserve"> </w:t>
      </w:r>
      <w:r>
        <w:t>often</w:t>
      </w:r>
      <w:r w:rsidR="005F0BCA">
        <w:t xml:space="preserve"> justified on the grounds of building an ‘infant industry’. That is, that a new</w:t>
      </w:r>
      <w:r>
        <w:t xml:space="preserve"> industry</w:t>
      </w:r>
      <w:r w:rsidR="005F0BCA">
        <w:t xml:space="preserve"> (usually </w:t>
      </w:r>
      <w:r>
        <w:t xml:space="preserve">in </w:t>
      </w:r>
      <w:r w:rsidR="005F0BCA">
        <w:t xml:space="preserve">manufacturing) can only be viable if it is able to sell at a price comparable to international competitors. But because some industries benefit from significant economies of scale, an ‘infant’ industry would be unable to compete with international competitors </w:t>
      </w:r>
      <w:r w:rsidR="001049BE">
        <w:t>if it has not</w:t>
      </w:r>
      <w:r w:rsidR="005F0BCA">
        <w:t xml:space="preserve"> built up sufficient scale. </w:t>
      </w:r>
      <w:r w:rsidR="005F0BCA" w:rsidDel="003B3504">
        <w:t>So</w:t>
      </w:r>
      <w:r w:rsidR="003B3504">
        <w:t>,</w:t>
      </w:r>
      <w:r w:rsidR="005F0BCA">
        <w:t xml:space="preserve"> by implementing temporary </w:t>
      </w:r>
      <w:r w:rsidR="003D6F0C">
        <w:t>protectionism (usually through tariffs)</w:t>
      </w:r>
      <w:r w:rsidR="005F0BCA">
        <w:t xml:space="preserve"> now, it is argued, these infant industries can build up scale and then soon be able to compete </w:t>
      </w:r>
      <w:r w:rsidR="005F0BCA">
        <w:lastRenderedPageBreak/>
        <w:t xml:space="preserve">with imports without the need for protection. Moreover, it is argued that without government protections, many industries that would </w:t>
      </w:r>
      <w:r w:rsidR="00393B37">
        <w:t xml:space="preserve">otherwise </w:t>
      </w:r>
      <w:r w:rsidR="005F0BCA">
        <w:t xml:space="preserve">eventually become competitive </w:t>
      </w:r>
      <w:r w:rsidR="00393B37">
        <w:t>would never</w:t>
      </w:r>
      <w:r w:rsidR="005F0BCA">
        <w:t xml:space="preserve"> come into existence</w:t>
      </w:r>
      <w:r w:rsidR="00393B37">
        <w:t xml:space="preserve"> due</w:t>
      </w:r>
      <w:r w:rsidR="005F0BCA">
        <w:t xml:space="preserve"> to the high fixed costs of building up scale</w:t>
      </w:r>
      <w:r w:rsidR="00FC26CE">
        <w:t xml:space="preserve"> </w:t>
      </w:r>
      <w:r w:rsidR="00FC26CE" w:rsidRPr="00D249D7">
        <w:rPr>
          <w:szCs w:val="24"/>
        </w:rPr>
        <w:t>(Corden 1996)</w:t>
      </w:r>
      <w:r w:rsidR="005F0BCA">
        <w:t xml:space="preserve">. </w:t>
      </w:r>
    </w:p>
    <w:p w14:paraId="178059B8" w14:textId="77777777" w:rsidR="00D3069F" w:rsidRPr="00260E3D" w:rsidRDefault="00D3069F" w:rsidP="00D3069F">
      <w:pPr>
        <w:pStyle w:val="BodyText"/>
        <w:rPr>
          <w:spacing w:val="-2"/>
        </w:rPr>
      </w:pPr>
      <w:r w:rsidRPr="00260E3D">
        <w:rPr>
          <w:spacing w:val="-2"/>
        </w:rPr>
        <w:t xml:space="preserve">Economists recognise there are circumstances where, in principle, protection of infant industries may be justified </w:t>
      </w:r>
      <w:r w:rsidR="00FC26CE" w:rsidRPr="00260E3D">
        <w:rPr>
          <w:spacing w:val="-2"/>
          <w:szCs w:val="24"/>
        </w:rPr>
        <w:t>(Corden 1996)</w:t>
      </w:r>
      <w:r w:rsidRPr="00260E3D">
        <w:rPr>
          <w:spacing w:val="-2"/>
        </w:rPr>
        <w:t xml:space="preserve">. First, private capital markets are not willing to support large initial investment. Second, </w:t>
      </w:r>
      <w:r w:rsidR="00BF4B8B" w:rsidRPr="00260E3D">
        <w:rPr>
          <w:spacing w:val="-2"/>
        </w:rPr>
        <w:t>if</w:t>
      </w:r>
      <w:r w:rsidRPr="00260E3D">
        <w:rPr>
          <w:spacing w:val="-2"/>
        </w:rPr>
        <w:t xml:space="preserve"> the public and private sector have large differences in how they evaluate the likely returns to an infant industry. Third, private risk aversion may be larger than public risk aversion, reducing the likelihood of the private sector supporting an infant industry.</w:t>
      </w:r>
      <w:r w:rsidR="009774B4" w:rsidRPr="00260E3D">
        <w:rPr>
          <w:rStyle w:val="FootnoteReference"/>
          <w:spacing w:val="-2"/>
        </w:rPr>
        <w:footnoteReference w:id="8"/>
      </w:r>
      <w:r w:rsidRPr="00260E3D">
        <w:rPr>
          <w:spacing w:val="-2"/>
        </w:rPr>
        <w:t xml:space="preserve"> Finally, assistance may be justified if there are significant externalities, for example, if new ideas and innovations seep out of the infant industry into the wider economy. </w:t>
      </w:r>
    </w:p>
    <w:p w14:paraId="31FE945A" w14:textId="77777777" w:rsidR="00DF116F" w:rsidRDefault="00553841" w:rsidP="00D3069F">
      <w:pPr>
        <w:pStyle w:val="BodyText"/>
      </w:pPr>
      <w:r>
        <w:t xml:space="preserve">Even where </w:t>
      </w:r>
      <w:r w:rsidR="00FC26CE">
        <w:t>assistance to infant industries</w:t>
      </w:r>
      <w:r>
        <w:t xml:space="preserve"> is justified</w:t>
      </w:r>
      <w:r w:rsidR="00FC26CE">
        <w:t xml:space="preserve"> in principle</w:t>
      </w:r>
      <w:r>
        <w:t xml:space="preserve">, </w:t>
      </w:r>
      <w:r w:rsidR="003D6F0C">
        <w:t>tariffs themselves</w:t>
      </w:r>
      <w:r>
        <w:t xml:space="preserve"> are very rarely the first</w:t>
      </w:r>
      <w:r w:rsidR="005548D8">
        <w:noBreakHyphen/>
      </w:r>
      <w:r>
        <w:t xml:space="preserve">best solution </w:t>
      </w:r>
      <w:r w:rsidRPr="00D249D7">
        <w:rPr>
          <w:szCs w:val="24"/>
        </w:rPr>
        <w:t>(Corden 1996)</w:t>
      </w:r>
      <w:r>
        <w:t>.</w:t>
      </w:r>
      <w:r w:rsidR="003D6F0C">
        <w:t xml:space="preserve"> </w:t>
      </w:r>
      <w:r w:rsidR="003C3781">
        <w:t>Increasing the price of manufactured goods</w:t>
      </w:r>
      <w:r w:rsidR="00010AD6">
        <w:t xml:space="preserve"> </w:t>
      </w:r>
      <w:r w:rsidR="003C3781">
        <w:t>will effectively lower the relative price of all other goods</w:t>
      </w:r>
      <w:r w:rsidR="00D557D3">
        <w:t>, causing</w:t>
      </w:r>
      <w:r w:rsidR="00780D08">
        <w:t xml:space="preserve"> individuals to consume less manufactured goods and more </w:t>
      </w:r>
      <w:r w:rsidR="00195187">
        <w:t xml:space="preserve">non-manufactured goods. </w:t>
      </w:r>
      <w:r w:rsidR="00F07899">
        <w:t>This will result in a movement away from competitive equilibrium i</w:t>
      </w:r>
      <w:r w:rsidR="00AE287C">
        <w:t>n</w:t>
      </w:r>
      <w:r w:rsidR="00F07899">
        <w:t xml:space="preserve"> all markets </w:t>
      </w:r>
      <w:r w:rsidR="00A24266">
        <w:t xml:space="preserve">of </w:t>
      </w:r>
      <w:r w:rsidR="00F07899">
        <w:t xml:space="preserve">the economy </w:t>
      </w:r>
      <w:r w:rsidR="00A84B24">
        <w:t xml:space="preserve">not just the manufacturing sector </w:t>
      </w:r>
      <w:r w:rsidR="00A24266">
        <w:t>leading to</w:t>
      </w:r>
      <w:r w:rsidR="00FC26CE">
        <w:t xml:space="preserve"> significant </w:t>
      </w:r>
      <w:r w:rsidR="004B0D08">
        <w:t>economic inefficiency</w:t>
      </w:r>
      <w:r w:rsidR="00A84B24">
        <w:t xml:space="preserve">. </w:t>
      </w:r>
      <w:r w:rsidR="00D97368">
        <w:t>A</w:t>
      </w:r>
      <w:r w:rsidR="005B5B9E">
        <w:t>n equivalent</w:t>
      </w:r>
      <w:r w:rsidR="00D97368">
        <w:t xml:space="preserve"> subsidy to the manufacturing </w:t>
      </w:r>
      <w:r w:rsidR="00264BAB">
        <w:t>sector</w:t>
      </w:r>
      <w:r w:rsidR="00FC26CE">
        <w:t xml:space="preserve"> would avoid the economy</w:t>
      </w:r>
      <w:r w:rsidR="00FC26CE">
        <w:noBreakHyphen/>
      </w:r>
      <w:r w:rsidR="00D97368">
        <w:t xml:space="preserve">wide distortion </w:t>
      </w:r>
      <w:r w:rsidR="005B5B9E">
        <w:t>while providing the same</w:t>
      </w:r>
      <w:r w:rsidR="00D557D3">
        <w:t xml:space="preserve"> support as a tariff. </w:t>
      </w:r>
      <w:r w:rsidR="00413DDD">
        <w:t>While introducing their own market inefficiencies</w:t>
      </w:r>
      <w:r w:rsidR="00512CFC">
        <w:t>,</w:t>
      </w:r>
      <w:r w:rsidR="00413DDD">
        <w:t xml:space="preserve"> other alternatives</w:t>
      </w:r>
      <w:r w:rsidR="000D529D">
        <w:t xml:space="preserve"> such as fixing capital market inefficiencies</w:t>
      </w:r>
      <w:r w:rsidR="000A6D5C">
        <w:t xml:space="preserve">, </w:t>
      </w:r>
      <w:r w:rsidR="000D529D">
        <w:t>export subsidies and import quotas</w:t>
      </w:r>
      <w:r w:rsidR="00413DDD">
        <w:t xml:space="preserve"> are generally seen as </w:t>
      </w:r>
      <w:r w:rsidR="00FC26CE">
        <w:t>preferable</w:t>
      </w:r>
      <w:r w:rsidR="00413DDD">
        <w:t xml:space="preserve"> to tariffs </w:t>
      </w:r>
      <w:r w:rsidR="00FA1E54" w:rsidRPr="00FA1E54">
        <w:rPr>
          <w:szCs w:val="24"/>
        </w:rPr>
        <w:t>(Melitz 2005)</w:t>
      </w:r>
      <w:r w:rsidR="000D529D">
        <w:t xml:space="preserve">. </w:t>
      </w:r>
    </w:p>
    <w:p w14:paraId="0E8E167E" w14:textId="77777777" w:rsidR="001049BE" w:rsidRPr="00D3069F" w:rsidRDefault="00D3069F">
      <w:pPr>
        <w:pStyle w:val="BodyText"/>
      </w:pPr>
      <w:r>
        <w:t xml:space="preserve">Empirically, there is evidence supporting infant industry arguments in some cases. However, the </w:t>
      </w:r>
      <w:r>
        <w:rPr>
          <w:i/>
        </w:rPr>
        <w:t>timing</w:t>
      </w:r>
      <w:r>
        <w:t xml:space="preserve"> of Australia’s actual protectionism seems to correspond to the portions of history where protectionism is found to have a negative relationship with economic growth. </w:t>
      </w:r>
      <w:r w:rsidR="00F54724">
        <w:t xml:space="preserve">For example, Australian protectionism (though </w:t>
      </w:r>
      <w:r w:rsidR="001049BE">
        <w:t>this is difficult to measure) appears to have been highest during the interwar period and during the ‘Golden age’ after WWII. However, multi</w:t>
      </w:r>
      <w:r w:rsidR="001049BE">
        <w:noBreakHyphen/>
        <w:t>country panel evidence shows tariffs correlate positively with economic growth (controlling for numerous other factors and including fixed effects) only from the Nineteenth Century up to WWI. That is, they only correlate with growth during the period that Australia had relatively low levels of protection. During the interwar period, there appears to be no correlation between growth and tariff protection, and post</w:t>
      </w:r>
      <w:r w:rsidR="001049BE">
        <w:noBreakHyphen/>
        <w:t xml:space="preserve">WWII this correlation becomes </w:t>
      </w:r>
      <w:r w:rsidR="001049BE" w:rsidRPr="00333D15">
        <w:t>negative</w:t>
      </w:r>
      <w:r w:rsidR="00E85AB0" w:rsidRPr="00621D6F">
        <w:rPr>
          <w:rStyle w:val="FootnoteReference"/>
        </w:rPr>
        <w:footnoteReference w:id="9"/>
      </w:r>
      <w:r w:rsidR="00FC26CE">
        <w:t xml:space="preserve"> </w:t>
      </w:r>
      <w:r w:rsidR="00FC26CE" w:rsidRPr="00FC26CE">
        <w:rPr>
          <w:szCs w:val="24"/>
        </w:rPr>
        <w:t>(Clemens and Williamson 2004)</w:t>
      </w:r>
      <w:r w:rsidR="001049BE">
        <w:t xml:space="preserve">. </w:t>
      </w:r>
    </w:p>
    <w:p w14:paraId="7C01926C" w14:textId="77777777" w:rsidR="009D4829" w:rsidRDefault="009D4829" w:rsidP="009D4829">
      <w:pPr>
        <w:pStyle w:val="Heading2"/>
        <w:ind w:left="0" w:firstLine="0"/>
      </w:pPr>
      <w:bookmarkStart w:id="18" w:name="_Toc56436178"/>
      <w:r>
        <w:lastRenderedPageBreak/>
        <w:t>D</w:t>
      </w:r>
      <w:r w:rsidR="004257D6">
        <w:t>iversification</w:t>
      </w:r>
      <w:r w:rsidR="00701812">
        <w:t xml:space="preserve"> </w:t>
      </w:r>
      <w:r w:rsidR="00B647D6">
        <w:t xml:space="preserve">— </w:t>
      </w:r>
      <w:r w:rsidR="00701812">
        <w:t>was protectionism a valid risk management strategy?</w:t>
      </w:r>
      <w:bookmarkEnd w:id="18"/>
      <w:r w:rsidR="00701812">
        <w:t xml:space="preserve"> </w:t>
      </w:r>
    </w:p>
    <w:p w14:paraId="635B3158" w14:textId="77777777" w:rsidR="005A273E" w:rsidRDefault="007504D7" w:rsidP="005E67B8">
      <w:pPr>
        <w:pStyle w:val="BodyText"/>
      </w:pPr>
      <w:r>
        <w:t xml:space="preserve">Government protection of certain industries is often justified </w:t>
      </w:r>
      <w:r w:rsidR="00960ADE">
        <w:t xml:space="preserve">as </w:t>
      </w:r>
      <w:r w:rsidR="006F390A">
        <w:t>‘</w:t>
      </w:r>
      <w:r w:rsidR="00960ADE">
        <w:t>diversifying</w:t>
      </w:r>
      <w:r w:rsidR="006F390A">
        <w:t>’</w:t>
      </w:r>
      <w:r w:rsidR="00960ADE">
        <w:t xml:space="preserve"> the economy to insulate it from outside shocks. That is, by</w:t>
      </w:r>
      <w:r w:rsidR="00960ADE" w:rsidRPr="00333D15">
        <w:t xml:space="preserve"> shifting </w:t>
      </w:r>
      <w:r w:rsidR="00023555">
        <w:t>the</w:t>
      </w:r>
      <w:r w:rsidR="00960ADE" w:rsidRPr="00333D15">
        <w:t xml:space="preserve"> economy away </w:t>
      </w:r>
      <w:r w:rsidR="00482293">
        <w:t>from a concentrated production schedule</w:t>
      </w:r>
      <w:r w:rsidR="00960ADE" w:rsidRPr="00333D15">
        <w:t xml:space="preserve"> toward</w:t>
      </w:r>
      <w:r w:rsidR="00482293">
        <w:t xml:space="preserve"> </w:t>
      </w:r>
      <w:r w:rsidR="00023555">
        <w:t>a diverse one</w:t>
      </w:r>
      <w:r w:rsidR="005E67B8">
        <w:t xml:space="preserve">, </w:t>
      </w:r>
      <w:r w:rsidR="00CD3804" w:rsidRPr="00333D15">
        <w:t>the economy will be less</w:t>
      </w:r>
      <w:r w:rsidR="00023555">
        <w:t xml:space="preserve"> </w:t>
      </w:r>
      <w:r w:rsidR="00CD3804" w:rsidRPr="00333D15">
        <w:t>vulnerable to outside influences as it is more self-sustaining.</w:t>
      </w:r>
      <w:r w:rsidR="005E67B8" w:rsidRPr="005E67B8">
        <w:t xml:space="preserve"> </w:t>
      </w:r>
      <w:r w:rsidR="00315971">
        <w:t>According to this logic, t</w:t>
      </w:r>
      <w:r w:rsidR="00BB60C0">
        <w:t xml:space="preserve">he more self-reliant the Australian economy is the less it is </w:t>
      </w:r>
      <w:r w:rsidR="00ED47D0">
        <w:t xml:space="preserve">exposed </w:t>
      </w:r>
      <w:r w:rsidR="00BB60C0">
        <w:t xml:space="preserve">to negative </w:t>
      </w:r>
      <w:r w:rsidR="00ED47D0">
        <w:t xml:space="preserve">external </w:t>
      </w:r>
      <w:r w:rsidR="00BB60C0">
        <w:t>shocks such as reductions in the terms of trade or</w:t>
      </w:r>
      <w:r w:rsidR="001A1CBD">
        <w:t>,</w:t>
      </w:r>
      <w:r w:rsidR="00BB60C0">
        <w:t xml:space="preserve"> </w:t>
      </w:r>
      <w:r w:rsidR="00D8593D">
        <w:t xml:space="preserve">relevant to the current period, trade shutdowns due to COVID-19. </w:t>
      </w:r>
      <w:r w:rsidR="001030C7">
        <w:t xml:space="preserve">However, </w:t>
      </w:r>
      <w:r w:rsidR="00644689">
        <w:t xml:space="preserve">diversification will also insulate </w:t>
      </w:r>
      <w:r w:rsidR="00ED47D0">
        <w:t xml:space="preserve">Australia </w:t>
      </w:r>
      <w:r w:rsidR="00644689">
        <w:t xml:space="preserve">against positive shocks such as a terms of trade boom, not allowing us to take </w:t>
      </w:r>
      <w:r w:rsidR="00B244D5">
        <w:t xml:space="preserve">complete advantage of the prosperity they </w:t>
      </w:r>
      <w:r w:rsidR="00BE1C1C">
        <w:t>offer</w:t>
      </w:r>
      <w:r w:rsidR="00B244D5">
        <w:t xml:space="preserve">. </w:t>
      </w:r>
    </w:p>
    <w:p w14:paraId="3C80DD67" w14:textId="77777777" w:rsidR="006F390A" w:rsidRPr="00260E3D" w:rsidRDefault="006F390A" w:rsidP="005E67B8">
      <w:pPr>
        <w:pStyle w:val="BodyText"/>
        <w:rPr>
          <w:spacing w:val="-2"/>
        </w:rPr>
      </w:pPr>
      <w:r w:rsidRPr="00260E3D">
        <w:rPr>
          <w:spacing w:val="-2"/>
        </w:rPr>
        <w:t xml:space="preserve">In evaluating the reasonableness of protectionism for diversification, one must establish who faces the economic risks inherent in having a narrow range of exports. If the risk the government is concerned with is </w:t>
      </w:r>
      <w:r w:rsidR="00007E4D" w:rsidRPr="00260E3D">
        <w:rPr>
          <w:spacing w:val="-2"/>
        </w:rPr>
        <w:t>borne by</w:t>
      </w:r>
      <w:r w:rsidRPr="00260E3D">
        <w:rPr>
          <w:spacing w:val="-2"/>
        </w:rPr>
        <w:t xml:space="preserve"> workers or capital owners, it is unclear why more direct measures such as taxation or welfare would not have been better alternatives</w:t>
      </w:r>
      <w:r w:rsidR="00007E4D" w:rsidRPr="00260E3D">
        <w:rPr>
          <w:spacing w:val="-2"/>
        </w:rPr>
        <w:t xml:space="preserve"> to tariffs</w:t>
      </w:r>
      <w:r w:rsidRPr="00260E3D">
        <w:rPr>
          <w:spacing w:val="-2"/>
        </w:rPr>
        <w:t>. Granted, in the early Federation, both of these instruments were poorly developed, but given Australia’s early adoption of welfare measures such as the Aged Pension that did not emerge until later in the history of other countries, it is certainly conceivable that</w:t>
      </w:r>
      <w:r w:rsidR="00007E4D" w:rsidRPr="00260E3D">
        <w:rPr>
          <w:spacing w:val="-2"/>
        </w:rPr>
        <w:t xml:space="preserve"> some policy could have been developed to limit the detrimental effects of commodity price swings on workers and capital owners. </w:t>
      </w:r>
    </w:p>
    <w:p w14:paraId="36BA897E" w14:textId="77777777" w:rsidR="00007E4D" w:rsidRPr="00260E3D" w:rsidRDefault="00315971" w:rsidP="005E67B8">
      <w:pPr>
        <w:pStyle w:val="BodyText"/>
        <w:rPr>
          <w:spacing w:val="-2"/>
        </w:rPr>
      </w:pPr>
      <w:r w:rsidRPr="00260E3D">
        <w:rPr>
          <w:spacing w:val="-2"/>
        </w:rPr>
        <w:t>G</w:t>
      </w:r>
      <w:r w:rsidR="00007E4D" w:rsidRPr="00260E3D">
        <w:rPr>
          <w:spacing w:val="-2"/>
        </w:rPr>
        <w:t xml:space="preserve">overnments </w:t>
      </w:r>
      <w:r w:rsidRPr="00260E3D">
        <w:rPr>
          <w:spacing w:val="-2"/>
        </w:rPr>
        <w:t>might</w:t>
      </w:r>
      <w:r w:rsidR="00007E4D" w:rsidRPr="00260E3D">
        <w:rPr>
          <w:spacing w:val="-2"/>
        </w:rPr>
        <w:t xml:space="preserve"> instead </w:t>
      </w:r>
      <w:r w:rsidRPr="00260E3D">
        <w:rPr>
          <w:spacing w:val="-2"/>
        </w:rPr>
        <w:t>be concerned</w:t>
      </w:r>
      <w:r w:rsidR="00007E4D" w:rsidRPr="00260E3D">
        <w:rPr>
          <w:spacing w:val="-2"/>
        </w:rPr>
        <w:t xml:space="preserve"> about the volatility of their own revenue stream due to commodity price fluctuations</w:t>
      </w:r>
      <w:r w:rsidR="007F1750" w:rsidRPr="00260E3D">
        <w:rPr>
          <w:spacing w:val="-2"/>
        </w:rPr>
        <w:t>.</w:t>
      </w:r>
      <w:r w:rsidR="00007E4D" w:rsidRPr="00260E3D">
        <w:rPr>
          <w:spacing w:val="-2"/>
        </w:rPr>
        <w:t xml:space="preserve"> </w:t>
      </w:r>
      <w:r w:rsidR="007F1750" w:rsidRPr="00260E3D">
        <w:rPr>
          <w:spacing w:val="-2"/>
        </w:rPr>
        <w:t>T</w:t>
      </w:r>
      <w:r w:rsidR="00DE5FF7" w:rsidRPr="00260E3D">
        <w:rPr>
          <w:spacing w:val="-2"/>
        </w:rPr>
        <w:t>hen protection</w:t>
      </w:r>
      <w:r w:rsidR="00007E4D" w:rsidRPr="00260E3D">
        <w:rPr>
          <w:spacing w:val="-2"/>
        </w:rPr>
        <w:t xml:space="preserve"> </w:t>
      </w:r>
      <w:r w:rsidR="00DE5FF7" w:rsidRPr="00260E3D">
        <w:rPr>
          <w:spacing w:val="-2"/>
        </w:rPr>
        <w:t>might</w:t>
      </w:r>
      <w:r w:rsidR="00007E4D" w:rsidRPr="00260E3D">
        <w:rPr>
          <w:spacing w:val="-2"/>
        </w:rPr>
        <w:t xml:space="preserve"> be </w:t>
      </w:r>
      <w:r w:rsidR="00DE5FF7" w:rsidRPr="00260E3D">
        <w:rPr>
          <w:spacing w:val="-2"/>
        </w:rPr>
        <w:t>justified</w:t>
      </w:r>
      <w:r w:rsidR="007F1750" w:rsidRPr="00260E3D">
        <w:rPr>
          <w:spacing w:val="-2"/>
        </w:rPr>
        <w:t>,</w:t>
      </w:r>
      <w:r w:rsidR="00007E4D" w:rsidRPr="00260E3D">
        <w:rPr>
          <w:spacing w:val="-2"/>
        </w:rPr>
        <w:t xml:space="preserve"> </w:t>
      </w:r>
      <w:r w:rsidR="003334D6" w:rsidRPr="00260E3D">
        <w:rPr>
          <w:spacing w:val="-2"/>
        </w:rPr>
        <w:t>if government</w:t>
      </w:r>
      <w:r w:rsidR="00B759D7" w:rsidRPr="00260E3D">
        <w:rPr>
          <w:spacing w:val="-2"/>
        </w:rPr>
        <w:t>’</w:t>
      </w:r>
      <w:r w:rsidR="003334D6" w:rsidRPr="00260E3D">
        <w:rPr>
          <w:spacing w:val="-2"/>
        </w:rPr>
        <w:t>s</w:t>
      </w:r>
      <w:r w:rsidR="00B759D7" w:rsidRPr="00260E3D">
        <w:rPr>
          <w:spacing w:val="-2"/>
        </w:rPr>
        <w:t xml:space="preserve"> ability to</w:t>
      </w:r>
      <w:r w:rsidR="003334D6" w:rsidRPr="00260E3D">
        <w:rPr>
          <w:spacing w:val="-2"/>
        </w:rPr>
        <w:t xml:space="preserve"> borrow in times of low commodity prices was limited (due to liquidity constraints) and governments myopically failed to save the windfalls accruing during periods of high commodity prices for the periods of low commodity prices. </w:t>
      </w:r>
      <w:r w:rsidR="00D462DB" w:rsidRPr="00260E3D">
        <w:rPr>
          <w:spacing w:val="-2"/>
        </w:rPr>
        <w:t>Though even</w:t>
      </w:r>
      <w:r w:rsidR="003334D6" w:rsidRPr="00260E3D">
        <w:rPr>
          <w:spacing w:val="-2"/>
        </w:rPr>
        <w:t xml:space="preserve"> in this case, </w:t>
      </w:r>
      <w:r w:rsidR="00CD71DB" w:rsidRPr="00260E3D">
        <w:rPr>
          <w:spacing w:val="-2"/>
        </w:rPr>
        <w:t>creating some kind of sovereign wealth fund would be preferable to tariff protection</w:t>
      </w:r>
      <w:r w:rsidR="00B759D7" w:rsidRPr="00260E3D">
        <w:rPr>
          <w:spacing w:val="-2"/>
        </w:rPr>
        <w:t xml:space="preserve"> </w:t>
      </w:r>
      <w:r w:rsidR="00CD71DB" w:rsidRPr="00260E3D">
        <w:rPr>
          <w:spacing w:val="-2"/>
          <w:szCs w:val="24"/>
        </w:rPr>
        <w:t>(Corden 1996)</w:t>
      </w:r>
      <w:r w:rsidR="00CD71DB" w:rsidRPr="00260E3D">
        <w:rPr>
          <w:spacing w:val="-2"/>
        </w:rPr>
        <w:t xml:space="preserve">. </w:t>
      </w:r>
    </w:p>
    <w:p w14:paraId="2D396EC8" w14:textId="77777777" w:rsidR="000D2C86" w:rsidRDefault="00B759D7">
      <w:pPr>
        <w:pStyle w:val="BodyText"/>
      </w:pPr>
      <w:r>
        <w:t>Governments also</w:t>
      </w:r>
      <w:r w:rsidR="00B647D6">
        <w:t xml:space="preserve"> face an</w:t>
      </w:r>
      <w:r w:rsidR="005166A3">
        <w:t xml:space="preserve"> inherit </w:t>
      </w:r>
      <w:r w:rsidR="00296DD9">
        <w:t>trade-off</w:t>
      </w:r>
      <w:r w:rsidR="005166A3">
        <w:t xml:space="preserve"> between </w:t>
      </w:r>
      <w:r w:rsidR="006F390A">
        <w:t>the level of income</w:t>
      </w:r>
      <w:r w:rsidR="005166A3">
        <w:t xml:space="preserve"> and</w:t>
      </w:r>
      <w:r w:rsidR="006F390A">
        <w:t xml:space="preserve"> its</w:t>
      </w:r>
      <w:r w:rsidR="005166A3">
        <w:t xml:space="preserve"> volatility</w:t>
      </w:r>
      <w:r w:rsidR="00B647D6">
        <w:t xml:space="preserve"> when using protectionism</w:t>
      </w:r>
      <w:r w:rsidR="005166A3">
        <w:t xml:space="preserve">. </w:t>
      </w:r>
      <w:r w:rsidR="00C42AA8">
        <w:t xml:space="preserve">This is because diversification is a movement of resources away from </w:t>
      </w:r>
      <w:r w:rsidR="00573AEE">
        <w:t xml:space="preserve">large sectors </w:t>
      </w:r>
      <w:r w:rsidR="00C722A4">
        <w:t>(</w:t>
      </w:r>
      <w:r w:rsidR="00C722A4" w:rsidRPr="00ED47D0">
        <w:t>they may be small on aggregate but large relative to other countries</w:t>
      </w:r>
      <w:r w:rsidR="00C21F7D">
        <w:t xml:space="preserve"> percentage of</w:t>
      </w:r>
      <w:r w:rsidR="00C722A4" w:rsidRPr="00ED47D0">
        <w:t xml:space="preserve"> production) </w:t>
      </w:r>
      <w:r w:rsidR="00573AEE" w:rsidRPr="00ED47D0">
        <w:t>to small sectors</w:t>
      </w:r>
      <w:r w:rsidR="008A7388" w:rsidRPr="00ED47D0">
        <w:t>,</w:t>
      </w:r>
      <w:r w:rsidR="00195C12" w:rsidRPr="00ED47D0">
        <w:t xml:space="preserve"> </w:t>
      </w:r>
      <w:r w:rsidR="00C722A4" w:rsidRPr="00ED47D0">
        <w:t>reducing</w:t>
      </w:r>
      <w:r w:rsidR="00195C12" w:rsidRPr="00ED47D0">
        <w:t xml:space="preserve"> productivity</w:t>
      </w:r>
      <w:r w:rsidR="00195C12">
        <w:t xml:space="preserve"> for at least two reason</w:t>
      </w:r>
      <w:r w:rsidR="00C722A4">
        <w:t>s</w:t>
      </w:r>
      <w:r w:rsidR="00195C12">
        <w:t xml:space="preserve">. First, </w:t>
      </w:r>
      <w:r w:rsidR="008B4540">
        <w:t>comparative advantage is what allows a sector to be large</w:t>
      </w:r>
      <w:r w:rsidR="000F4625">
        <w:t>.</w:t>
      </w:r>
      <w:r w:rsidR="008B4540">
        <w:t xml:space="preserve"> </w:t>
      </w:r>
      <w:r w:rsidR="000F4625">
        <w:t>W</w:t>
      </w:r>
      <w:r w:rsidR="008B4540">
        <w:t>ithout intervention</w:t>
      </w:r>
      <w:r w:rsidR="00C722A4">
        <w:t>,</w:t>
      </w:r>
      <w:r w:rsidR="008B4540">
        <w:t xml:space="preserve"> resources </w:t>
      </w:r>
      <w:r w:rsidR="00D33BA6">
        <w:t xml:space="preserve">naturally </w:t>
      </w:r>
      <w:r w:rsidR="008B4540">
        <w:t>flow into these sectors because they</w:t>
      </w:r>
      <w:r w:rsidR="00D33BA6">
        <w:t xml:space="preserve"> are efficient. </w:t>
      </w:r>
      <w:r w:rsidR="001C03E5">
        <w:t xml:space="preserve">Therefore, moving resources from these </w:t>
      </w:r>
      <w:r w:rsidR="00794D58">
        <w:t>high productivity (large) sectors to low productivity sectors (small) will lead to a reduction in aggregate productivity</w:t>
      </w:r>
      <w:r w:rsidR="00C722A4">
        <w:t xml:space="preserve"> as we move resources </w:t>
      </w:r>
      <w:r w:rsidR="00827E65">
        <w:t xml:space="preserve">away </w:t>
      </w:r>
      <w:r w:rsidR="00C722A4">
        <w:t xml:space="preserve">from </w:t>
      </w:r>
      <w:r w:rsidR="002C1FFC">
        <w:t xml:space="preserve">a relatively efficient to a relatively inefficient sector. </w:t>
      </w:r>
      <w:r w:rsidR="00794D58">
        <w:t xml:space="preserve">Second, </w:t>
      </w:r>
      <w:r w:rsidR="005D4FF5">
        <w:t>by allocating resources away from large sectors</w:t>
      </w:r>
      <w:r w:rsidR="00D61D77">
        <w:t xml:space="preserve">, Australia does not take full advantage of economies of </w:t>
      </w:r>
      <w:r w:rsidR="00662C6F">
        <w:t>scale reducing</w:t>
      </w:r>
      <w:r w:rsidR="00D61D77">
        <w:t xml:space="preserve"> our aggregate productivity</w:t>
      </w:r>
      <w:r w:rsidR="00547CAA">
        <w:t xml:space="preserve"> </w:t>
      </w:r>
      <w:r w:rsidR="00547CAA" w:rsidRPr="00CD71DB">
        <w:rPr>
          <w:szCs w:val="24"/>
        </w:rPr>
        <w:t>(Corden </w:t>
      </w:r>
      <w:r w:rsidR="00547CAA" w:rsidRPr="002968B5">
        <w:rPr>
          <w:szCs w:val="24"/>
        </w:rPr>
        <w:t>1996)</w:t>
      </w:r>
      <w:r w:rsidR="00D61D77">
        <w:t xml:space="preserve">. </w:t>
      </w:r>
    </w:p>
    <w:p w14:paraId="0F5BB77D" w14:textId="77777777" w:rsidR="000A4560" w:rsidRDefault="000A4560">
      <w:pPr>
        <w:pStyle w:val="BodyText"/>
      </w:pPr>
      <w:r>
        <w:t xml:space="preserve">Empirically, prior to the 1970s, it appears that volatile terms of trade are associated with lower long-run negative growth in Latin America, Africa and Asia but not in the English-speaking world. Some authors argue that Australia’s tariffs prevented deindustrialisation during terms of trade shocks </w:t>
      </w:r>
      <w:r w:rsidR="0082428E" w:rsidRPr="0082428E">
        <w:rPr>
          <w:szCs w:val="24"/>
        </w:rPr>
        <w:t>(Bhattacharyya and Williamson 2011)</w:t>
      </w:r>
      <w:r w:rsidR="0082428E">
        <w:t xml:space="preserve">; </w:t>
      </w:r>
      <w:r>
        <w:t xml:space="preserve">but many countries in </w:t>
      </w:r>
      <w:r>
        <w:lastRenderedPageBreak/>
        <w:t xml:space="preserve">the developing world adopted some form of protectionism and import substitution. </w:t>
      </w:r>
      <w:r w:rsidR="006B2705">
        <w:t>Most likely this result confirms the findings of the ‘resource curse’ literature</w:t>
      </w:r>
      <w:r w:rsidR="00774AFD">
        <w:t xml:space="preserve"> </w:t>
      </w:r>
      <w:r w:rsidR="00774AFD" w:rsidRPr="00774AFD">
        <w:rPr>
          <w:szCs w:val="24"/>
        </w:rPr>
        <w:t>(Ploeg 2011)</w:t>
      </w:r>
      <w:r w:rsidR="006B2705">
        <w:t>, which finds that countries dependent on natural resource exports have often suffered, particularly if resource discoveries did not take place in a strong institutional environment.</w:t>
      </w:r>
    </w:p>
    <w:p w14:paraId="4C9AFF2A" w14:textId="77777777" w:rsidR="00B647D6" w:rsidRDefault="00B647D6">
      <w:pPr>
        <w:pStyle w:val="BodyText"/>
      </w:pPr>
      <w:r>
        <w:t xml:space="preserve">In summary, protectionism was likely not the first best government policy to manage the </w:t>
      </w:r>
      <w:r w:rsidR="00B438EA">
        <w:t xml:space="preserve">economic </w:t>
      </w:r>
      <w:r>
        <w:t>risks stemming from volatile commodity prices. Some combination of taxation, welfare and sovereign wealth funds would have allowed governments to reduce their economic exposure to commodity price risk without requiring them to trade</w:t>
      </w:r>
      <w:r>
        <w:noBreakHyphen/>
        <w:t xml:space="preserve">off the level of income against its </w:t>
      </w:r>
      <w:r w:rsidR="002968B5">
        <w:t xml:space="preserve">volatility. </w:t>
      </w:r>
      <w:r>
        <w:t xml:space="preserve"> </w:t>
      </w:r>
    </w:p>
    <w:p w14:paraId="713BD668" w14:textId="77777777" w:rsidR="00CC24E5" w:rsidRDefault="006955A5" w:rsidP="006955A5">
      <w:pPr>
        <w:pStyle w:val="Heading2"/>
      </w:pPr>
      <w:bookmarkStart w:id="19" w:name="_Toc56436179"/>
      <w:r>
        <w:t xml:space="preserve">Balance of </w:t>
      </w:r>
      <w:r w:rsidR="008068E8">
        <w:t>payments</w:t>
      </w:r>
      <w:bookmarkEnd w:id="19"/>
    </w:p>
    <w:p w14:paraId="1F9D400E" w14:textId="77777777" w:rsidR="00576346" w:rsidRDefault="00135415" w:rsidP="00C94298">
      <w:pPr>
        <w:pStyle w:val="BodyText"/>
      </w:pPr>
      <w:r>
        <w:t>For most of Australia’s history</w:t>
      </w:r>
      <w:r w:rsidR="00221C29">
        <w:t>,</w:t>
      </w:r>
      <w:r>
        <w:t xml:space="preserve"> the demand for capital </w:t>
      </w:r>
      <w:r w:rsidR="004C2CEB">
        <w:t>(to build infrastructure and accumulate private capital) has exceeded the small</w:t>
      </w:r>
      <w:r w:rsidR="00B949AF">
        <w:t xml:space="preserve"> pool</w:t>
      </w:r>
      <w:r w:rsidR="004C2CEB">
        <w:t xml:space="preserve"> </w:t>
      </w:r>
      <w:r w:rsidR="00616F53">
        <w:t>of domestic savings</w:t>
      </w:r>
      <w:r w:rsidR="00B949AF">
        <w:t xml:space="preserve">. Given this, </w:t>
      </w:r>
      <w:r w:rsidR="0029165A">
        <w:t xml:space="preserve">Australians had the choice between severely curtailing present consumption to fund investment or borrowing from abroad. </w:t>
      </w:r>
      <w:r w:rsidR="00A521C3">
        <w:t>They have typically chosen the la</w:t>
      </w:r>
      <w:r w:rsidR="006B0BAC">
        <w:t>t</w:t>
      </w:r>
      <w:r w:rsidR="00A521C3">
        <w:t>ter, leading to persistent current account deficits (</w:t>
      </w:r>
      <w:r w:rsidR="00722AED">
        <w:t xml:space="preserve">CAD, </w:t>
      </w:r>
      <w:r w:rsidR="00A521C3">
        <w:t>figure </w:t>
      </w:r>
      <w:r w:rsidR="00A826AC">
        <w:t>D</w:t>
      </w:r>
      <w:r w:rsidR="001C2C78">
        <w:t>.3</w:t>
      </w:r>
      <w:r w:rsidR="00A521C3">
        <w:t xml:space="preserve">). </w:t>
      </w:r>
      <w:r w:rsidR="0007246D">
        <w:t>Under flexible exchange rate</w:t>
      </w:r>
      <w:r w:rsidR="00722AED">
        <w:t xml:space="preserve">s, which have been in place since 1983, </w:t>
      </w:r>
      <w:r w:rsidR="00D134E0">
        <w:t xml:space="preserve">fluctuations in the CAD would typically be accommodated by fluctuations in the exchange rate with minimal disruption to the economy. </w:t>
      </w:r>
    </w:p>
    <w:p w14:paraId="6EAF1EB1" w14:textId="77777777" w:rsidR="00CB1B8C" w:rsidRDefault="00CB1B8C" w:rsidP="00C94298">
      <w:pPr>
        <w:pStyle w:val="BodyText"/>
      </w:pPr>
      <w:r>
        <w:t>However, under fixed exchange rates (which was the case, with some interpretations from 1910 to 1983) or monetary union (de-facto use of British currency</w:t>
      </w:r>
      <w:r w:rsidRPr="00621D6F">
        <w:rPr>
          <w:rStyle w:val="FootnoteReference"/>
        </w:rPr>
        <w:footnoteReference w:id="10"/>
      </w:r>
      <w:r>
        <w:t xml:space="preserve"> was the norm prior to 1910) sudden CAD fluctuations can be destabilising </w:t>
      </w:r>
      <w:r w:rsidRPr="00376EC9">
        <w:rPr>
          <w:szCs w:val="24"/>
        </w:rPr>
        <w:t>(Dyster and Meredith 2012, pp. 127–128)</w:t>
      </w:r>
      <w:r>
        <w:t>. During periods of economic growth, CADs can build as foreign lenders supply capital to local entrepreneurs, leading to higher incomes and higher imports (reducing the net trade balance by an amount that maintains zero balance of payments)</w:t>
      </w:r>
      <w:r w:rsidR="00555079">
        <w:t>.</w:t>
      </w:r>
      <w:r>
        <w:t xml:space="preserve"> However, if foreign lenders lose confidence in the ability of domestic borrowers to make repayments, as occurred in the 1890 depression, this can lead to a sudden shortage of foreign capital. This lowers investment and incomes, leading to an improvement in net exports (often induced by a recession). </w:t>
      </w:r>
    </w:p>
    <w:p w14:paraId="4F3962B0" w14:textId="77777777" w:rsidR="00016BDF" w:rsidRDefault="00016BDF" w:rsidP="00016BD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16BDF" w14:paraId="09571790" w14:textId="77777777" w:rsidTr="00930570">
        <w:trPr>
          <w:tblHeader/>
        </w:trPr>
        <w:tc>
          <w:tcPr>
            <w:tcW w:w="5000" w:type="pct"/>
            <w:tcBorders>
              <w:top w:val="single" w:sz="6" w:space="0" w:color="78A22F"/>
              <w:left w:val="nil"/>
              <w:bottom w:val="nil"/>
              <w:right w:val="nil"/>
            </w:tcBorders>
            <w:shd w:val="clear" w:color="auto" w:fill="auto"/>
          </w:tcPr>
          <w:p w14:paraId="678BD37A" w14:textId="77777777" w:rsidR="00016BDF" w:rsidRPr="00260E3D" w:rsidRDefault="00016BDF" w:rsidP="00930570">
            <w:pPr>
              <w:pStyle w:val="FigureTitle"/>
              <w:rPr>
                <w:sz w:val="24"/>
                <w:szCs w:val="24"/>
              </w:rPr>
            </w:pPr>
            <w:r w:rsidRPr="00260E3D">
              <w:rPr>
                <w:b w:val="0"/>
                <w:sz w:val="24"/>
                <w:szCs w:val="24"/>
              </w:rPr>
              <w:t xml:space="preserve">Figure </w:t>
            </w:r>
            <w:r w:rsidR="00A826AC" w:rsidRPr="00260E3D">
              <w:rPr>
                <w:b w:val="0"/>
                <w:sz w:val="24"/>
                <w:szCs w:val="24"/>
              </w:rPr>
              <w:t>D</w:t>
            </w:r>
            <w:r w:rsidR="000E368A" w:rsidRPr="00260E3D">
              <w:rPr>
                <w:b w:val="0"/>
                <w:sz w:val="24"/>
                <w:szCs w:val="24"/>
              </w:rPr>
              <w:t>.3</w:t>
            </w:r>
            <w:r w:rsidRPr="00260E3D">
              <w:rPr>
                <w:sz w:val="24"/>
                <w:szCs w:val="24"/>
              </w:rPr>
              <w:tab/>
              <w:t>Current account deficits have been a persistent feature of Australian economic history</w:t>
            </w:r>
          </w:p>
          <w:p w14:paraId="7A3CCB7B" w14:textId="77777777" w:rsidR="00016BDF" w:rsidRPr="00176D3F" w:rsidRDefault="00016BDF" w:rsidP="00930570">
            <w:pPr>
              <w:pStyle w:val="Subtitle"/>
            </w:pPr>
            <w:r w:rsidRPr="00016BDF">
              <w:t>Current account</w:t>
            </w:r>
            <w:r w:rsidR="00801679" w:rsidRPr="00333D15">
              <w:rPr>
                <w:rStyle w:val="NoteLabel"/>
              </w:rPr>
              <w:t>a</w:t>
            </w:r>
            <w:r w:rsidRPr="00016BDF">
              <w:t xml:space="preserve"> (% of GDP</w:t>
            </w:r>
            <w:r w:rsidR="006E3EE2">
              <w:t>, annual</w:t>
            </w:r>
            <w:r w:rsidRPr="00016BDF">
              <w:t>)</w:t>
            </w:r>
            <w:r w:rsidR="00801679">
              <w:t xml:space="preserve"> from 1861 to 2010</w:t>
            </w:r>
          </w:p>
        </w:tc>
      </w:tr>
      <w:tr w:rsidR="00016BDF" w14:paraId="15E8B644" w14:textId="77777777" w:rsidTr="0093057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016BDF" w:rsidRPr="00B1465D" w14:paraId="5590C78E" w14:textId="77777777" w:rsidTr="00C56588">
              <w:trPr>
                <w:tblHeader/>
                <w:jc w:val="center"/>
              </w:trPr>
              <w:tc>
                <w:tcPr>
                  <w:tcW w:w="8504" w:type="dxa"/>
                  <w:tcBorders>
                    <w:top w:val="nil"/>
                    <w:bottom w:val="nil"/>
                  </w:tcBorders>
                </w:tcPr>
                <w:p w14:paraId="6D2F95C0" w14:textId="77777777" w:rsidR="00016BDF" w:rsidRPr="00B1465D" w:rsidRDefault="00260E3D" w:rsidP="00930570">
                  <w:pPr>
                    <w:pStyle w:val="Figure"/>
                    <w:spacing w:before="60" w:after="60"/>
                    <w:rPr>
                      <w:rFonts w:ascii="Arial" w:hAnsi="Arial" w:cs="Arial"/>
                      <w:sz w:val="18"/>
                      <w:szCs w:val="18"/>
                    </w:rPr>
                  </w:pPr>
                  <w:r w:rsidRPr="00260E3D">
                    <w:rPr>
                      <w:rFonts w:ascii="Arial" w:hAnsi="Arial" w:cs="Arial"/>
                      <w:noProof/>
                      <w:sz w:val="18"/>
                      <w:szCs w:val="18"/>
                    </w:rPr>
                    <w:drawing>
                      <wp:inline distT="0" distB="0" distL="0" distR="0" wp14:anchorId="42AF9B20" wp14:editId="65DF052C">
                        <wp:extent cx="5577205" cy="2616200"/>
                        <wp:effectExtent l="0" t="0" r="4445" b="0"/>
                        <wp:docPr id="1" name="Picture 1" descr="This chart shows the current account deficit as a percentage of GDP between 1861 and 2010. Current account deficits of between 2 to 6 per cent of GDP have been the norm throughout most of Australia’s history with only brief periods of surplus such as shortly following Federation (1901 to 1905), and during the Second World W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7205" cy="2616200"/>
                                </a:xfrm>
                                <a:prstGeom prst="rect">
                                  <a:avLst/>
                                </a:prstGeom>
                                <a:noFill/>
                                <a:ln>
                                  <a:noFill/>
                                </a:ln>
                              </pic:spPr>
                            </pic:pic>
                          </a:graphicData>
                        </a:graphic>
                      </wp:inline>
                    </w:drawing>
                  </w:r>
                </w:p>
              </w:tc>
            </w:tr>
          </w:tbl>
          <w:p w14:paraId="2E448680" w14:textId="77777777" w:rsidR="00016BDF" w:rsidRDefault="00016BDF" w:rsidP="00930570">
            <w:pPr>
              <w:pStyle w:val="Figure"/>
            </w:pPr>
          </w:p>
        </w:tc>
      </w:tr>
      <w:tr w:rsidR="00016BDF" w:rsidRPr="00176D3F" w14:paraId="27CC884B" w14:textId="77777777" w:rsidTr="00930570">
        <w:tc>
          <w:tcPr>
            <w:tcW w:w="5000" w:type="pct"/>
            <w:tcBorders>
              <w:top w:val="nil"/>
              <w:left w:val="nil"/>
              <w:bottom w:val="nil"/>
              <w:right w:val="nil"/>
            </w:tcBorders>
            <w:shd w:val="clear" w:color="auto" w:fill="auto"/>
          </w:tcPr>
          <w:p w14:paraId="1BA51969" w14:textId="77777777" w:rsidR="00016BDF" w:rsidRPr="00176D3F" w:rsidRDefault="00016BDF" w:rsidP="00930570">
            <w:pPr>
              <w:pStyle w:val="Note"/>
            </w:pPr>
            <w:r>
              <w:rPr>
                <w:rStyle w:val="NoteLabel"/>
              </w:rPr>
              <w:t>a</w:t>
            </w:r>
            <w:r>
              <w:t xml:space="preserve"> </w:t>
            </w:r>
            <w:r w:rsidR="00801679">
              <w:t xml:space="preserve">The current account deficit is the sum of the net trade balance (exports </w:t>
            </w:r>
            <w:r w:rsidR="00CB1B8C">
              <w:t>minus</w:t>
            </w:r>
            <w:r w:rsidR="00801679">
              <w:t xml:space="preserve"> imports) and net primary income (income</w:t>
            </w:r>
            <w:r w:rsidR="00A7134A">
              <w:t xml:space="preserve"> on investment</w:t>
            </w:r>
            <w:r w:rsidR="00801679">
              <w:t xml:space="preserve"> received from foreigners minus income</w:t>
            </w:r>
            <w:r w:rsidR="00A7134A">
              <w:t xml:space="preserve"> from investment</w:t>
            </w:r>
            <w:r w:rsidR="00801679">
              <w:t xml:space="preserve"> paid to foreigners)</w:t>
            </w:r>
            <w:r>
              <w:t xml:space="preserve">. </w:t>
            </w:r>
          </w:p>
        </w:tc>
      </w:tr>
      <w:tr w:rsidR="00016BDF" w:rsidRPr="00176D3F" w14:paraId="3C6D555B" w14:textId="77777777" w:rsidTr="00930570">
        <w:tc>
          <w:tcPr>
            <w:tcW w:w="5000" w:type="pct"/>
            <w:tcBorders>
              <w:top w:val="nil"/>
              <w:left w:val="nil"/>
              <w:bottom w:val="nil"/>
              <w:right w:val="nil"/>
            </w:tcBorders>
            <w:shd w:val="clear" w:color="auto" w:fill="auto"/>
          </w:tcPr>
          <w:p w14:paraId="6C957318" w14:textId="77777777" w:rsidR="00016BDF" w:rsidRPr="00176D3F" w:rsidRDefault="00016BDF" w:rsidP="00930570">
            <w:pPr>
              <w:pStyle w:val="Source"/>
            </w:pPr>
            <w:r>
              <w:rPr>
                <w:i/>
              </w:rPr>
              <w:t>S</w:t>
            </w:r>
            <w:r w:rsidRPr="00784A05">
              <w:rPr>
                <w:i/>
              </w:rPr>
              <w:t>ource</w:t>
            </w:r>
            <w:r w:rsidRPr="00176D3F">
              <w:t xml:space="preserve">: </w:t>
            </w:r>
            <w:r>
              <w:t xml:space="preserve">Butlin et al </w:t>
            </w:r>
            <w:r w:rsidR="00C139BC" w:rsidRPr="00C139BC">
              <w:rPr>
                <w:rFonts w:cs="Arial"/>
              </w:rPr>
              <w:t>(2015)</w:t>
            </w:r>
            <w:r w:rsidR="00C139BC">
              <w:t>.</w:t>
            </w:r>
          </w:p>
        </w:tc>
      </w:tr>
      <w:tr w:rsidR="00016BDF" w14:paraId="77D78653" w14:textId="77777777" w:rsidTr="00930570">
        <w:tc>
          <w:tcPr>
            <w:tcW w:w="5000" w:type="pct"/>
            <w:tcBorders>
              <w:top w:val="nil"/>
              <w:left w:val="nil"/>
              <w:bottom w:val="single" w:sz="6" w:space="0" w:color="78A22F"/>
              <w:right w:val="nil"/>
            </w:tcBorders>
            <w:shd w:val="clear" w:color="auto" w:fill="auto"/>
          </w:tcPr>
          <w:p w14:paraId="497064CA" w14:textId="77777777" w:rsidR="00016BDF" w:rsidRDefault="00016BDF" w:rsidP="00930570">
            <w:pPr>
              <w:pStyle w:val="Figurespace"/>
            </w:pPr>
          </w:p>
        </w:tc>
      </w:tr>
      <w:tr w:rsidR="00016BDF" w:rsidRPr="000863A5" w14:paraId="6AB993D2" w14:textId="77777777" w:rsidTr="00930570">
        <w:tc>
          <w:tcPr>
            <w:tcW w:w="5000" w:type="pct"/>
            <w:tcBorders>
              <w:top w:val="single" w:sz="6" w:space="0" w:color="78A22F"/>
              <w:left w:val="nil"/>
              <w:bottom w:val="nil"/>
              <w:right w:val="nil"/>
            </w:tcBorders>
          </w:tcPr>
          <w:p w14:paraId="22492267" w14:textId="77777777" w:rsidR="00016BDF" w:rsidRPr="00626D32" w:rsidRDefault="00016BDF" w:rsidP="00930570">
            <w:pPr>
              <w:pStyle w:val="BoxSpaceBelow"/>
            </w:pPr>
          </w:p>
        </w:tc>
      </w:tr>
    </w:tbl>
    <w:p w14:paraId="6C68C74A" w14:textId="77777777" w:rsidR="001C2C78" w:rsidRPr="00260E3D" w:rsidRDefault="001C2C78" w:rsidP="00B51FE5">
      <w:pPr>
        <w:pStyle w:val="BodyText"/>
        <w:spacing w:before="120"/>
        <w:rPr>
          <w:spacing w:val="-2"/>
        </w:rPr>
      </w:pPr>
      <w:r w:rsidRPr="00260E3D">
        <w:rPr>
          <w:spacing w:val="-2"/>
        </w:rPr>
        <w:t xml:space="preserve">This cycle of CAD deficits followed by crises was a justification for tariff protection. By limiting the demand for foreign imports, it was thought, Australia could reduce its CAD deficit before a crisis of confidence occurred. This was clearly a goal of the Australian Government, and indeed most foreign governments, during the Great Depression when concern grew about the drying up of global capital markets </w:t>
      </w:r>
      <w:r w:rsidRPr="00260E3D">
        <w:rPr>
          <w:spacing w:val="-2"/>
          <w:szCs w:val="24"/>
        </w:rPr>
        <w:t>(Dyster and Meredith 2012, pp. 127–128)</w:t>
      </w:r>
      <w:r w:rsidRPr="00260E3D">
        <w:rPr>
          <w:spacing w:val="-2"/>
        </w:rPr>
        <w:t xml:space="preserve">. </w:t>
      </w:r>
    </w:p>
    <w:p w14:paraId="0AB24039" w14:textId="77777777" w:rsidR="008068E8" w:rsidRPr="00B51FE5" w:rsidRDefault="00EA0F29" w:rsidP="00C94298">
      <w:pPr>
        <w:pStyle w:val="BodyText"/>
        <w:rPr>
          <w:spacing w:val="-4"/>
        </w:rPr>
      </w:pPr>
      <w:r w:rsidRPr="00B51FE5">
        <w:rPr>
          <w:spacing w:val="-4"/>
        </w:rPr>
        <w:t>Neither r</w:t>
      </w:r>
      <w:r w:rsidR="00214E0C" w:rsidRPr="00B51FE5">
        <w:rPr>
          <w:spacing w:val="-4"/>
        </w:rPr>
        <w:t xml:space="preserve">estricting imports </w:t>
      </w:r>
      <w:r w:rsidRPr="00B51FE5">
        <w:rPr>
          <w:spacing w:val="-4"/>
        </w:rPr>
        <w:t xml:space="preserve">or capital controls </w:t>
      </w:r>
      <w:r w:rsidR="00214E0C" w:rsidRPr="00B51FE5">
        <w:rPr>
          <w:spacing w:val="-4"/>
        </w:rPr>
        <w:t xml:space="preserve">is first </w:t>
      </w:r>
      <w:r w:rsidR="004D7742" w:rsidRPr="00B51FE5">
        <w:rPr>
          <w:spacing w:val="-4"/>
        </w:rPr>
        <w:t xml:space="preserve">best policy for </w:t>
      </w:r>
      <w:r w:rsidR="0054138E" w:rsidRPr="00B51FE5">
        <w:rPr>
          <w:spacing w:val="-4"/>
        </w:rPr>
        <w:t>preventing</w:t>
      </w:r>
      <w:r w:rsidR="004D7742" w:rsidRPr="00B51FE5">
        <w:rPr>
          <w:spacing w:val="-4"/>
        </w:rPr>
        <w:t xml:space="preserve"> </w:t>
      </w:r>
      <w:r w:rsidR="0054138E" w:rsidRPr="00B51FE5">
        <w:rPr>
          <w:spacing w:val="-4"/>
        </w:rPr>
        <w:t>balance of payment crises</w:t>
      </w:r>
      <w:r w:rsidR="00D22C47" w:rsidRPr="00B51FE5">
        <w:rPr>
          <w:spacing w:val="-4"/>
        </w:rPr>
        <w:t xml:space="preserve"> </w:t>
      </w:r>
      <w:r w:rsidR="004902FB" w:rsidRPr="00B51FE5">
        <w:rPr>
          <w:spacing w:val="-4"/>
        </w:rPr>
        <w:t xml:space="preserve">even </w:t>
      </w:r>
      <w:r w:rsidR="00D22C47" w:rsidRPr="00B51FE5">
        <w:rPr>
          <w:spacing w:val="-4"/>
        </w:rPr>
        <w:t>under a fixed exchange rate regime</w:t>
      </w:r>
      <w:r w:rsidR="004D7742" w:rsidRPr="00B51FE5">
        <w:rPr>
          <w:spacing w:val="-4"/>
        </w:rPr>
        <w:t xml:space="preserve">. </w:t>
      </w:r>
      <w:r w:rsidRPr="00B51FE5">
        <w:rPr>
          <w:spacing w:val="-4"/>
        </w:rPr>
        <w:t>Instead, a</w:t>
      </w:r>
      <w:r w:rsidR="0054138E" w:rsidRPr="00B51FE5">
        <w:rPr>
          <w:spacing w:val="-4"/>
        </w:rPr>
        <w:t xml:space="preserve"> devaluation of the currency</w:t>
      </w:r>
      <w:r w:rsidR="006E7012" w:rsidRPr="00B51FE5">
        <w:rPr>
          <w:spacing w:val="-4"/>
        </w:rPr>
        <w:t xml:space="preserve"> </w:t>
      </w:r>
      <w:r w:rsidR="00413029" w:rsidRPr="00B51FE5">
        <w:rPr>
          <w:spacing w:val="-4"/>
        </w:rPr>
        <w:t>can</w:t>
      </w:r>
      <w:r w:rsidR="006E7012" w:rsidRPr="00B51FE5">
        <w:rPr>
          <w:spacing w:val="-4"/>
        </w:rPr>
        <w:t xml:space="preserve"> </w:t>
      </w:r>
      <w:r w:rsidR="00D73DF5" w:rsidRPr="00B51FE5">
        <w:rPr>
          <w:spacing w:val="-4"/>
        </w:rPr>
        <w:t xml:space="preserve">increase net exports </w:t>
      </w:r>
      <w:r w:rsidR="00413029" w:rsidRPr="00B51FE5">
        <w:rPr>
          <w:spacing w:val="-4"/>
        </w:rPr>
        <w:t>by an amount that would offset the fall in foreign exchange</w:t>
      </w:r>
      <w:r w:rsidR="004943CD" w:rsidRPr="00B51FE5">
        <w:rPr>
          <w:spacing w:val="-4"/>
        </w:rPr>
        <w:t xml:space="preserve"> reserves</w:t>
      </w:r>
      <w:r w:rsidR="00413029" w:rsidRPr="00B51FE5">
        <w:rPr>
          <w:spacing w:val="-4"/>
        </w:rPr>
        <w:t xml:space="preserve"> </w:t>
      </w:r>
      <w:r w:rsidR="004943CD" w:rsidRPr="00B51FE5">
        <w:rPr>
          <w:spacing w:val="-4"/>
        </w:rPr>
        <w:t>resulting from sudden</w:t>
      </w:r>
      <w:r w:rsidR="00E7337C" w:rsidRPr="00B51FE5">
        <w:rPr>
          <w:spacing w:val="-4"/>
        </w:rPr>
        <w:t xml:space="preserve"> capital </w:t>
      </w:r>
      <w:r w:rsidR="004943CD" w:rsidRPr="00B51FE5">
        <w:rPr>
          <w:spacing w:val="-4"/>
        </w:rPr>
        <w:t>outflows</w:t>
      </w:r>
      <w:r w:rsidRPr="00B51FE5">
        <w:rPr>
          <w:spacing w:val="-4"/>
        </w:rPr>
        <w:t xml:space="preserve"> </w:t>
      </w:r>
      <w:r w:rsidR="00DE5FF7" w:rsidRPr="00B51FE5">
        <w:rPr>
          <w:spacing w:val="-4"/>
          <w:szCs w:val="24"/>
        </w:rPr>
        <w:t>(Corden 1996)</w:t>
      </w:r>
      <w:r w:rsidR="00F2095A" w:rsidRPr="00B51FE5">
        <w:rPr>
          <w:spacing w:val="-4"/>
        </w:rPr>
        <w:t>.</w:t>
      </w:r>
      <w:r w:rsidR="00CD5C42" w:rsidRPr="00B51FE5">
        <w:rPr>
          <w:spacing w:val="-4"/>
        </w:rPr>
        <w:t xml:space="preserve"> </w:t>
      </w:r>
      <w:r w:rsidR="00393F6A" w:rsidRPr="00B51FE5">
        <w:rPr>
          <w:spacing w:val="-4"/>
        </w:rPr>
        <w:t>Governments</w:t>
      </w:r>
      <w:r w:rsidR="00CD5C42" w:rsidRPr="00B51FE5">
        <w:rPr>
          <w:spacing w:val="-4"/>
        </w:rPr>
        <w:t xml:space="preserve"> could </w:t>
      </w:r>
      <w:r w:rsidR="004247B7" w:rsidRPr="00B51FE5">
        <w:rPr>
          <w:spacing w:val="-4"/>
        </w:rPr>
        <w:t>also</w:t>
      </w:r>
      <w:r w:rsidR="00CD5C42" w:rsidRPr="00B51FE5">
        <w:rPr>
          <w:spacing w:val="-4"/>
        </w:rPr>
        <w:t xml:space="preserve"> have </w:t>
      </w:r>
      <w:r w:rsidR="00B041B2" w:rsidRPr="00B51FE5">
        <w:rPr>
          <w:spacing w:val="-4"/>
        </w:rPr>
        <w:t>restricted</w:t>
      </w:r>
      <w:r w:rsidR="00CD5C42" w:rsidRPr="00B51FE5">
        <w:rPr>
          <w:spacing w:val="-4"/>
        </w:rPr>
        <w:t xml:space="preserve"> the type of </w:t>
      </w:r>
      <w:r w:rsidR="00B041B2" w:rsidRPr="00B51FE5">
        <w:rPr>
          <w:spacing w:val="-4"/>
        </w:rPr>
        <w:t>foreign financing that could occur (emphasises long</w:t>
      </w:r>
      <w:r w:rsidR="00B041B2" w:rsidRPr="00B51FE5">
        <w:rPr>
          <w:spacing w:val="-4"/>
        </w:rPr>
        <w:noBreakHyphen/>
        <w:t>term rather than short</w:t>
      </w:r>
      <w:r w:rsidR="00B041B2" w:rsidRPr="00B51FE5">
        <w:rPr>
          <w:spacing w:val="-4"/>
        </w:rPr>
        <w:noBreakHyphen/>
        <w:t xml:space="preserve">term debt or </w:t>
      </w:r>
      <w:r w:rsidR="004559FC" w:rsidRPr="00B51FE5">
        <w:rPr>
          <w:spacing w:val="-4"/>
        </w:rPr>
        <w:t>equity rather debt</w:t>
      </w:r>
      <w:r w:rsidR="00B2526C" w:rsidRPr="00B51FE5">
        <w:rPr>
          <w:spacing w:val="-4"/>
        </w:rPr>
        <w:t xml:space="preserve"> or even limiting the </w:t>
      </w:r>
      <w:r w:rsidR="00B80EB0" w:rsidRPr="00B51FE5">
        <w:rPr>
          <w:spacing w:val="-4"/>
        </w:rPr>
        <w:t>recourse of foreign lenders</w:t>
      </w:r>
      <w:r w:rsidR="001B1350" w:rsidRPr="00B51FE5">
        <w:rPr>
          <w:spacing w:val="-4"/>
        </w:rPr>
        <w:t>)</w:t>
      </w:r>
      <w:r w:rsidR="00E642DB" w:rsidRPr="00B51FE5">
        <w:rPr>
          <w:spacing w:val="-4"/>
        </w:rPr>
        <w:t xml:space="preserve"> or, given that </w:t>
      </w:r>
      <w:r w:rsidR="00150533" w:rsidRPr="00B51FE5">
        <w:rPr>
          <w:spacing w:val="-4"/>
        </w:rPr>
        <w:t>governments themselves were often the borrowers, default on or restructure their obligations if payment became difficult</w:t>
      </w:r>
      <w:r w:rsidR="001B1350" w:rsidRPr="00B51FE5">
        <w:rPr>
          <w:spacing w:val="-4"/>
        </w:rPr>
        <w:t>.</w:t>
      </w:r>
      <w:r w:rsidR="00F2095A" w:rsidRPr="00B51FE5">
        <w:rPr>
          <w:spacing w:val="-4"/>
        </w:rPr>
        <w:t xml:space="preserve"> However,</w:t>
      </w:r>
      <w:r w:rsidR="00B80EB0" w:rsidRPr="00B51FE5">
        <w:rPr>
          <w:spacing w:val="-4"/>
        </w:rPr>
        <w:t xml:space="preserve"> mainly </w:t>
      </w:r>
      <w:r w:rsidR="001B1350" w:rsidRPr="00B51FE5">
        <w:rPr>
          <w:spacing w:val="-4"/>
        </w:rPr>
        <w:t xml:space="preserve">due to the strong cultural and political ties between Australia and its chief </w:t>
      </w:r>
      <w:r w:rsidR="00B2526C" w:rsidRPr="00B51FE5">
        <w:rPr>
          <w:spacing w:val="-4"/>
        </w:rPr>
        <w:t>financier, Great Britain</w:t>
      </w:r>
      <w:r w:rsidR="0074092D" w:rsidRPr="00B51FE5">
        <w:rPr>
          <w:spacing w:val="-4"/>
        </w:rPr>
        <w:t xml:space="preserve">, </w:t>
      </w:r>
      <w:r w:rsidR="00150533" w:rsidRPr="00B51FE5">
        <w:rPr>
          <w:spacing w:val="-4"/>
        </w:rPr>
        <w:t>none</w:t>
      </w:r>
      <w:r w:rsidR="0074092D" w:rsidRPr="00B51FE5">
        <w:rPr>
          <w:spacing w:val="-4"/>
        </w:rPr>
        <w:t xml:space="preserve"> of these options were used in the 1890 depression and devaluation was only very reluctantly used during the Great Depression</w:t>
      </w:r>
      <w:r w:rsidR="00DE5FF7" w:rsidRPr="00B51FE5">
        <w:rPr>
          <w:spacing w:val="-4"/>
        </w:rPr>
        <w:t xml:space="preserve"> </w:t>
      </w:r>
      <w:r w:rsidR="00DE5FF7" w:rsidRPr="00B51FE5">
        <w:rPr>
          <w:spacing w:val="-4"/>
          <w:szCs w:val="24"/>
        </w:rPr>
        <w:t>(McLean 2013)</w:t>
      </w:r>
      <w:r w:rsidR="0074092D" w:rsidRPr="00B51FE5">
        <w:rPr>
          <w:spacing w:val="-4"/>
        </w:rPr>
        <w:t xml:space="preserve">. </w:t>
      </w:r>
    </w:p>
    <w:p w14:paraId="73567231" w14:textId="77777777" w:rsidR="00E46A48" w:rsidRDefault="00272A4E" w:rsidP="00B51FE5">
      <w:pPr>
        <w:pStyle w:val="BodyText"/>
      </w:pPr>
      <w:r w:rsidRPr="00B51FE5">
        <w:rPr>
          <w:spacing w:val="-4"/>
        </w:rPr>
        <w:t xml:space="preserve">It is beyond the scope of this paper to determine how well protectionism </w:t>
      </w:r>
      <w:r w:rsidR="00DD793C" w:rsidRPr="00B51FE5">
        <w:rPr>
          <w:spacing w:val="-4"/>
        </w:rPr>
        <w:t>worked in</w:t>
      </w:r>
      <w:r w:rsidRPr="00B51FE5">
        <w:rPr>
          <w:spacing w:val="-4"/>
        </w:rPr>
        <w:t xml:space="preserve"> practice</w:t>
      </w:r>
      <w:r w:rsidRPr="00B51FE5">
        <w:rPr>
          <w:i/>
          <w:iCs/>
          <w:spacing w:val="-4"/>
        </w:rPr>
        <w:t xml:space="preserve"> </w:t>
      </w:r>
      <w:r w:rsidR="00236400" w:rsidRPr="00B51FE5">
        <w:rPr>
          <w:iCs/>
          <w:spacing w:val="-4"/>
        </w:rPr>
        <w:t>(</w:t>
      </w:r>
      <w:r w:rsidRPr="00B51FE5">
        <w:rPr>
          <w:spacing w:val="-4"/>
        </w:rPr>
        <w:t>not just in theory</w:t>
      </w:r>
      <w:r w:rsidR="00236400" w:rsidRPr="00B51FE5">
        <w:rPr>
          <w:spacing w:val="-4"/>
        </w:rPr>
        <w:t>)</w:t>
      </w:r>
      <w:r w:rsidR="00DD793C" w:rsidRPr="00B51FE5">
        <w:rPr>
          <w:spacing w:val="-4"/>
        </w:rPr>
        <w:t xml:space="preserve"> in</w:t>
      </w:r>
      <w:r w:rsidRPr="00B51FE5">
        <w:rPr>
          <w:spacing w:val="-4"/>
        </w:rPr>
        <w:t xml:space="preserve"> address</w:t>
      </w:r>
      <w:r w:rsidR="00DD793C" w:rsidRPr="00B51FE5">
        <w:rPr>
          <w:spacing w:val="-4"/>
        </w:rPr>
        <w:t>ing</w:t>
      </w:r>
      <w:r w:rsidRPr="00B51FE5">
        <w:rPr>
          <w:spacing w:val="-4"/>
        </w:rPr>
        <w:t xml:space="preserve"> the issue of</w:t>
      </w:r>
      <w:r w:rsidR="00A10E0B" w:rsidRPr="00B51FE5">
        <w:rPr>
          <w:spacing w:val="-4"/>
        </w:rPr>
        <w:t xml:space="preserve"> balance of payment crises and whether the benefits of doing so outweighed the </w:t>
      </w:r>
      <w:r w:rsidR="00016BDF" w:rsidRPr="00B51FE5">
        <w:rPr>
          <w:spacing w:val="-4"/>
        </w:rPr>
        <w:t xml:space="preserve">costs of reduced competition. </w:t>
      </w:r>
      <w:r w:rsidR="00C030A6" w:rsidRPr="00B51FE5">
        <w:rPr>
          <w:spacing w:val="-4"/>
        </w:rPr>
        <w:t>That said, if one</w:t>
      </w:r>
      <w:r w:rsidR="00282A3A" w:rsidRPr="00B51FE5">
        <w:rPr>
          <w:spacing w:val="-4"/>
        </w:rPr>
        <w:t xml:space="preserve"> </w:t>
      </w:r>
      <w:r w:rsidR="00C030A6" w:rsidRPr="00B51FE5">
        <w:rPr>
          <w:spacing w:val="-4"/>
        </w:rPr>
        <w:t>takes the policy constraints o</w:t>
      </w:r>
      <w:r w:rsidR="009C6AEA" w:rsidRPr="00B51FE5">
        <w:rPr>
          <w:spacing w:val="-4"/>
        </w:rPr>
        <w:t>n</w:t>
      </w:r>
      <w:r w:rsidR="00C030A6" w:rsidRPr="00B51FE5">
        <w:rPr>
          <w:spacing w:val="-4"/>
        </w:rPr>
        <w:t xml:space="preserve"> </w:t>
      </w:r>
      <w:r w:rsidR="009C6AEA" w:rsidRPr="00B51FE5">
        <w:rPr>
          <w:spacing w:val="-4"/>
        </w:rPr>
        <w:t>exchange rates</w:t>
      </w:r>
      <w:r w:rsidR="00C030A6" w:rsidRPr="00B51FE5">
        <w:rPr>
          <w:spacing w:val="-4"/>
        </w:rPr>
        <w:t xml:space="preserve"> and </w:t>
      </w:r>
      <w:r w:rsidR="009C6AEA" w:rsidRPr="00B51FE5">
        <w:rPr>
          <w:spacing w:val="-4"/>
        </w:rPr>
        <w:t>capital controls as given</w:t>
      </w:r>
      <w:r w:rsidR="00282A3A" w:rsidRPr="00B51FE5">
        <w:rPr>
          <w:spacing w:val="-4"/>
        </w:rPr>
        <w:t xml:space="preserve">, it is difficult to </w:t>
      </w:r>
      <w:r w:rsidR="00255A5D" w:rsidRPr="00B51FE5">
        <w:rPr>
          <w:spacing w:val="-4"/>
        </w:rPr>
        <w:t xml:space="preserve">see </w:t>
      </w:r>
      <w:r w:rsidR="0058325F" w:rsidRPr="00B51FE5">
        <w:rPr>
          <w:spacing w:val="-4"/>
        </w:rPr>
        <w:t xml:space="preserve">what better alternatives existed to deal with balance of payment crises than protectionism. </w:t>
      </w:r>
      <w:r w:rsidR="00801679" w:rsidRPr="00B51FE5">
        <w:rPr>
          <w:spacing w:val="-4"/>
        </w:rPr>
        <w:t xml:space="preserve">Though, these protectionist measures became unnecessary once the currency was floated in 1983. </w:t>
      </w:r>
      <w:r w:rsidR="00E46A48">
        <w:br w:type="page"/>
      </w:r>
    </w:p>
    <w:p w14:paraId="5667B770" w14:textId="77777777" w:rsidR="00AB5285" w:rsidRDefault="00A826AC" w:rsidP="00A826AC">
      <w:pPr>
        <w:pStyle w:val="Heading1"/>
      </w:pPr>
      <w:bookmarkStart w:id="20" w:name="_Toc56436180"/>
      <w:r>
        <w:lastRenderedPageBreak/>
        <w:t>E</w:t>
      </w:r>
      <w:r w:rsidR="00E46A48">
        <w:tab/>
        <w:t xml:space="preserve">Was Australia’s income lead </w:t>
      </w:r>
      <w:r w:rsidR="00C11AC1">
        <w:t>the result of mismeasurement</w:t>
      </w:r>
      <w:r w:rsidR="00E46A48">
        <w:t>?</w:t>
      </w:r>
      <w:bookmarkEnd w:id="20"/>
    </w:p>
    <w:p w14:paraId="63F5246B" w14:textId="77777777" w:rsidR="00D3296D" w:rsidRDefault="00D3296D" w:rsidP="00CA61A4">
      <w:pPr>
        <w:pStyle w:val="Heading2"/>
      </w:pPr>
      <w:bookmarkStart w:id="21" w:name="_Toc56436181"/>
      <w:r>
        <w:t>Summary</w:t>
      </w:r>
      <w:bookmarkEnd w:id="21"/>
    </w:p>
    <w:p w14:paraId="4E8309D1" w14:textId="77777777" w:rsidR="002634D4" w:rsidRDefault="002634D4">
      <w:pPr>
        <w:pStyle w:val="BodyText"/>
      </w:pPr>
      <w:r>
        <w:t>Official Australian GDP statistics by the ABS begin in 1959</w:t>
      </w:r>
      <w:r>
        <w:noBreakHyphen/>
        <w:t xml:space="preserve">60, with some earlier estimates from its predecessor, the Bureau of the Census, </w:t>
      </w:r>
      <w:r w:rsidR="007E0AD8">
        <w:t>for the years</w:t>
      </w:r>
      <w:r>
        <w:t xml:space="preserve"> </w:t>
      </w:r>
      <w:r w:rsidR="007E0AD8">
        <w:t>1939</w:t>
      </w:r>
      <w:r w:rsidR="007E0AD8">
        <w:noBreakHyphen/>
        <w:t>40 to 1958</w:t>
      </w:r>
      <w:r w:rsidR="007E0AD8">
        <w:noBreakHyphen/>
        <w:t xml:space="preserve">59, leaving the period up to about 1940 as lacking official estimates of output. The most widely accepted estimates between </w:t>
      </w:r>
      <w:r w:rsidR="00F37626">
        <w:t>1788</w:t>
      </w:r>
      <w:r w:rsidR="007E0AD8">
        <w:t xml:space="preserve"> to </w:t>
      </w:r>
      <w:r w:rsidR="00F37626">
        <w:t>1860</w:t>
      </w:r>
      <w:r w:rsidR="007E0AD8">
        <w:t>, and 1861 to 1938</w:t>
      </w:r>
      <w:r w:rsidR="007E0AD8">
        <w:noBreakHyphen/>
        <w:t>39 come from Noel Butlin</w:t>
      </w:r>
      <w:r w:rsidR="00F37626">
        <w:t xml:space="preserve"> </w:t>
      </w:r>
      <w:r w:rsidR="00F37626" w:rsidRPr="00F37626">
        <w:rPr>
          <w:szCs w:val="24"/>
        </w:rPr>
        <w:t>(Butlin 1962; Butlin and Sinclair 1984)</w:t>
      </w:r>
      <w:r w:rsidR="007E0AD8">
        <w:t>.</w:t>
      </w:r>
      <w:r w:rsidR="004E0436">
        <w:t xml:space="preserve"> Comparisons of</w:t>
      </w:r>
      <w:r w:rsidR="00D464FC">
        <w:t xml:space="preserve"> GDP levels between countries are made using purchasing price parity (PPP) conversion estimates constructed by </w:t>
      </w:r>
      <w:r w:rsidR="00133674">
        <w:t>Bolt</w:t>
      </w:r>
      <w:r w:rsidR="00E547B8">
        <w:t xml:space="preserve"> et al. </w:t>
      </w:r>
      <w:r w:rsidR="00E547B8" w:rsidRPr="00E547B8">
        <w:t>(2018)</w:t>
      </w:r>
      <w:r w:rsidR="00435A00">
        <w:t>.</w:t>
      </w:r>
      <w:r w:rsidR="007E0AD8">
        <w:t xml:space="preserve"> </w:t>
      </w:r>
      <w:r w:rsidR="00950AE0">
        <w:t>Together, these</w:t>
      </w:r>
      <w:r w:rsidR="007E0AD8">
        <w:t xml:space="preserve"> estimates have formed the basis of comparisons in the main document. </w:t>
      </w:r>
    </w:p>
    <w:p w14:paraId="141C74D0" w14:textId="77777777" w:rsidR="007E0AD8" w:rsidRPr="002634D4" w:rsidRDefault="007E0AD8">
      <w:pPr>
        <w:pStyle w:val="BodyText"/>
      </w:pPr>
      <w:r>
        <w:t xml:space="preserve">However, these statistics are not without their detractors. </w:t>
      </w:r>
      <w:r w:rsidR="00D464FC">
        <w:t>Haig</w:t>
      </w:r>
      <w:r w:rsidR="00950AE0">
        <w:t xml:space="preserve"> </w:t>
      </w:r>
      <w:r w:rsidR="00950AE0" w:rsidRPr="00950AE0">
        <w:t>(2001)</w:t>
      </w:r>
      <w:r w:rsidR="00D464FC">
        <w:t xml:space="preserve"> criticises Butlin’s estimates on the grounds that the GDP deflators used are based on non-</w:t>
      </w:r>
      <w:r w:rsidR="00B4299A">
        <w:t>representative price</w:t>
      </w:r>
      <w:r w:rsidR="00D464FC">
        <w:t xml:space="preserve"> data, leading to overestimation of real output in the late Nineteenth Century. </w:t>
      </w:r>
      <w:r w:rsidR="00B4299A">
        <w:t>Accepting Haig’s alternative estimates somewhat reduces the lead Au</w:t>
      </w:r>
      <w:r w:rsidR="004E0436">
        <w:t>stralia had in relative GDP per </w:t>
      </w:r>
      <w:r w:rsidR="00B4299A">
        <w:t xml:space="preserve">capita, as well as reducing the size of the subsequent fall. </w:t>
      </w:r>
      <w:r w:rsidR="00D27610">
        <w:t xml:space="preserve">Other estimates try to look beyond the national accounts approach and tend to focus on ‘social indicators’ instead. </w:t>
      </w:r>
    </w:p>
    <w:p w14:paraId="22BA19E5" w14:textId="77777777" w:rsidR="00A826AC" w:rsidRDefault="00A826AC">
      <w:pPr>
        <w:pStyle w:val="BodyText"/>
      </w:pPr>
      <w:r>
        <w:t>The different</w:t>
      </w:r>
      <w:r w:rsidR="00BE07A2">
        <w:t xml:space="preserve"> criticisms </w:t>
      </w:r>
      <w:r w:rsidR="00D27610">
        <w:t>and alternatives estimates</w:t>
      </w:r>
      <w:r>
        <w:t xml:space="preserve"> </w:t>
      </w:r>
      <w:r w:rsidR="00BE07A2">
        <w:t xml:space="preserve">each have different interpretations on the size of the income gap with the US in the late Nineteenth </w:t>
      </w:r>
      <w:r w:rsidR="004E0436">
        <w:t>and early Twentieth Centuries</w:t>
      </w:r>
      <w:r w:rsidR="001842B3">
        <w:t xml:space="preserve">. </w:t>
      </w:r>
      <w:r w:rsidR="00BE07A2">
        <w:t>Because Haig’s estimates only effect real GDP (not nominal estimates), it does not affect the level comparisons of income in the two countries. However, if one does accept Haig’s estimates of</w:t>
      </w:r>
      <w:r w:rsidR="004E0436">
        <w:t xml:space="preserve"> real</w:t>
      </w:r>
      <w:r w:rsidR="00BE07A2">
        <w:t xml:space="preserve"> </w:t>
      </w:r>
      <w:r w:rsidR="004E0436">
        <w:t>output</w:t>
      </w:r>
      <w:r w:rsidR="00BE07A2">
        <w:t xml:space="preserve"> while retaining</w:t>
      </w:r>
      <w:r w:rsidR="007355F3">
        <w:t xml:space="preserve"> nominal estimates of Butlin and</w:t>
      </w:r>
      <w:r w:rsidR="00BE07A2">
        <w:t xml:space="preserve"> the same PPP convertors from </w:t>
      </w:r>
      <w:r w:rsidR="00133674">
        <w:t>Bolt</w:t>
      </w:r>
      <w:r w:rsidR="00BE07A2">
        <w:t xml:space="preserve">, then the causes of Australia’s decline change slightly. It becomes less of a story of declining productivity and more about unfavourable price effects (perhaps due to terms of trade movements). </w:t>
      </w:r>
    </w:p>
    <w:p w14:paraId="588020DC" w14:textId="77777777" w:rsidR="00BE07A2" w:rsidRDefault="00E547B8">
      <w:pPr>
        <w:pStyle w:val="BodyText"/>
      </w:pPr>
      <w:r>
        <w:t>Other criticisms tend to focus on estimates of other</w:t>
      </w:r>
      <w:r w:rsidR="004E0436">
        <w:t xml:space="preserve"> social and</w:t>
      </w:r>
      <w:r>
        <w:t xml:space="preserve"> economic indicators, to assess the reasonableness of the large boom in the late Nineteenth Century and the economic stagnation that occurred between 1890 and the Second World War. On the boom</w:t>
      </w:r>
      <w:r w:rsidR="00BE07A2">
        <w:t xml:space="preserve">, </w:t>
      </w:r>
      <w:r w:rsidR="00183164">
        <w:t>Panza and Williamson</w:t>
      </w:r>
      <w:r w:rsidR="004E0436">
        <w:t>’s</w:t>
      </w:r>
      <w:r w:rsidR="00183164">
        <w:t xml:space="preserve"> </w:t>
      </w:r>
      <w:r w:rsidR="00183164" w:rsidRPr="00183164">
        <w:t>(2018)</w:t>
      </w:r>
      <w:r w:rsidR="00BE07A2">
        <w:t xml:space="preserve"> </w:t>
      </w:r>
      <w:r w:rsidR="00183164">
        <w:t>alternative estimates</w:t>
      </w:r>
      <w:r w:rsidR="004E0436">
        <w:t xml:space="preserve"> of PPP adjusted GDP per capita</w:t>
      </w:r>
      <w:r w:rsidR="00183164">
        <w:t xml:space="preserve"> </w:t>
      </w:r>
      <w:r w:rsidR="00133674">
        <w:t xml:space="preserve">would </w:t>
      </w:r>
      <w:r>
        <w:t>slightly</w:t>
      </w:r>
      <w:r w:rsidR="00133674">
        <w:t xml:space="preserve"> diminish Australia’s income lead in the late Nineteenth Century</w:t>
      </w:r>
      <w:r w:rsidR="00A826AC">
        <w:t xml:space="preserve">, </w:t>
      </w:r>
      <w:r>
        <w:t>and imply</w:t>
      </w:r>
      <w:r w:rsidR="00A826AC">
        <w:t xml:space="preserve"> it would have</w:t>
      </w:r>
      <w:r>
        <w:t xml:space="preserve"> come about</w:t>
      </w:r>
      <w:r w:rsidR="00A826AC">
        <w:t xml:space="preserve"> </w:t>
      </w:r>
      <w:r w:rsidR="004E0436">
        <w:t>suddenly</w:t>
      </w:r>
      <w:r w:rsidR="00A826AC">
        <w:t xml:space="preserve"> </w:t>
      </w:r>
      <w:r w:rsidR="004E0436">
        <w:t>in the 1860s and 1870s</w:t>
      </w:r>
      <w:r w:rsidR="00133674">
        <w:t xml:space="preserve">. </w:t>
      </w:r>
      <w:r>
        <w:t xml:space="preserve">Likewise numerous authors have shown </w:t>
      </w:r>
      <w:r w:rsidR="00CC4A5C">
        <w:t>various</w:t>
      </w:r>
      <w:r>
        <w:t xml:space="preserve"> ‘social indicators’ that raise</w:t>
      </w:r>
      <w:r w:rsidR="004E0436">
        <w:t xml:space="preserve"> either</w:t>
      </w:r>
      <w:r>
        <w:t xml:space="preserve"> questions about whether Australian incomes were truly stagnant as Butlin initially estimated</w:t>
      </w:r>
      <w:r w:rsidR="004E0436">
        <w:t xml:space="preserve"> or raise doubts the link between average incomes and living standards in this period</w:t>
      </w:r>
      <w:r>
        <w:t xml:space="preserve">. </w:t>
      </w:r>
    </w:p>
    <w:p w14:paraId="46797A61" w14:textId="77777777" w:rsidR="00E547B8" w:rsidRPr="00260E3D" w:rsidRDefault="00E547B8">
      <w:pPr>
        <w:pStyle w:val="BodyText"/>
        <w:rPr>
          <w:spacing w:val="-4"/>
        </w:rPr>
      </w:pPr>
      <w:r w:rsidRPr="00260E3D">
        <w:rPr>
          <w:spacing w:val="-4"/>
        </w:rPr>
        <w:lastRenderedPageBreak/>
        <w:t>It is beyond the scope of this paper to evaluate the reasonableness of other estimates, except to note that Butlin’s and Bolt’s figures are still widely accepted. Though, various alternative estimates raise questions about the timing and size of Australia’s rise and fall in relative income, none of them fundamentally question that a rise and fall (albeit perhaps smaller) did occur.</w:t>
      </w:r>
    </w:p>
    <w:p w14:paraId="3D58A8A4" w14:textId="77777777" w:rsidR="00C30AF8" w:rsidRDefault="00E547B8" w:rsidP="00C94298">
      <w:pPr>
        <w:pStyle w:val="BodyText"/>
      </w:pPr>
      <w:r>
        <w:t>In some respects, the</w:t>
      </w:r>
      <w:r w:rsidR="007E0AD8">
        <w:t xml:space="preserve"> divergence of views on economic statistics made before the establishment of the ABS is understandable.</w:t>
      </w:r>
      <w:r w:rsidR="00194694">
        <w:t xml:space="preserve"> Estimation of Australia’s relative production and income during </w:t>
      </w:r>
      <w:r w:rsidR="00E663DF">
        <w:t>this time period suffers from numerous issues: the need to impute</w:t>
      </w:r>
      <w:r w:rsidR="00F37626" w:rsidRPr="00621D6F">
        <w:rPr>
          <w:rStyle w:val="FootnoteReference"/>
        </w:rPr>
        <w:footnoteReference w:id="11"/>
      </w:r>
      <w:r w:rsidR="00E663DF">
        <w:t xml:space="preserve"> the value of final production that is consumed by producers, </w:t>
      </w:r>
      <w:r w:rsidR="00F37626">
        <w:t xml:space="preserve">patchy coverage of statistical surveys, </w:t>
      </w:r>
      <w:r w:rsidR="00BD7D41">
        <w:t>an</w:t>
      </w:r>
      <w:r w:rsidR="00F37626">
        <w:t xml:space="preserve"> absence of meaningful market prices in the convict colonies and the absence of comprehensive price data more generally</w:t>
      </w:r>
      <w:r w:rsidR="00194694">
        <w:t>.</w:t>
      </w:r>
      <w:r w:rsidR="007E0AD8">
        <w:t xml:space="preserve"> </w:t>
      </w:r>
      <w:r w:rsidR="00C30AF8">
        <w:t xml:space="preserve">That said, </w:t>
      </w:r>
      <w:r w:rsidR="00D84DD6">
        <w:t xml:space="preserve">relative to other countries, </w:t>
      </w:r>
      <w:r w:rsidR="00C30AF8">
        <w:t>Australia’s economic statistics before the establishment of the ABS are unusually good. As Noel Butlin wrote</w:t>
      </w:r>
      <w:r w:rsidR="002634D4">
        <w:t xml:space="preserve"> in his seminal work</w:t>
      </w:r>
      <w:r w:rsidR="00C30AF8">
        <w:t>:</w:t>
      </w:r>
    </w:p>
    <w:p w14:paraId="0D4A6769" w14:textId="77777777" w:rsidR="00C30AF8" w:rsidRDefault="00C30AF8" w:rsidP="00CA61A4">
      <w:pPr>
        <w:pStyle w:val="Quote"/>
      </w:pPr>
      <w:r>
        <w:t>Few, if any</w:t>
      </w:r>
      <w:r w:rsidR="00AD73EC">
        <w:t>,</w:t>
      </w:r>
      <w:r>
        <w:t xml:space="preserve"> countries in the world can claim to possess official statistics comparable to those of Australia during the years 1861-1939. </w:t>
      </w:r>
      <w:r w:rsidR="002634D4" w:rsidRPr="002634D4">
        <w:rPr>
          <w:szCs w:val="24"/>
        </w:rPr>
        <w:t>(Butlin 1962, p.</w:t>
      </w:r>
      <w:r w:rsidR="002634D4" w:rsidRPr="00F37626">
        <w:rPr>
          <w:szCs w:val="24"/>
        </w:rPr>
        <w:t> xv)</w:t>
      </w:r>
    </w:p>
    <w:p w14:paraId="7A6DD3B9" w14:textId="77777777" w:rsidR="00AB5285" w:rsidDel="00D3296D" w:rsidRDefault="00C30AF8" w:rsidP="00C94298">
      <w:pPr>
        <w:pStyle w:val="BodyText"/>
      </w:pPr>
      <w:r>
        <w:t xml:space="preserve">In part, the continued debate on the precise level of Australian living standards before WWII reflects the wealth of different sources that can be compared and contrasted. </w:t>
      </w:r>
    </w:p>
    <w:p w14:paraId="62606354" w14:textId="77777777" w:rsidR="00AB5285" w:rsidRDefault="00757B13" w:rsidP="00CA61A4">
      <w:pPr>
        <w:pStyle w:val="Heading2"/>
      </w:pPr>
      <w:bookmarkStart w:id="22" w:name="_Toc56436182"/>
      <w:r>
        <w:t>Haig’s</w:t>
      </w:r>
      <w:r w:rsidR="00D3296D">
        <w:t xml:space="preserve"> </w:t>
      </w:r>
      <w:r>
        <w:t>alternative GDP estimates</w:t>
      </w:r>
      <w:bookmarkEnd w:id="22"/>
    </w:p>
    <w:p w14:paraId="26CF88ED" w14:textId="77777777" w:rsidR="007E0AD8" w:rsidRDefault="007E0AD8" w:rsidP="007E0AD8">
      <w:pPr>
        <w:pStyle w:val="BodyText"/>
      </w:pPr>
      <w:r>
        <w:t xml:space="preserve">Haig presents several critiques of the methodology </w:t>
      </w:r>
      <w:r w:rsidR="004E0436">
        <w:t xml:space="preserve">Butlin </w:t>
      </w:r>
      <w:r>
        <w:t xml:space="preserve">used to obtain </w:t>
      </w:r>
      <w:r w:rsidR="004E0436">
        <w:t xml:space="preserve">his </w:t>
      </w:r>
      <w:r w:rsidR="00757B13">
        <w:t>GDP estimates</w:t>
      </w:r>
      <w:r>
        <w:t xml:space="preserve"> and provides alternative estimates (figure </w:t>
      </w:r>
      <w:r w:rsidR="00433C4D">
        <w:t>E</w:t>
      </w:r>
      <w:r w:rsidR="00A826AC">
        <w:t>.</w:t>
      </w:r>
      <w:r>
        <w:t>1). Haig’s main issues with the estimates of Butlin are:</w:t>
      </w:r>
    </w:p>
    <w:p w14:paraId="02C4A5CC" w14:textId="77777777" w:rsidR="007E0AD8" w:rsidRDefault="007E0AD8" w:rsidP="007E0AD8">
      <w:pPr>
        <w:pStyle w:val="ListBullet"/>
      </w:pPr>
      <w:r>
        <w:t xml:space="preserve">‘the inadequacy of price data needed for deflation’ </w:t>
      </w:r>
    </w:p>
    <w:p w14:paraId="4D193157" w14:textId="77777777" w:rsidR="007E0AD8" w:rsidRDefault="007E0AD8" w:rsidP="007E0AD8">
      <w:pPr>
        <w:pStyle w:val="ListBullet"/>
      </w:pPr>
      <w:r>
        <w:t>lack of a framework for compiling the figures potentially leading to double counting or missing certain economic activity.</w:t>
      </w:r>
    </w:p>
    <w:p w14:paraId="5A86B338" w14:textId="77777777" w:rsidR="007E0AD8" w:rsidRDefault="007E0AD8" w:rsidP="007E0AD8">
      <w:pPr>
        <w:pStyle w:val="BodyText"/>
      </w:pPr>
      <w:r>
        <w:t xml:space="preserve">As an alternative, Haig uses direct measures of physical output (or proxies thereof) to avoid the issue of deflating current price measures of output. </w:t>
      </w:r>
    </w:p>
    <w:p w14:paraId="7C96494D" w14:textId="77777777" w:rsidR="00610BEF" w:rsidRPr="00610BEF" w:rsidRDefault="00D27610" w:rsidP="007E0AD8">
      <w:pPr>
        <w:pStyle w:val="BodyText"/>
      </w:pPr>
      <w:r>
        <w:t xml:space="preserve">While the two numbers are broadly similar over a wide period of time, they </w:t>
      </w:r>
      <w:r w:rsidR="003700FA">
        <w:t xml:space="preserve">paint </w:t>
      </w:r>
      <w:r>
        <w:t xml:space="preserve">very different pictures for shorter intervals. For example, Butlin shows more rapid income growth between 1870 and 1890. </w:t>
      </w:r>
      <w:r w:rsidR="003700FA">
        <w:t>Consequently</w:t>
      </w:r>
      <w:r>
        <w:t xml:space="preserve">, Butlin’s estimates portray the period of 1890 to 1911 as being one of </w:t>
      </w:r>
      <w:r w:rsidR="009F2F7D">
        <w:t>zero</w:t>
      </w:r>
      <w:r>
        <w:t xml:space="preserve"> income growth, </w:t>
      </w:r>
      <w:r w:rsidR="009F2F7D">
        <w:t xml:space="preserve">on average, </w:t>
      </w:r>
      <w:r>
        <w:t>while Haig’s estimates show growth that was broadly similar to what came before</w:t>
      </w:r>
      <w:r w:rsidR="004E0436">
        <w:t xml:space="preserve"> (figure </w:t>
      </w:r>
      <w:r w:rsidR="00433C4D">
        <w:t>E</w:t>
      </w:r>
      <w:r w:rsidR="004E0436">
        <w:t>.1)</w:t>
      </w:r>
      <w:r>
        <w:t xml:space="preserve">. </w:t>
      </w:r>
      <w:r w:rsidR="00610BEF">
        <w:t>Similarly, Haig also finds that GDP per capita growth between 191</w:t>
      </w:r>
      <w:r w:rsidR="00D1720A">
        <w:t>1</w:t>
      </w:r>
      <w:r w:rsidR="00610BEF">
        <w:t>-12 and 1938</w:t>
      </w:r>
      <w:r w:rsidR="00610BEF">
        <w:noBreakHyphen/>
        <w:t xml:space="preserve">39 is significantly faster than Butlin (the latter found real incomes were basically flat over this period). </w:t>
      </w:r>
    </w:p>
    <w:p w14:paraId="2C8706A2" w14:textId="77777777" w:rsidR="007E0AD8" w:rsidRDefault="007E0AD8" w:rsidP="007E0A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0AD8" w14:paraId="4D0D6241" w14:textId="77777777" w:rsidTr="00DE031F">
        <w:trPr>
          <w:tblHeader/>
        </w:trPr>
        <w:tc>
          <w:tcPr>
            <w:tcW w:w="5000" w:type="pct"/>
            <w:tcBorders>
              <w:top w:val="single" w:sz="6" w:space="0" w:color="78A22F"/>
              <w:left w:val="nil"/>
              <w:bottom w:val="nil"/>
              <w:right w:val="nil"/>
            </w:tcBorders>
            <w:shd w:val="clear" w:color="auto" w:fill="auto"/>
          </w:tcPr>
          <w:p w14:paraId="531651D6" w14:textId="77777777" w:rsidR="007E0AD8" w:rsidRPr="00A87B50" w:rsidRDefault="007E0AD8" w:rsidP="00DE031F">
            <w:pPr>
              <w:pStyle w:val="FigureTitle"/>
              <w:rPr>
                <w:sz w:val="24"/>
                <w:szCs w:val="24"/>
              </w:rPr>
            </w:pPr>
            <w:r w:rsidRPr="00A87B50">
              <w:rPr>
                <w:b w:val="0"/>
                <w:sz w:val="24"/>
                <w:szCs w:val="24"/>
              </w:rPr>
              <w:t xml:space="preserve">Figure </w:t>
            </w:r>
            <w:r w:rsidR="00003BF0" w:rsidRPr="00A87B50">
              <w:rPr>
                <w:b w:val="0"/>
                <w:sz w:val="24"/>
                <w:szCs w:val="24"/>
              </w:rPr>
              <w:t>E</w:t>
            </w:r>
            <w:r w:rsidR="00A826AC" w:rsidRPr="00A87B50">
              <w:rPr>
                <w:b w:val="0"/>
                <w:sz w:val="24"/>
                <w:szCs w:val="24"/>
              </w:rPr>
              <w:t>.1</w:t>
            </w:r>
            <w:r w:rsidRPr="00A87B50">
              <w:rPr>
                <w:sz w:val="24"/>
                <w:szCs w:val="24"/>
              </w:rPr>
              <w:tab/>
              <w:t>Haig and Butlin’s Australian GDP estimates show similar long term trends but very different levels at particular points</w:t>
            </w:r>
          </w:p>
          <w:p w14:paraId="1A4E688B" w14:textId="77777777" w:rsidR="007E0AD8" w:rsidRPr="00176D3F" w:rsidRDefault="007E0AD8" w:rsidP="00DE031F">
            <w:pPr>
              <w:pStyle w:val="Subtitle"/>
            </w:pPr>
            <w:r>
              <w:t>GDP per capita</w:t>
            </w:r>
            <w:r w:rsidRPr="00C559C2">
              <w:rPr>
                <w:rStyle w:val="NoteLabel"/>
              </w:rPr>
              <w:t>a</w:t>
            </w:r>
            <w:r>
              <w:t xml:space="preserve"> indices (1861 = 100) estimated by Butlin and Haig</w:t>
            </w:r>
          </w:p>
        </w:tc>
      </w:tr>
      <w:tr w:rsidR="007E0AD8" w14:paraId="084D0E06" w14:textId="77777777" w:rsidTr="00DE03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E0AD8" w:rsidRPr="00B1465D" w14:paraId="4C3719B3" w14:textId="77777777" w:rsidTr="002D25FC">
              <w:trPr>
                <w:tblHeader/>
                <w:jc w:val="center"/>
              </w:trPr>
              <w:tc>
                <w:tcPr>
                  <w:tcW w:w="5000" w:type="pct"/>
                  <w:tcBorders>
                    <w:top w:val="nil"/>
                    <w:bottom w:val="nil"/>
                  </w:tcBorders>
                  <w:shd w:val="clear" w:color="auto" w:fill="auto"/>
                </w:tcPr>
                <w:p w14:paraId="157F3594" w14:textId="77777777" w:rsidR="007E0AD8" w:rsidRPr="00B1465D" w:rsidRDefault="002D25FC" w:rsidP="00DE031F">
                  <w:pPr>
                    <w:pStyle w:val="Figure"/>
                    <w:spacing w:before="60" w:after="60"/>
                    <w:rPr>
                      <w:rFonts w:ascii="Arial" w:hAnsi="Arial" w:cs="Arial"/>
                      <w:sz w:val="18"/>
                      <w:szCs w:val="18"/>
                    </w:rPr>
                  </w:pPr>
                  <w:r w:rsidRPr="002D25FC">
                    <w:rPr>
                      <w:rFonts w:ascii="Arial" w:hAnsi="Arial" w:cs="Arial"/>
                      <w:noProof/>
                      <w:sz w:val="18"/>
                      <w:szCs w:val="18"/>
                    </w:rPr>
                    <w:drawing>
                      <wp:inline distT="0" distB="0" distL="0" distR="0" wp14:anchorId="37D64E10" wp14:editId="337D96ED">
                        <wp:extent cx="5400675" cy="3238500"/>
                        <wp:effectExtent l="0" t="0" r="9525" b="0"/>
                        <wp:docPr id="29" name="Picture 29" descr="This chart displays the indices of GDP growth obtained using Butlin’s historical estimates compared to the estimates of Haig between 1861 and 1911. Both estimates have similar end points, but Butlin’s estimates show much more rapid growth between 1870 and 1890 and a much more rapid decline shortly after this period (1890 to 189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is chart displays the indices of GDP growth obtained using Butlin’s historical estimates compared to the estimates of Haig between 1861 and 1911. Both estimates have similar end points, but Butlin’s estimates show much more rapid growth between 1870 and 1890 and a much more rapid decline shortly after this period (1890 to 1897).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p>
              </w:tc>
            </w:tr>
          </w:tbl>
          <w:p w14:paraId="78E1C4EF" w14:textId="77777777" w:rsidR="007E0AD8" w:rsidRDefault="007E0AD8" w:rsidP="00DE031F">
            <w:pPr>
              <w:pStyle w:val="Figure"/>
            </w:pPr>
          </w:p>
        </w:tc>
      </w:tr>
      <w:tr w:rsidR="007E0AD8" w:rsidRPr="00176D3F" w14:paraId="4B412D1F" w14:textId="77777777" w:rsidTr="00DE031F">
        <w:tc>
          <w:tcPr>
            <w:tcW w:w="5000" w:type="pct"/>
            <w:tcBorders>
              <w:top w:val="nil"/>
              <w:left w:val="nil"/>
              <w:bottom w:val="nil"/>
              <w:right w:val="nil"/>
            </w:tcBorders>
            <w:shd w:val="clear" w:color="auto" w:fill="auto"/>
          </w:tcPr>
          <w:p w14:paraId="0F1F9FC6" w14:textId="77777777" w:rsidR="007E0AD8" w:rsidRPr="00176D3F" w:rsidRDefault="007E0AD8" w:rsidP="00DE031F">
            <w:pPr>
              <w:pStyle w:val="Note"/>
            </w:pPr>
            <w:r>
              <w:rPr>
                <w:rStyle w:val="NoteLabel"/>
              </w:rPr>
              <w:t>a</w:t>
            </w:r>
            <w:r>
              <w:t xml:space="preserve"> The estimates of real GDP come from Butlin</w:t>
            </w:r>
            <w:r w:rsidR="00B4299A">
              <w:t xml:space="preserve"> et al. </w:t>
            </w:r>
            <w:r w:rsidR="00B4299A" w:rsidRPr="00A51541">
              <w:rPr>
                <w:rFonts w:cs="Arial"/>
              </w:rPr>
              <w:t>(2015)</w:t>
            </w:r>
            <w:r>
              <w:t xml:space="preserve"> and Haig</w:t>
            </w:r>
            <w:r w:rsidR="00B4299A">
              <w:t xml:space="preserve"> </w:t>
            </w:r>
            <w:r w:rsidR="00B4299A" w:rsidRPr="00A51541">
              <w:rPr>
                <w:rFonts w:cs="Arial"/>
              </w:rPr>
              <w:t>(2001)</w:t>
            </w:r>
            <w:r>
              <w:t xml:space="preserve"> separately while the population estimates come from Butlin</w:t>
            </w:r>
            <w:r w:rsidR="00B4299A">
              <w:t xml:space="preserve"> et al. </w:t>
            </w:r>
            <w:r w:rsidR="00B4299A" w:rsidRPr="00A51541">
              <w:rPr>
                <w:rFonts w:cs="Arial"/>
              </w:rPr>
              <w:t>(2015)</w:t>
            </w:r>
            <w:r>
              <w:t xml:space="preserve">. </w:t>
            </w:r>
          </w:p>
        </w:tc>
      </w:tr>
      <w:tr w:rsidR="007E0AD8" w:rsidRPr="00176D3F" w14:paraId="4F4C7EE5" w14:textId="77777777" w:rsidTr="00DE031F">
        <w:tc>
          <w:tcPr>
            <w:tcW w:w="5000" w:type="pct"/>
            <w:tcBorders>
              <w:top w:val="nil"/>
              <w:left w:val="nil"/>
              <w:bottom w:val="nil"/>
              <w:right w:val="nil"/>
            </w:tcBorders>
            <w:shd w:val="clear" w:color="auto" w:fill="auto"/>
          </w:tcPr>
          <w:p w14:paraId="1E6CCEF6" w14:textId="77777777" w:rsidR="007E0AD8" w:rsidRPr="00176D3F" w:rsidRDefault="007E0AD8" w:rsidP="00DE031F">
            <w:pPr>
              <w:pStyle w:val="Source"/>
            </w:pPr>
            <w:r>
              <w:rPr>
                <w:i/>
              </w:rPr>
              <w:t>S</w:t>
            </w:r>
            <w:r w:rsidRPr="00784A05">
              <w:rPr>
                <w:i/>
              </w:rPr>
              <w:t>ource</w:t>
            </w:r>
            <w:r w:rsidR="004E0436">
              <w:rPr>
                <w:i/>
              </w:rPr>
              <w:t>s</w:t>
            </w:r>
            <w:r w:rsidRPr="00176D3F">
              <w:t xml:space="preserve">: </w:t>
            </w:r>
            <w:r>
              <w:t xml:space="preserve">Butlin et al. </w:t>
            </w:r>
            <w:r w:rsidRPr="00A51541">
              <w:rPr>
                <w:rFonts w:cs="Arial"/>
              </w:rPr>
              <w:t>(2015)</w:t>
            </w:r>
            <w:r>
              <w:t xml:space="preserve">; Haig </w:t>
            </w:r>
            <w:r w:rsidRPr="00A51541">
              <w:rPr>
                <w:rFonts w:cs="Arial"/>
              </w:rPr>
              <w:t>(2001)</w:t>
            </w:r>
            <w:r>
              <w:t>.</w:t>
            </w:r>
          </w:p>
        </w:tc>
      </w:tr>
      <w:tr w:rsidR="007E0AD8" w14:paraId="3A318B5F" w14:textId="77777777" w:rsidTr="00DE031F">
        <w:tc>
          <w:tcPr>
            <w:tcW w:w="5000" w:type="pct"/>
            <w:tcBorders>
              <w:top w:val="nil"/>
              <w:left w:val="nil"/>
              <w:bottom w:val="single" w:sz="6" w:space="0" w:color="78A22F"/>
              <w:right w:val="nil"/>
            </w:tcBorders>
            <w:shd w:val="clear" w:color="auto" w:fill="auto"/>
          </w:tcPr>
          <w:p w14:paraId="44ACF4A1" w14:textId="77777777" w:rsidR="007E0AD8" w:rsidRDefault="007E0AD8" w:rsidP="00DE031F">
            <w:pPr>
              <w:pStyle w:val="Figurespace"/>
            </w:pPr>
          </w:p>
        </w:tc>
      </w:tr>
      <w:tr w:rsidR="007E0AD8" w:rsidRPr="000863A5" w14:paraId="71C33A7D" w14:textId="77777777" w:rsidTr="00DE031F">
        <w:tc>
          <w:tcPr>
            <w:tcW w:w="5000" w:type="pct"/>
            <w:tcBorders>
              <w:top w:val="single" w:sz="6" w:space="0" w:color="78A22F"/>
              <w:left w:val="nil"/>
              <w:bottom w:val="nil"/>
              <w:right w:val="nil"/>
            </w:tcBorders>
          </w:tcPr>
          <w:p w14:paraId="19BC8EE9" w14:textId="77777777" w:rsidR="007E0AD8" w:rsidRPr="00626D32" w:rsidRDefault="007E0AD8" w:rsidP="00DE031F">
            <w:pPr>
              <w:pStyle w:val="BoxSpaceBelow"/>
            </w:pPr>
          </w:p>
        </w:tc>
      </w:tr>
    </w:tbl>
    <w:p w14:paraId="69A7AFF0" w14:textId="77777777" w:rsidR="00D3296D" w:rsidRDefault="00E547B8" w:rsidP="00A826AC">
      <w:pPr>
        <w:pStyle w:val="Heading2nosectionno"/>
      </w:pPr>
      <w:r>
        <w:t>Relative incomes in the Nineteen Century</w:t>
      </w:r>
    </w:p>
    <w:p w14:paraId="611584FE" w14:textId="77777777" w:rsidR="00E547B8" w:rsidRDefault="00D27610" w:rsidP="00E547B8">
      <w:pPr>
        <w:pStyle w:val="BodyText"/>
      </w:pPr>
      <w:r>
        <w:t>In a recent paper, Panza and Williamson</w:t>
      </w:r>
      <w:r w:rsidR="00614EFE">
        <w:t xml:space="preserve"> </w:t>
      </w:r>
      <w:r w:rsidR="00614EFE" w:rsidRPr="00614EFE">
        <w:t>(2018)</w:t>
      </w:r>
      <w:r>
        <w:t xml:space="preserve"> attempt to construct alternative estimates of PPP converters using bundles of goods in Australia, the UK and the US respectively. The results are shown in table E.1. The main difference</w:t>
      </w:r>
      <w:r w:rsidR="00614EFE">
        <w:t>s</w:t>
      </w:r>
      <w:r>
        <w:t xml:space="preserve"> these results have from </w:t>
      </w:r>
      <w:r w:rsidR="00422682">
        <w:t>Bolt et al.</w:t>
      </w:r>
      <w:r w:rsidR="00614EFE">
        <w:t xml:space="preserve"> </w:t>
      </w:r>
      <w:r w:rsidR="00614EFE" w:rsidRPr="00614EFE">
        <w:t>(2018)</w:t>
      </w:r>
      <w:r w:rsidR="00422682">
        <w:t xml:space="preserve"> are that Australian GDP per capita starts from a higher base and only begins catching up to US levels in the 1860s, much later than in Bolt et al’s</w:t>
      </w:r>
      <w:r w:rsidR="008959F2">
        <w:t>.</w:t>
      </w:r>
      <w:r w:rsidR="00614EFE">
        <w:t xml:space="preserve"> </w:t>
      </w:r>
      <w:r w:rsidR="00614EFE" w:rsidRPr="00614EFE">
        <w:t>(2018)</w:t>
      </w:r>
      <w:r w:rsidR="00422682">
        <w:t xml:space="preserve"> estimates. And </w:t>
      </w:r>
      <w:r w:rsidR="00610BEF">
        <w:t>Panza and Williamson’s</w:t>
      </w:r>
      <w:r w:rsidR="00614EFE">
        <w:t xml:space="preserve"> </w:t>
      </w:r>
      <w:r w:rsidR="00614EFE" w:rsidRPr="00614EFE">
        <w:t>(2018)</w:t>
      </w:r>
      <w:r w:rsidR="00610BEF">
        <w:t xml:space="preserve"> estimates show a smaller peak in relative income in 1870. </w:t>
      </w:r>
    </w:p>
    <w:p w14:paraId="119BF951" w14:textId="77777777" w:rsidR="00614EFE" w:rsidRDefault="00614EFE" w:rsidP="00E547B8">
      <w:pPr>
        <w:pStyle w:val="BodyText"/>
      </w:pPr>
      <w:r>
        <w:t>Overall, even accepting these alternative estimates for this period would</w:t>
      </w:r>
      <w:r w:rsidR="00D1720A">
        <w:t xml:space="preserve"> not</w:t>
      </w:r>
      <w:r>
        <w:t xml:space="preserve"> change </w:t>
      </w:r>
      <w:r w:rsidR="00AD48E4">
        <w:t>any</w:t>
      </w:r>
      <w:r>
        <w:t xml:space="preserve"> of the Commission’s conclusions. </w:t>
      </w:r>
    </w:p>
    <w:p w14:paraId="27B84143" w14:textId="77777777" w:rsidR="00D27610" w:rsidRDefault="00D27610" w:rsidP="00421E8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27610" w14:paraId="2723B252" w14:textId="77777777" w:rsidTr="00421E87">
        <w:trPr>
          <w:tblHeader/>
        </w:trPr>
        <w:tc>
          <w:tcPr>
            <w:tcW w:w="5000" w:type="pct"/>
            <w:tcBorders>
              <w:top w:val="single" w:sz="6" w:space="0" w:color="78A22F"/>
              <w:left w:val="nil"/>
              <w:bottom w:val="nil"/>
              <w:right w:val="nil"/>
            </w:tcBorders>
            <w:shd w:val="clear" w:color="auto" w:fill="auto"/>
          </w:tcPr>
          <w:p w14:paraId="62AC80F4" w14:textId="77777777" w:rsidR="00D27610" w:rsidRPr="00A87B50" w:rsidRDefault="00D27610" w:rsidP="00421E87">
            <w:pPr>
              <w:pStyle w:val="TableTitle"/>
              <w:rPr>
                <w:sz w:val="24"/>
                <w:szCs w:val="24"/>
              </w:rPr>
            </w:pPr>
            <w:r w:rsidRPr="00A87B50">
              <w:rPr>
                <w:b w:val="0"/>
                <w:sz w:val="24"/>
                <w:szCs w:val="24"/>
              </w:rPr>
              <w:t xml:space="preserve">Table </w:t>
            </w:r>
            <w:r w:rsidR="00757B13" w:rsidRPr="00A87B50">
              <w:rPr>
                <w:b w:val="0"/>
                <w:sz w:val="24"/>
                <w:szCs w:val="24"/>
              </w:rPr>
              <w:t>E.1</w:t>
            </w:r>
            <w:r w:rsidRPr="00A87B50">
              <w:rPr>
                <w:sz w:val="24"/>
                <w:szCs w:val="24"/>
              </w:rPr>
              <w:tab/>
              <w:t>Broadly similar stories</w:t>
            </w:r>
            <w:r w:rsidR="00610BEF" w:rsidRPr="00A87B50">
              <w:rPr>
                <w:sz w:val="24"/>
                <w:szCs w:val="24"/>
              </w:rPr>
              <w:t xml:space="preserve"> of Australia’s rise</w:t>
            </w:r>
            <w:r w:rsidRPr="00A87B50">
              <w:rPr>
                <w:sz w:val="24"/>
                <w:szCs w:val="24"/>
              </w:rPr>
              <w:t>,</w:t>
            </w:r>
            <w:r w:rsidR="00610BEF" w:rsidRPr="00A87B50">
              <w:rPr>
                <w:sz w:val="24"/>
                <w:szCs w:val="24"/>
              </w:rPr>
              <w:t xml:space="preserve"> though</w:t>
            </w:r>
            <w:r w:rsidRPr="00A87B50">
              <w:rPr>
                <w:sz w:val="24"/>
                <w:szCs w:val="24"/>
              </w:rPr>
              <w:t xml:space="preserve"> with different timing</w:t>
            </w:r>
          </w:p>
          <w:p w14:paraId="0EDBF3C6" w14:textId="77777777" w:rsidR="00D27610" w:rsidRPr="00784A05" w:rsidRDefault="00D27610" w:rsidP="00D27610">
            <w:pPr>
              <w:pStyle w:val="Subtitle"/>
            </w:pPr>
            <w:r>
              <w:t>Ratio of GDP per capita in Australia compared to the United States (US = 100)</w:t>
            </w:r>
          </w:p>
        </w:tc>
      </w:tr>
      <w:tr w:rsidR="00D27610" w14:paraId="7A41AD2D" w14:textId="77777777" w:rsidTr="00421E8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D27610" w:rsidRPr="00A87B50" w14:paraId="4B48C546" w14:textId="77777777" w:rsidTr="00D27610">
              <w:trPr>
                <w:tblHeader/>
              </w:trPr>
              <w:tc>
                <w:tcPr>
                  <w:tcW w:w="1669" w:type="pct"/>
                  <w:tcBorders>
                    <w:top w:val="single" w:sz="6" w:space="0" w:color="BFBFBF"/>
                    <w:bottom w:val="single" w:sz="6" w:space="0" w:color="BFBFBF"/>
                  </w:tcBorders>
                  <w:shd w:val="clear" w:color="auto" w:fill="auto"/>
                  <w:tcMar>
                    <w:top w:w="28" w:type="dxa"/>
                  </w:tcMar>
                </w:tcPr>
                <w:p w14:paraId="1F7CC0E5" w14:textId="77777777" w:rsidR="00D27610" w:rsidRPr="00A87B50" w:rsidRDefault="00D27610" w:rsidP="00421E87">
                  <w:pPr>
                    <w:pStyle w:val="TableColumnHeading"/>
                    <w:jc w:val="left"/>
                    <w:rPr>
                      <w:rFonts w:cs="Arial"/>
                      <w:szCs w:val="18"/>
                    </w:rPr>
                  </w:pPr>
                  <w:r w:rsidRPr="00A87B50">
                    <w:rPr>
                      <w:rFonts w:cs="Arial"/>
                      <w:szCs w:val="18"/>
                    </w:rPr>
                    <w:t>Decade</w:t>
                  </w:r>
                </w:p>
              </w:tc>
              <w:tc>
                <w:tcPr>
                  <w:tcW w:w="1666" w:type="pct"/>
                  <w:tcBorders>
                    <w:top w:val="single" w:sz="6" w:space="0" w:color="BFBFBF"/>
                    <w:bottom w:val="single" w:sz="6" w:space="0" w:color="BFBFBF"/>
                  </w:tcBorders>
                  <w:shd w:val="clear" w:color="auto" w:fill="auto"/>
                  <w:tcMar>
                    <w:top w:w="28" w:type="dxa"/>
                  </w:tcMar>
                </w:tcPr>
                <w:p w14:paraId="1000C126" w14:textId="77777777" w:rsidR="00D27610" w:rsidRPr="00A87B50" w:rsidRDefault="00D27610" w:rsidP="00421E87">
                  <w:pPr>
                    <w:pStyle w:val="TableColumnHeading"/>
                    <w:rPr>
                      <w:rFonts w:cs="Arial"/>
                      <w:szCs w:val="18"/>
                    </w:rPr>
                  </w:pPr>
                  <w:r w:rsidRPr="00A87B50">
                    <w:rPr>
                      <w:rFonts w:cs="Arial"/>
                      <w:szCs w:val="18"/>
                    </w:rPr>
                    <w:t>Bolt et al</w:t>
                  </w:r>
                </w:p>
              </w:tc>
              <w:tc>
                <w:tcPr>
                  <w:tcW w:w="1665" w:type="pct"/>
                  <w:tcBorders>
                    <w:top w:val="single" w:sz="6" w:space="0" w:color="BFBFBF"/>
                    <w:bottom w:val="single" w:sz="6" w:space="0" w:color="BFBFBF"/>
                  </w:tcBorders>
                  <w:shd w:val="clear" w:color="auto" w:fill="auto"/>
                  <w:tcMar>
                    <w:top w:w="28" w:type="dxa"/>
                  </w:tcMar>
                </w:tcPr>
                <w:p w14:paraId="07FE8BE0" w14:textId="77777777" w:rsidR="00D27610" w:rsidRPr="00A87B50" w:rsidRDefault="00D27610" w:rsidP="00421E87">
                  <w:pPr>
                    <w:pStyle w:val="TableColumnHeading"/>
                    <w:ind w:right="28"/>
                    <w:rPr>
                      <w:rFonts w:cs="Arial"/>
                      <w:szCs w:val="18"/>
                    </w:rPr>
                  </w:pPr>
                  <w:r w:rsidRPr="00A87B50">
                    <w:rPr>
                      <w:rFonts w:cs="Arial"/>
                      <w:szCs w:val="18"/>
                    </w:rPr>
                    <w:t>Panza &amp; Williamson</w:t>
                  </w:r>
                </w:p>
              </w:tc>
            </w:tr>
            <w:tr w:rsidR="00D27610" w:rsidRPr="00A87B50" w14:paraId="33B8E5B0" w14:textId="77777777" w:rsidTr="00D27610">
              <w:tc>
                <w:tcPr>
                  <w:tcW w:w="1669" w:type="pct"/>
                  <w:tcBorders>
                    <w:top w:val="single" w:sz="6" w:space="0" w:color="BFBFBF"/>
                  </w:tcBorders>
                </w:tcPr>
                <w:p w14:paraId="41C4F169" w14:textId="77777777" w:rsidR="00D27610" w:rsidRPr="00A87B50" w:rsidRDefault="00D27610" w:rsidP="00421E87">
                  <w:pPr>
                    <w:pStyle w:val="TableUnitsRow"/>
                    <w:jc w:val="left"/>
                    <w:rPr>
                      <w:rFonts w:cs="Arial"/>
                      <w:szCs w:val="18"/>
                    </w:rPr>
                  </w:pPr>
                </w:p>
              </w:tc>
              <w:tc>
                <w:tcPr>
                  <w:tcW w:w="1666" w:type="pct"/>
                  <w:tcBorders>
                    <w:top w:val="single" w:sz="6" w:space="0" w:color="BFBFBF"/>
                  </w:tcBorders>
                </w:tcPr>
                <w:p w14:paraId="3B6E20F6" w14:textId="77777777" w:rsidR="00D27610" w:rsidRPr="00A87B50" w:rsidRDefault="00D27610" w:rsidP="00421E87">
                  <w:pPr>
                    <w:pStyle w:val="TableUnitsRow"/>
                    <w:rPr>
                      <w:rFonts w:cs="Arial"/>
                      <w:szCs w:val="18"/>
                    </w:rPr>
                  </w:pPr>
                  <w:r w:rsidRPr="00A87B50">
                    <w:rPr>
                      <w:rFonts w:cs="Arial"/>
                      <w:szCs w:val="18"/>
                    </w:rPr>
                    <w:t>US = 100</w:t>
                  </w:r>
                </w:p>
              </w:tc>
              <w:tc>
                <w:tcPr>
                  <w:tcW w:w="1665" w:type="pct"/>
                  <w:tcBorders>
                    <w:top w:val="single" w:sz="6" w:space="0" w:color="BFBFBF"/>
                  </w:tcBorders>
                </w:tcPr>
                <w:p w14:paraId="0AF352B7" w14:textId="77777777" w:rsidR="00D27610" w:rsidRPr="00A87B50" w:rsidRDefault="00D27610" w:rsidP="00421E87">
                  <w:pPr>
                    <w:pStyle w:val="TableUnitsRow"/>
                    <w:ind w:right="28"/>
                    <w:rPr>
                      <w:rFonts w:cs="Arial"/>
                      <w:szCs w:val="18"/>
                    </w:rPr>
                  </w:pPr>
                  <w:r w:rsidRPr="00A87B50">
                    <w:rPr>
                      <w:rFonts w:cs="Arial"/>
                      <w:szCs w:val="18"/>
                    </w:rPr>
                    <w:t>US = 100</w:t>
                  </w:r>
                </w:p>
              </w:tc>
            </w:tr>
            <w:tr w:rsidR="00D27610" w:rsidRPr="00A87B50" w14:paraId="77BCEEAE" w14:textId="77777777" w:rsidTr="00D27610">
              <w:tc>
                <w:tcPr>
                  <w:tcW w:w="1669" w:type="pct"/>
                  <w:tcBorders>
                    <w:top w:val="nil"/>
                    <w:left w:val="nil"/>
                    <w:bottom w:val="nil"/>
                    <w:right w:val="nil"/>
                  </w:tcBorders>
                  <w:shd w:val="clear" w:color="auto" w:fill="auto"/>
                  <w:vAlign w:val="bottom"/>
                </w:tcPr>
                <w:p w14:paraId="5750550C" w14:textId="77777777" w:rsidR="00D27610" w:rsidRPr="00A87B50" w:rsidRDefault="00D27610" w:rsidP="00A87B50">
                  <w:pPr>
                    <w:pStyle w:val="TableBodyText"/>
                    <w:spacing w:before="40"/>
                    <w:jc w:val="left"/>
                    <w:rPr>
                      <w:rFonts w:cs="Arial"/>
                      <w:szCs w:val="18"/>
                    </w:rPr>
                  </w:pPr>
                  <w:r w:rsidRPr="00A87B50">
                    <w:rPr>
                      <w:rFonts w:cs="Arial"/>
                      <w:color w:val="000000"/>
                      <w:szCs w:val="18"/>
                    </w:rPr>
                    <w:t>1820s</w:t>
                  </w:r>
                </w:p>
              </w:tc>
              <w:tc>
                <w:tcPr>
                  <w:tcW w:w="1666" w:type="pct"/>
                  <w:tcBorders>
                    <w:top w:val="nil"/>
                    <w:left w:val="nil"/>
                    <w:bottom w:val="nil"/>
                    <w:right w:val="nil"/>
                  </w:tcBorders>
                  <w:shd w:val="clear" w:color="auto" w:fill="auto"/>
                  <w:vAlign w:val="bottom"/>
                </w:tcPr>
                <w:p w14:paraId="3FDB8B78" w14:textId="77777777" w:rsidR="00D27610" w:rsidRPr="00A87B50" w:rsidRDefault="00D27610" w:rsidP="00A87B50">
                  <w:pPr>
                    <w:pStyle w:val="TableBodyText"/>
                    <w:spacing w:before="40"/>
                    <w:rPr>
                      <w:rFonts w:cs="Arial"/>
                      <w:szCs w:val="18"/>
                    </w:rPr>
                  </w:pPr>
                  <w:r w:rsidRPr="00A87B50">
                    <w:rPr>
                      <w:rFonts w:cs="Arial"/>
                      <w:color w:val="000000"/>
                      <w:szCs w:val="18"/>
                    </w:rPr>
                    <w:t>35.5</w:t>
                  </w:r>
                </w:p>
              </w:tc>
              <w:tc>
                <w:tcPr>
                  <w:tcW w:w="1665" w:type="pct"/>
                  <w:tcBorders>
                    <w:top w:val="nil"/>
                    <w:left w:val="nil"/>
                    <w:bottom w:val="nil"/>
                    <w:right w:val="nil"/>
                  </w:tcBorders>
                  <w:shd w:val="clear" w:color="auto" w:fill="auto"/>
                  <w:vAlign w:val="bottom"/>
                </w:tcPr>
                <w:p w14:paraId="648259D3" w14:textId="77777777" w:rsidR="00D27610" w:rsidRPr="00A87B50" w:rsidRDefault="00D27610" w:rsidP="00A87B50">
                  <w:pPr>
                    <w:pStyle w:val="TableBodyText"/>
                    <w:spacing w:before="40"/>
                    <w:ind w:right="28"/>
                    <w:rPr>
                      <w:rFonts w:cs="Arial"/>
                      <w:szCs w:val="18"/>
                    </w:rPr>
                  </w:pPr>
                  <w:r w:rsidRPr="00A87B50">
                    <w:rPr>
                      <w:rFonts w:cs="Arial"/>
                      <w:color w:val="000000"/>
                      <w:szCs w:val="18"/>
                    </w:rPr>
                    <w:t>43.9</w:t>
                  </w:r>
                </w:p>
              </w:tc>
            </w:tr>
            <w:tr w:rsidR="00D27610" w:rsidRPr="00A87B50" w14:paraId="7D80DEEB" w14:textId="77777777" w:rsidTr="00D27610">
              <w:tc>
                <w:tcPr>
                  <w:tcW w:w="1669" w:type="pct"/>
                  <w:tcBorders>
                    <w:top w:val="nil"/>
                    <w:left w:val="nil"/>
                    <w:bottom w:val="nil"/>
                    <w:right w:val="nil"/>
                  </w:tcBorders>
                  <w:shd w:val="clear" w:color="auto" w:fill="auto"/>
                  <w:vAlign w:val="bottom"/>
                </w:tcPr>
                <w:p w14:paraId="261D9328" w14:textId="77777777" w:rsidR="00D27610" w:rsidRPr="00A87B50" w:rsidRDefault="00D27610" w:rsidP="00A87B50">
                  <w:pPr>
                    <w:pStyle w:val="TableBodyText"/>
                    <w:spacing w:before="40"/>
                    <w:jc w:val="left"/>
                    <w:rPr>
                      <w:rFonts w:cs="Arial"/>
                      <w:szCs w:val="18"/>
                    </w:rPr>
                  </w:pPr>
                  <w:r w:rsidRPr="00A87B50">
                    <w:rPr>
                      <w:rFonts w:cs="Arial"/>
                      <w:color w:val="000000"/>
                      <w:szCs w:val="18"/>
                    </w:rPr>
                    <w:t>1830s</w:t>
                  </w:r>
                </w:p>
              </w:tc>
              <w:tc>
                <w:tcPr>
                  <w:tcW w:w="1666" w:type="pct"/>
                  <w:tcBorders>
                    <w:top w:val="nil"/>
                    <w:left w:val="nil"/>
                    <w:bottom w:val="nil"/>
                    <w:right w:val="nil"/>
                  </w:tcBorders>
                  <w:shd w:val="clear" w:color="auto" w:fill="auto"/>
                  <w:vAlign w:val="bottom"/>
                </w:tcPr>
                <w:p w14:paraId="57A32871" w14:textId="77777777" w:rsidR="00D27610" w:rsidRPr="00A87B50" w:rsidRDefault="00D27610" w:rsidP="00A87B50">
                  <w:pPr>
                    <w:pStyle w:val="TableBodyText"/>
                    <w:spacing w:before="40"/>
                    <w:rPr>
                      <w:rFonts w:cs="Arial"/>
                      <w:szCs w:val="18"/>
                    </w:rPr>
                  </w:pPr>
                  <w:r w:rsidRPr="00A87B50">
                    <w:rPr>
                      <w:rFonts w:cs="Arial"/>
                      <w:color w:val="000000"/>
                      <w:szCs w:val="18"/>
                    </w:rPr>
                    <w:t>51.2</w:t>
                  </w:r>
                </w:p>
              </w:tc>
              <w:tc>
                <w:tcPr>
                  <w:tcW w:w="1665" w:type="pct"/>
                  <w:tcBorders>
                    <w:top w:val="nil"/>
                    <w:left w:val="nil"/>
                    <w:bottom w:val="nil"/>
                    <w:right w:val="nil"/>
                  </w:tcBorders>
                  <w:shd w:val="clear" w:color="auto" w:fill="auto"/>
                  <w:vAlign w:val="bottom"/>
                </w:tcPr>
                <w:p w14:paraId="295358C2" w14:textId="77777777" w:rsidR="00D27610" w:rsidRPr="00A87B50" w:rsidRDefault="00D27610" w:rsidP="00A87B50">
                  <w:pPr>
                    <w:pStyle w:val="TableBodyText"/>
                    <w:spacing w:before="40"/>
                    <w:ind w:right="28"/>
                    <w:rPr>
                      <w:rFonts w:cs="Arial"/>
                      <w:szCs w:val="18"/>
                    </w:rPr>
                  </w:pPr>
                  <w:r w:rsidRPr="00A87B50">
                    <w:rPr>
                      <w:rFonts w:cs="Arial"/>
                      <w:color w:val="000000"/>
                      <w:szCs w:val="18"/>
                    </w:rPr>
                    <w:t>58</w:t>
                  </w:r>
                  <w:r w:rsidR="00422682" w:rsidRPr="00A87B50">
                    <w:rPr>
                      <w:rFonts w:cs="Arial"/>
                      <w:color w:val="000000"/>
                      <w:szCs w:val="18"/>
                    </w:rPr>
                    <w:t>.0</w:t>
                  </w:r>
                </w:p>
              </w:tc>
            </w:tr>
            <w:tr w:rsidR="00D27610" w:rsidRPr="00A87B50" w14:paraId="3C5B8D31" w14:textId="77777777" w:rsidTr="00D27610">
              <w:tc>
                <w:tcPr>
                  <w:tcW w:w="1669" w:type="pct"/>
                  <w:tcBorders>
                    <w:top w:val="nil"/>
                    <w:left w:val="nil"/>
                    <w:bottom w:val="nil"/>
                    <w:right w:val="nil"/>
                  </w:tcBorders>
                  <w:shd w:val="clear" w:color="auto" w:fill="auto"/>
                  <w:vAlign w:val="bottom"/>
                </w:tcPr>
                <w:p w14:paraId="53F4D269" w14:textId="77777777" w:rsidR="00D27610" w:rsidRPr="00A87B50" w:rsidRDefault="00D27610" w:rsidP="00A87B50">
                  <w:pPr>
                    <w:pStyle w:val="TableBodyText"/>
                    <w:spacing w:before="40"/>
                    <w:jc w:val="left"/>
                    <w:rPr>
                      <w:rFonts w:cs="Arial"/>
                      <w:szCs w:val="18"/>
                    </w:rPr>
                  </w:pPr>
                  <w:r w:rsidRPr="00A87B50">
                    <w:rPr>
                      <w:rFonts w:cs="Arial"/>
                      <w:color w:val="000000"/>
                      <w:szCs w:val="18"/>
                    </w:rPr>
                    <w:t>1840s</w:t>
                  </w:r>
                </w:p>
              </w:tc>
              <w:tc>
                <w:tcPr>
                  <w:tcW w:w="1666" w:type="pct"/>
                  <w:tcBorders>
                    <w:top w:val="nil"/>
                    <w:left w:val="nil"/>
                    <w:bottom w:val="nil"/>
                    <w:right w:val="nil"/>
                  </w:tcBorders>
                  <w:shd w:val="clear" w:color="auto" w:fill="auto"/>
                  <w:vAlign w:val="bottom"/>
                </w:tcPr>
                <w:p w14:paraId="7238D57E" w14:textId="77777777" w:rsidR="00D27610" w:rsidRPr="00A87B50" w:rsidRDefault="00D27610" w:rsidP="00A87B50">
                  <w:pPr>
                    <w:pStyle w:val="TableBodyText"/>
                    <w:spacing w:before="40"/>
                    <w:rPr>
                      <w:rFonts w:cs="Arial"/>
                      <w:szCs w:val="18"/>
                    </w:rPr>
                  </w:pPr>
                  <w:r w:rsidRPr="00A87B50">
                    <w:rPr>
                      <w:rFonts w:cs="Arial"/>
                      <w:color w:val="000000"/>
                      <w:szCs w:val="18"/>
                    </w:rPr>
                    <w:t>74.6</w:t>
                  </w:r>
                </w:p>
              </w:tc>
              <w:tc>
                <w:tcPr>
                  <w:tcW w:w="1665" w:type="pct"/>
                  <w:tcBorders>
                    <w:top w:val="nil"/>
                    <w:left w:val="nil"/>
                    <w:bottom w:val="nil"/>
                    <w:right w:val="nil"/>
                  </w:tcBorders>
                  <w:shd w:val="clear" w:color="auto" w:fill="auto"/>
                  <w:vAlign w:val="bottom"/>
                </w:tcPr>
                <w:p w14:paraId="09632A54" w14:textId="77777777" w:rsidR="00D27610" w:rsidRPr="00A87B50" w:rsidRDefault="00D27610" w:rsidP="00A87B50">
                  <w:pPr>
                    <w:pStyle w:val="TableBodyText"/>
                    <w:spacing w:before="40"/>
                    <w:ind w:right="28"/>
                    <w:rPr>
                      <w:rFonts w:cs="Arial"/>
                      <w:szCs w:val="18"/>
                    </w:rPr>
                  </w:pPr>
                  <w:r w:rsidRPr="00A87B50">
                    <w:rPr>
                      <w:rFonts w:cs="Arial"/>
                      <w:color w:val="000000"/>
                      <w:szCs w:val="18"/>
                    </w:rPr>
                    <w:t>44.3</w:t>
                  </w:r>
                </w:p>
              </w:tc>
            </w:tr>
            <w:tr w:rsidR="00D27610" w:rsidRPr="00A87B50" w14:paraId="753240F7" w14:textId="77777777" w:rsidTr="00D27610">
              <w:tc>
                <w:tcPr>
                  <w:tcW w:w="1669" w:type="pct"/>
                  <w:tcBorders>
                    <w:top w:val="nil"/>
                    <w:left w:val="nil"/>
                    <w:bottom w:val="nil"/>
                    <w:right w:val="nil"/>
                  </w:tcBorders>
                  <w:shd w:val="clear" w:color="auto" w:fill="auto"/>
                  <w:vAlign w:val="bottom"/>
                </w:tcPr>
                <w:p w14:paraId="1F445EE1" w14:textId="77777777" w:rsidR="00D27610" w:rsidRPr="00A87B50" w:rsidRDefault="00D27610" w:rsidP="00A87B50">
                  <w:pPr>
                    <w:pStyle w:val="TableBodyText"/>
                    <w:spacing w:before="40"/>
                    <w:jc w:val="left"/>
                    <w:rPr>
                      <w:rFonts w:cs="Arial"/>
                      <w:szCs w:val="18"/>
                    </w:rPr>
                  </w:pPr>
                  <w:r w:rsidRPr="00A87B50">
                    <w:rPr>
                      <w:rFonts w:cs="Arial"/>
                      <w:color w:val="000000"/>
                      <w:szCs w:val="18"/>
                    </w:rPr>
                    <w:t>1850s</w:t>
                  </w:r>
                </w:p>
              </w:tc>
              <w:tc>
                <w:tcPr>
                  <w:tcW w:w="1666" w:type="pct"/>
                  <w:tcBorders>
                    <w:top w:val="nil"/>
                    <w:left w:val="nil"/>
                    <w:bottom w:val="nil"/>
                    <w:right w:val="nil"/>
                  </w:tcBorders>
                  <w:shd w:val="clear" w:color="auto" w:fill="auto"/>
                  <w:vAlign w:val="bottom"/>
                </w:tcPr>
                <w:p w14:paraId="1CF89B8E" w14:textId="77777777" w:rsidR="00D27610" w:rsidRPr="00A87B50" w:rsidRDefault="00D27610" w:rsidP="00A87B50">
                  <w:pPr>
                    <w:pStyle w:val="TableBodyText"/>
                    <w:spacing w:before="40"/>
                    <w:rPr>
                      <w:rFonts w:cs="Arial"/>
                      <w:szCs w:val="18"/>
                    </w:rPr>
                  </w:pPr>
                  <w:r w:rsidRPr="00A87B50">
                    <w:rPr>
                      <w:rFonts w:cs="Arial"/>
                      <w:color w:val="000000"/>
                      <w:szCs w:val="18"/>
                    </w:rPr>
                    <w:t>107.8</w:t>
                  </w:r>
                </w:p>
              </w:tc>
              <w:tc>
                <w:tcPr>
                  <w:tcW w:w="1665" w:type="pct"/>
                  <w:tcBorders>
                    <w:top w:val="nil"/>
                    <w:left w:val="nil"/>
                    <w:bottom w:val="nil"/>
                    <w:right w:val="nil"/>
                  </w:tcBorders>
                  <w:shd w:val="clear" w:color="auto" w:fill="auto"/>
                  <w:vAlign w:val="bottom"/>
                </w:tcPr>
                <w:p w14:paraId="08746ACF" w14:textId="77777777" w:rsidR="00D27610" w:rsidRPr="00A87B50" w:rsidRDefault="00D27610" w:rsidP="00A87B50">
                  <w:pPr>
                    <w:pStyle w:val="TableBodyText"/>
                    <w:spacing w:before="40"/>
                    <w:ind w:right="28"/>
                    <w:rPr>
                      <w:rFonts w:cs="Arial"/>
                      <w:szCs w:val="18"/>
                    </w:rPr>
                  </w:pPr>
                  <w:r w:rsidRPr="00A87B50">
                    <w:rPr>
                      <w:rFonts w:cs="Arial"/>
                      <w:color w:val="000000"/>
                      <w:szCs w:val="18"/>
                    </w:rPr>
                    <w:t>43.4</w:t>
                  </w:r>
                </w:p>
              </w:tc>
            </w:tr>
            <w:tr w:rsidR="00D27610" w:rsidRPr="00A87B50" w14:paraId="71654FB6" w14:textId="77777777" w:rsidTr="00A87B50">
              <w:tc>
                <w:tcPr>
                  <w:tcW w:w="1669" w:type="pct"/>
                  <w:tcBorders>
                    <w:top w:val="nil"/>
                    <w:left w:val="nil"/>
                    <w:right w:val="nil"/>
                  </w:tcBorders>
                  <w:shd w:val="clear" w:color="auto" w:fill="auto"/>
                  <w:vAlign w:val="bottom"/>
                </w:tcPr>
                <w:p w14:paraId="23F345A8" w14:textId="77777777" w:rsidR="00D27610" w:rsidRPr="00A87B50" w:rsidRDefault="00D27610" w:rsidP="00A87B50">
                  <w:pPr>
                    <w:pStyle w:val="TableBodyText"/>
                    <w:spacing w:before="40"/>
                    <w:jc w:val="left"/>
                    <w:rPr>
                      <w:rFonts w:cs="Arial"/>
                      <w:szCs w:val="18"/>
                    </w:rPr>
                  </w:pPr>
                  <w:r w:rsidRPr="00A87B50">
                    <w:rPr>
                      <w:rFonts w:cs="Arial"/>
                      <w:color w:val="000000"/>
                      <w:szCs w:val="18"/>
                    </w:rPr>
                    <w:t>1860s</w:t>
                  </w:r>
                </w:p>
              </w:tc>
              <w:tc>
                <w:tcPr>
                  <w:tcW w:w="1666" w:type="pct"/>
                  <w:tcBorders>
                    <w:top w:val="nil"/>
                    <w:left w:val="nil"/>
                    <w:right w:val="nil"/>
                  </w:tcBorders>
                  <w:shd w:val="clear" w:color="auto" w:fill="auto"/>
                  <w:vAlign w:val="bottom"/>
                </w:tcPr>
                <w:p w14:paraId="46C416AC" w14:textId="77777777" w:rsidR="00D27610" w:rsidRPr="00A87B50" w:rsidRDefault="00D27610" w:rsidP="00A87B50">
                  <w:pPr>
                    <w:pStyle w:val="TableBodyText"/>
                    <w:spacing w:before="40"/>
                    <w:rPr>
                      <w:rFonts w:cs="Arial"/>
                      <w:szCs w:val="18"/>
                    </w:rPr>
                  </w:pPr>
                  <w:r w:rsidRPr="00A87B50">
                    <w:rPr>
                      <w:rFonts w:cs="Arial"/>
                      <w:color w:val="000000"/>
                      <w:szCs w:val="18"/>
                    </w:rPr>
                    <w:t>105.4</w:t>
                  </w:r>
                </w:p>
              </w:tc>
              <w:tc>
                <w:tcPr>
                  <w:tcW w:w="1665" w:type="pct"/>
                  <w:tcBorders>
                    <w:top w:val="nil"/>
                    <w:left w:val="nil"/>
                    <w:right w:val="nil"/>
                  </w:tcBorders>
                  <w:shd w:val="clear" w:color="auto" w:fill="auto"/>
                  <w:vAlign w:val="bottom"/>
                </w:tcPr>
                <w:p w14:paraId="6BA699C0" w14:textId="77777777" w:rsidR="00D27610" w:rsidRPr="00A87B50" w:rsidRDefault="00D27610" w:rsidP="00A87B50">
                  <w:pPr>
                    <w:pStyle w:val="TableBodyText"/>
                    <w:spacing w:before="40"/>
                    <w:ind w:right="28"/>
                    <w:rPr>
                      <w:rFonts w:cs="Arial"/>
                      <w:szCs w:val="18"/>
                    </w:rPr>
                  </w:pPr>
                  <w:r w:rsidRPr="00A87B50">
                    <w:rPr>
                      <w:rFonts w:cs="Arial"/>
                      <w:color w:val="000000"/>
                      <w:szCs w:val="18"/>
                    </w:rPr>
                    <w:t>74.7</w:t>
                  </w:r>
                </w:p>
              </w:tc>
            </w:tr>
            <w:tr w:rsidR="00D27610" w:rsidRPr="00A87B50" w14:paraId="438044A5" w14:textId="77777777" w:rsidTr="00A87B50">
              <w:tc>
                <w:tcPr>
                  <w:tcW w:w="1669" w:type="pct"/>
                  <w:tcBorders>
                    <w:top w:val="nil"/>
                    <w:left w:val="nil"/>
                    <w:bottom w:val="single" w:sz="4" w:space="0" w:color="BFBFBF"/>
                    <w:right w:val="nil"/>
                  </w:tcBorders>
                  <w:shd w:val="clear" w:color="auto" w:fill="auto"/>
                  <w:vAlign w:val="bottom"/>
                </w:tcPr>
                <w:p w14:paraId="56AFE7C9" w14:textId="77777777" w:rsidR="00D27610" w:rsidRPr="00A87B50" w:rsidRDefault="00D27610" w:rsidP="00A87B50">
                  <w:pPr>
                    <w:pStyle w:val="TableBodyText"/>
                    <w:spacing w:before="40"/>
                    <w:jc w:val="left"/>
                    <w:rPr>
                      <w:rFonts w:cs="Arial"/>
                      <w:szCs w:val="18"/>
                    </w:rPr>
                  </w:pPr>
                  <w:r w:rsidRPr="00A87B50">
                    <w:rPr>
                      <w:rFonts w:cs="Arial"/>
                      <w:color w:val="000000"/>
                      <w:szCs w:val="18"/>
                    </w:rPr>
                    <w:t>1870s</w:t>
                  </w:r>
                </w:p>
              </w:tc>
              <w:tc>
                <w:tcPr>
                  <w:tcW w:w="1666" w:type="pct"/>
                  <w:tcBorders>
                    <w:top w:val="nil"/>
                    <w:left w:val="nil"/>
                    <w:bottom w:val="single" w:sz="4" w:space="0" w:color="BFBFBF"/>
                    <w:right w:val="nil"/>
                  </w:tcBorders>
                  <w:shd w:val="clear" w:color="auto" w:fill="auto"/>
                  <w:vAlign w:val="bottom"/>
                </w:tcPr>
                <w:p w14:paraId="355BEECD" w14:textId="77777777" w:rsidR="00D27610" w:rsidRPr="00A87B50" w:rsidRDefault="00D27610" w:rsidP="00A87B50">
                  <w:pPr>
                    <w:pStyle w:val="TableBodyText"/>
                    <w:spacing w:before="40"/>
                    <w:rPr>
                      <w:rFonts w:cs="Arial"/>
                      <w:szCs w:val="18"/>
                    </w:rPr>
                  </w:pPr>
                  <w:r w:rsidRPr="00A87B50">
                    <w:rPr>
                      <w:rFonts w:cs="Arial"/>
                      <w:color w:val="000000"/>
                      <w:szCs w:val="18"/>
                    </w:rPr>
                    <w:t>128.9</w:t>
                  </w:r>
                </w:p>
              </w:tc>
              <w:tc>
                <w:tcPr>
                  <w:tcW w:w="1665" w:type="pct"/>
                  <w:tcBorders>
                    <w:top w:val="nil"/>
                    <w:left w:val="nil"/>
                    <w:bottom w:val="single" w:sz="4" w:space="0" w:color="BFBFBF"/>
                    <w:right w:val="nil"/>
                  </w:tcBorders>
                  <w:shd w:val="clear" w:color="auto" w:fill="auto"/>
                  <w:vAlign w:val="bottom"/>
                </w:tcPr>
                <w:p w14:paraId="22E4EDB7" w14:textId="77777777" w:rsidR="00D27610" w:rsidRPr="00A87B50" w:rsidRDefault="00D27610" w:rsidP="00A87B50">
                  <w:pPr>
                    <w:pStyle w:val="TableBodyText"/>
                    <w:spacing w:before="40"/>
                    <w:ind w:right="28"/>
                    <w:rPr>
                      <w:rFonts w:cs="Arial"/>
                      <w:szCs w:val="18"/>
                    </w:rPr>
                  </w:pPr>
                  <w:r w:rsidRPr="00A87B50">
                    <w:rPr>
                      <w:rFonts w:cs="Arial"/>
                      <w:color w:val="000000"/>
                      <w:szCs w:val="18"/>
                    </w:rPr>
                    <w:t>119.9</w:t>
                  </w:r>
                </w:p>
              </w:tc>
            </w:tr>
          </w:tbl>
          <w:p w14:paraId="2AD64C81" w14:textId="77777777" w:rsidR="00D27610" w:rsidRDefault="00D27610" w:rsidP="00421E87">
            <w:pPr>
              <w:pStyle w:val="Box"/>
            </w:pPr>
          </w:p>
        </w:tc>
      </w:tr>
      <w:tr w:rsidR="00D27610" w14:paraId="6E109F47" w14:textId="77777777" w:rsidTr="00421E87">
        <w:tc>
          <w:tcPr>
            <w:tcW w:w="5000" w:type="pct"/>
            <w:tcBorders>
              <w:top w:val="nil"/>
              <w:left w:val="nil"/>
              <w:bottom w:val="nil"/>
              <w:right w:val="nil"/>
            </w:tcBorders>
            <w:shd w:val="clear" w:color="auto" w:fill="auto"/>
          </w:tcPr>
          <w:p w14:paraId="449DA004" w14:textId="77777777" w:rsidR="00D27610" w:rsidRDefault="00D27610" w:rsidP="00610BEF">
            <w:pPr>
              <w:pStyle w:val="Source"/>
            </w:pPr>
            <w:r>
              <w:rPr>
                <w:i/>
              </w:rPr>
              <w:t>Source</w:t>
            </w:r>
            <w:r w:rsidR="00422682">
              <w:rPr>
                <w:i/>
              </w:rPr>
              <w:t>s</w:t>
            </w:r>
            <w:r w:rsidRPr="00167F06">
              <w:t xml:space="preserve">: </w:t>
            </w:r>
            <w:r w:rsidR="00610BEF">
              <w:t xml:space="preserve">Bolt et al. </w:t>
            </w:r>
            <w:r w:rsidR="00610BEF" w:rsidRPr="00610BEF">
              <w:rPr>
                <w:rFonts w:cs="Arial"/>
              </w:rPr>
              <w:t>(2018)</w:t>
            </w:r>
            <w:r w:rsidR="00610BEF">
              <w:t xml:space="preserve">; Panza &amp; Williamson </w:t>
            </w:r>
            <w:r w:rsidR="00610BEF" w:rsidRPr="00610BEF">
              <w:rPr>
                <w:rFonts w:cs="Arial"/>
              </w:rPr>
              <w:t>(2018)</w:t>
            </w:r>
            <w:r w:rsidR="00A8380D">
              <w:t>.</w:t>
            </w:r>
          </w:p>
        </w:tc>
      </w:tr>
      <w:tr w:rsidR="00D27610" w14:paraId="458DC06B" w14:textId="77777777" w:rsidTr="00421E87">
        <w:tc>
          <w:tcPr>
            <w:tcW w:w="5000" w:type="pct"/>
            <w:tcBorders>
              <w:top w:val="nil"/>
              <w:left w:val="nil"/>
              <w:bottom w:val="single" w:sz="6" w:space="0" w:color="78A22F"/>
              <w:right w:val="nil"/>
            </w:tcBorders>
            <w:shd w:val="clear" w:color="auto" w:fill="auto"/>
          </w:tcPr>
          <w:p w14:paraId="0EBB613B" w14:textId="77777777" w:rsidR="00D27610" w:rsidRDefault="00D27610" w:rsidP="00421E87">
            <w:pPr>
              <w:pStyle w:val="Box"/>
              <w:spacing w:before="0" w:line="120" w:lineRule="exact"/>
            </w:pPr>
          </w:p>
        </w:tc>
      </w:tr>
      <w:tr w:rsidR="00D27610" w:rsidRPr="000863A5" w14:paraId="3F132AC0" w14:textId="77777777" w:rsidTr="00421E87">
        <w:tc>
          <w:tcPr>
            <w:tcW w:w="5000" w:type="pct"/>
            <w:tcBorders>
              <w:top w:val="single" w:sz="6" w:space="0" w:color="78A22F"/>
              <w:left w:val="nil"/>
              <w:bottom w:val="nil"/>
              <w:right w:val="nil"/>
            </w:tcBorders>
          </w:tcPr>
          <w:p w14:paraId="6A1B943F" w14:textId="77777777" w:rsidR="00D27610" w:rsidRPr="00626D32" w:rsidRDefault="00D27610" w:rsidP="00421E87">
            <w:pPr>
              <w:pStyle w:val="BoxSpaceBelow"/>
            </w:pPr>
          </w:p>
        </w:tc>
      </w:tr>
    </w:tbl>
    <w:p w14:paraId="5D5BD6DF" w14:textId="77777777" w:rsidR="00E547B8" w:rsidRDefault="00E547B8" w:rsidP="00A826AC">
      <w:pPr>
        <w:pStyle w:val="Heading2nosectionno"/>
      </w:pPr>
      <w:r>
        <w:t>How stagnant were incomes in the early Twentieth Century?</w:t>
      </w:r>
    </w:p>
    <w:p w14:paraId="274F2206" w14:textId="77777777" w:rsidR="009456DB" w:rsidRDefault="00CC4A5C" w:rsidP="00A826AC">
      <w:pPr>
        <w:pStyle w:val="BodyText"/>
        <w:tabs>
          <w:tab w:val="left" w:pos="1755"/>
        </w:tabs>
      </w:pPr>
      <w:r>
        <w:t>Various studies</w:t>
      </w:r>
      <w:r w:rsidRPr="00621D6F">
        <w:rPr>
          <w:rStyle w:val="FootnoteReference"/>
        </w:rPr>
        <w:footnoteReference w:id="12"/>
      </w:r>
      <w:r>
        <w:t xml:space="preserve"> have looked at </w:t>
      </w:r>
      <w:r w:rsidR="00C11AC1">
        <w:t xml:space="preserve">a suite of ‘social indicators’ </w:t>
      </w:r>
      <w:r w:rsidR="00757B13">
        <w:t>that</w:t>
      </w:r>
      <w:r w:rsidR="00C11AC1">
        <w:t xml:space="preserve"> test the reasonableness of Butlin’s finding of stagnant incomes from 1890 to </w:t>
      </w:r>
      <w:r w:rsidR="00A939C6">
        <w:t>WWII</w:t>
      </w:r>
      <w:r w:rsidR="00C11AC1">
        <w:t>.</w:t>
      </w:r>
      <w:r w:rsidR="009456DB">
        <w:t xml:space="preserve"> These tend to show that Australian living standards continued to improve even while incomes were apparently flat.</w:t>
      </w:r>
      <w:r w:rsidR="00C11AC1">
        <w:t xml:space="preserve"> </w:t>
      </w:r>
      <w:r w:rsidR="009456DB">
        <w:t>McLean and Pincus illustrate some of the apparent discrepancies:</w:t>
      </w:r>
    </w:p>
    <w:p w14:paraId="21D90112" w14:textId="77777777" w:rsidR="0029345A" w:rsidRDefault="009456DB" w:rsidP="009456DB">
      <w:pPr>
        <w:pStyle w:val="Quote"/>
      </w:pPr>
      <w:r>
        <w:t xml:space="preserve">An Australian born in 1940 faced an expectation of life of 65 years; one born in 1890 faced only 50 years. At the outbreak of the Second World War the average working week for urban Australians was 45 hours; in 1890 it had been 52 to 54 hours. </w:t>
      </w:r>
      <w:r w:rsidR="0029345A">
        <w:t>…</w:t>
      </w:r>
    </w:p>
    <w:p w14:paraId="1D0ACE8E" w14:textId="77777777" w:rsidR="009456DB" w:rsidRDefault="009456DB" w:rsidP="009456DB">
      <w:pPr>
        <w:pStyle w:val="Quote"/>
      </w:pPr>
      <w:r>
        <w:t xml:space="preserve">In the late 1930s there was a telephone for every ten Australians, a motor vehicle for every eight, and a radio for every six; in 1890 the telephone had only just been introduced, horseless carriages were highly experimental, and radio lay in the realm of science fiction. </w:t>
      </w:r>
      <w:r w:rsidR="00757B13" w:rsidRPr="00757B13">
        <w:rPr>
          <w:szCs w:val="24"/>
        </w:rPr>
        <w:t>(1983, p. 192)</w:t>
      </w:r>
    </w:p>
    <w:p w14:paraId="42A2EE35" w14:textId="77777777" w:rsidR="00D04733" w:rsidRPr="00A87B50" w:rsidRDefault="009456DB" w:rsidP="00A826AC">
      <w:pPr>
        <w:pStyle w:val="BodyText"/>
        <w:tabs>
          <w:tab w:val="left" w:pos="1755"/>
        </w:tabs>
        <w:rPr>
          <w:spacing w:val="-2"/>
        </w:rPr>
      </w:pPr>
      <w:r w:rsidRPr="00A87B50">
        <w:rPr>
          <w:spacing w:val="-2"/>
        </w:rPr>
        <w:t>A selection of other social indicators</w:t>
      </w:r>
      <w:r w:rsidR="00C11AC1" w:rsidRPr="00A87B50">
        <w:rPr>
          <w:spacing w:val="-2"/>
        </w:rPr>
        <w:t xml:space="preserve"> </w:t>
      </w:r>
      <w:r w:rsidR="00D42832" w:rsidRPr="00A87B50">
        <w:rPr>
          <w:spacing w:val="-2"/>
        </w:rPr>
        <w:t>are</w:t>
      </w:r>
      <w:r w:rsidR="00C11AC1" w:rsidRPr="00A87B50">
        <w:rPr>
          <w:spacing w:val="-2"/>
        </w:rPr>
        <w:t xml:space="preserve"> presented in table E.2. </w:t>
      </w:r>
      <w:r w:rsidR="001611AD" w:rsidRPr="00A87B50">
        <w:rPr>
          <w:spacing w:val="-2"/>
        </w:rPr>
        <w:t xml:space="preserve">These, as well as some others, together cast doubt on how stagnant Australian living standards were during this period. </w:t>
      </w:r>
    </w:p>
    <w:p w14:paraId="7F99522C" w14:textId="77777777" w:rsidR="00D3296D" w:rsidRDefault="001611AD" w:rsidP="00A826AC">
      <w:pPr>
        <w:pStyle w:val="BodyText"/>
        <w:tabs>
          <w:tab w:val="left" w:pos="1755"/>
        </w:tabs>
      </w:pPr>
      <w:r>
        <w:t xml:space="preserve">That said, there are explanations that would be consistent with stagnant GDP per capita and these observed improvements in other measures of living standards. </w:t>
      </w:r>
      <w:r w:rsidR="00764098">
        <w:t>First</w:t>
      </w:r>
      <w:r>
        <w:t>, some of them, such as infant mortality or life expectancy</w:t>
      </w:r>
      <w:r w:rsidR="009456DB">
        <w:t>,</w:t>
      </w:r>
      <w:r>
        <w:t xml:space="preserve"> are clearly more driven by hygiene and medical improvements than </w:t>
      </w:r>
      <w:r w:rsidR="009456DB">
        <w:t>income. Second, it is possible that while GDP per capita was stagnant, household consumption was not due to borrowing or drawing down on savings. Haig and Anders</w:t>
      </w:r>
      <w:r w:rsidR="00830C89">
        <w:t>se</w:t>
      </w:r>
      <w:r w:rsidR="009456DB">
        <w:t>n’s</w:t>
      </w:r>
      <w:r w:rsidR="00830C89">
        <w:t xml:space="preserve"> </w:t>
      </w:r>
      <w:r w:rsidR="00830C89" w:rsidRPr="00830C89">
        <w:t>(2007)</w:t>
      </w:r>
      <w:r w:rsidR="00764098">
        <w:t xml:space="preserve"> </w:t>
      </w:r>
      <w:r w:rsidR="009456DB">
        <w:t xml:space="preserve">estimates of consumption do not lend much support to this possibility, but as with Butlin’s estimates of GDP, these estimates of aggregate consumption </w:t>
      </w:r>
      <w:r w:rsidR="00764098">
        <w:t>for such a long time ago</w:t>
      </w:r>
      <w:r w:rsidR="009456DB">
        <w:t xml:space="preserve"> are not above scrutiny. </w:t>
      </w:r>
      <w:r w:rsidR="00C7010F">
        <w:t xml:space="preserve">Thirdly, one would have to look at the improvement </w:t>
      </w:r>
      <w:r w:rsidR="00C7010F">
        <w:lastRenderedPageBreak/>
        <w:t>of similar indicators in countries that appeared to have better growth in GDP per capita over the same period to make strong conclusions about whether Butlin’s estimates might be inaccurate. Put different</w:t>
      </w:r>
      <w:r w:rsidR="009F2F7D">
        <w:t>ly</w:t>
      </w:r>
      <w:r w:rsidR="00C7010F">
        <w:t>, it could be that with greater growth in GDP per capita, these indicators could have improved at even faster pace.</w:t>
      </w:r>
      <w:r w:rsidR="00F72438">
        <w:t xml:space="preserve"> Fourthly, the falling working hours of the typical worker is a part of the </w:t>
      </w:r>
      <w:r w:rsidR="00F72438">
        <w:rPr>
          <w:i/>
        </w:rPr>
        <w:t>cause</w:t>
      </w:r>
      <w:r w:rsidR="00F72438">
        <w:t xml:space="preserve"> of stagnant incomes over this period, indicating a trade</w:t>
      </w:r>
      <w:r w:rsidR="00F72438">
        <w:noBreakHyphen/>
        <w:t>off between consumption and leisure.</w:t>
      </w:r>
      <w:r w:rsidR="00C7010F">
        <w:t xml:space="preserve"> </w:t>
      </w:r>
      <w:r w:rsidR="001C7F02">
        <w:t xml:space="preserve">Finally, the distribution of incomes is known to have improved from 1914 onwards, and this may explain why the living standards of most could improve while average incomes effectively stagnated. </w:t>
      </w:r>
    </w:p>
    <w:p w14:paraId="37F269E8" w14:textId="77777777" w:rsidR="007045AE" w:rsidRPr="00A87B50" w:rsidRDefault="007045AE" w:rsidP="00A826AC">
      <w:pPr>
        <w:pStyle w:val="BodyText"/>
        <w:tabs>
          <w:tab w:val="left" w:pos="1755"/>
        </w:tabs>
        <w:rPr>
          <w:spacing w:val="-4"/>
        </w:rPr>
      </w:pPr>
      <w:r w:rsidRPr="00A87B50">
        <w:rPr>
          <w:spacing w:val="-4"/>
        </w:rPr>
        <w:t xml:space="preserve">On the whole, what these social indicators may show is that even a country with relatively stagnant incomes can improve its living standards given the right social and institutional arrangements. </w:t>
      </w:r>
    </w:p>
    <w:p w14:paraId="69D5AFF0" w14:textId="77777777" w:rsidR="00C11AC1" w:rsidRDefault="00C11AC1" w:rsidP="00421E8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11AC1" w14:paraId="62070F4C" w14:textId="77777777" w:rsidTr="00421E87">
        <w:trPr>
          <w:tblHeader/>
        </w:trPr>
        <w:tc>
          <w:tcPr>
            <w:tcW w:w="5000" w:type="pct"/>
            <w:tcBorders>
              <w:top w:val="single" w:sz="6" w:space="0" w:color="78A22F"/>
              <w:left w:val="nil"/>
              <w:bottom w:val="nil"/>
              <w:right w:val="nil"/>
            </w:tcBorders>
            <w:shd w:val="clear" w:color="auto" w:fill="auto"/>
          </w:tcPr>
          <w:p w14:paraId="45CB6F0A" w14:textId="77777777" w:rsidR="00C11AC1" w:rsidRPr="00D74916" w:rsidRDefault="00C11AC1" w:rsidP="00421E87">
            <w:pPr>
              <w:pStyle w:val="TableTitle"/>
              <w:rPr>
                <w:rFonts w:ascii="Arial Bold" w:hAnsi="Arial Bold"/>
                <w:spacing w:val="-4"/>
                <w:sz w:val="24"/>
                <w:szCs w:val="24"/>
              </w:rPr>
            </w:pPr>
            <w:r w:rsidRPr="00D74916">
              <w:rPr>
                <w:b w:val="0"/>
                <w:sz w:val="24"/>
                <w:szCs w:val="24"/>
              </w:rPr>
              <w:t xml:space="preserve">Table </w:t>
            </w:r>
            <w:r w:rsidR="00757B13" w:rsidRPr="00D74916">
              <w:rPr>
                <w:b w:val="0"/>
                <w:sz w:val="24"/>
                <w:szCs w:val="24"/>
              </w:rPr>
              <w:t>E.2</w:t>
            </w:r>
            <w:r w:rsidRPr="00D74916">
              <w:rPr>
                <w:sz w:val="24"/>
                <w:szCs w:val="24"/>
              </w:rPr>
              <w:tab/>
            </w:r>
            <w:r w:rsidR="001611AD" w:rsidRPr="00D74916">
              <w:rPr>
                <w:rFonts w:ascii="Arial Bold" w:hAnsi="Arial Bold"/>
                <w:spacing w:val="-4"/>
                <w:sz w:val="24"/>
                <w:szCs w:val="24"/>
              </w:rPr>
              <w:t>Social indicators cast some doubt on the likelihood of stagnant incomes</w:t>
            </w:r>
          </w:p>
          <w:p w14:paraId="286FBF35" w14:textId="77777777" w:rsidR="00C11AC1" w:rsidRPr="00784A05" w:rsidRDefault="001611AD" w:rsidP="001611AD">
            <w:pPr>
              <w:pStyle w:val="Subtitle"/>
            </w:pPr>
            <w:r>
              <w:t>Infant mortality, housing statistics and educational attendance between 1891 and 1947</w:t>
            </w:r>
          </w:p>
        </w:tc>
      </w:tr>
      <w:tr w:rsidR="00C11AC1" w14:paraId="458EA455" w14:textId="77777777" w:rsidTr="00421E8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53"/>
              <w:gridCol w:w="1488"/>
              <w:gridCol w:w="1488"/>
              <w:gridCol w:w="1488"/>
              <w:gridCol w:w="1488"/>
            </w:tblGrid>
            <w:tr w:rsidR="00614EFE" w14:paraId="7A67F2FF" w14:textId="77777777" w:rsidTr="00A87B50">
              <w:trPr>
                <w:tblHeader/>
              </w:trPr>
              <w:tc>
                <w:tcPr>
                  <w:tcW w:w="1500" w:type="pct"/>
                  <w:tcBorders>
                    <w:top w:val="single" w:sz="4" w:space="0" w:color="BFBFBF"/>
                    <w:bottom w:val="single" w:sz="6" w:space="0" w:color="BFBFBF"/>
                  </w:tcBorders>
                  <w:shd w:val="clear" w:color="auto" w:fill="auto"/>
                  <w:tcMar>
                    <w:top w:w="28" w:type="dxa"/>
                  </w:tcMar>
                </w:tcPr>
                <w:p w14:paraId="43E2B58B" w14:textId="77777777" w:rsidR="00614EFE" w:rsidRDefault="00614EFE" w:rsidP="00421E87">
                  <w:pPr>
                    <w:pStyle w:val="TableColumnHeading"/>
                    <w:jc w:val="left"/>
                  </w:pPr>
                </w:p>
              </w:tc>
              <w:tc>
                <w:tcPr>
                  <w:tcW w:w="875" w:type="pct"/>
                  <w:tcBorders>
                    <w:top w:val="single" w:sz="4" w:space="0" w:color="BFBFBF"/>
                    <w:bottom w:val="single" w:sz="6" w:space="0" w:color="BFBFBF"/>
                  </w:tcBorders>
                </w:tcPr>
                <w:p w14:paraId="6B5B74A7" w14:textId="77777777" w:rsidR="00614EFE" w:rsidRDefault="00614EFE" w:rsidP="00421E87">
                  <w:pPr>
                    <w:pStyle w:val="TableColumnHeading"/>
                  </w:pPr>
                  <w:r>
                    <w:t>1891</w:t>
                  </w:r>
                </w:p>
              </w:tc>
              <w:tc>
                <w:tcPr>
                  <w:tcW w:w="875" w:type="pct"/>
                  <w:tcBorders>
                    <w:top w:val="single" w:sz="4" w:space="0" w:color="BFBFBF"/>
                    <w:bottom w:val="single" w:sz="6" w:space="0" w:color="BFBFBF"/>
                  </w:tcBorders>
                </w:tcPr>
                <w:p w14:paraId="2E971EBC" w14:textId="77777777" w:rsidR="00614EFE" w:rsidRDefault="00614EFE" w:rsidP="00421E87">
                  <w:pPr>
                    <w:pStyle w:val="TableColumnHeading"/>
                  </w:pPr>
                  <w:r>
                    <w:t>1911</w:t>
                  </w:r>
                </w:p>
              </w:tc>
              <w:tc>
                <w:tcPr>
                  <w:tcW w:w="875" w:type="pct"/>
                  <w:tcBorders>
                    <w:top w:val="single" w:sz="4" w:space="0" w:color="BFBFBF"/>
                    <w:bottom w:val="single" w:sz="6" w:space="0" w:color="BFBFBF"/>
                  </w:tcBorders>
                  <w:shd w:val="clear" w:color="auto" w:fill="auto"/>
                  <w:tcMar>
                    <w:top w:w="28" w:type="dxa"/>
                  </w:tcMar>
                </w:tcPr>
                <w:p w14:paraId="7682D3B5" w14:textId="77777777" w:rsidR="00614EFE" w:rsidRDefault="00614EFE" w:rsidP="00421E87">
                  <w:pPr>
                    <w:pStyle w:val="TableColumnHeading"/>
                  </w:pPr>
                  <w:r>
                    <w:t>1933</w:t>
                  </w:r>
                </w:p>
              </w:tc>
              <w:tc>
                <w:tcPr>
                  <w:tcW w:w="875" w:type="pct"/>
                  <w:tcBorders>
                    <w:top w:val="single" w:sz="4" w:space="0" w:color="BFBFBF"/>
                    <w:bottom w:val="single" w:sz="6" w:space="0" w:color="BFBFBF"/>
                  </w:tcBorders>
                  <w:shd w:val="clear" w:color="auto" w:fill="auto"/>
                  <w:tcMar>
                    <w:top w:w="28" w:type="dxa"/>
                  </w:tcMar>
                </w:tcPr>
                <w:p w14:paraId="1400B68D" w14:textId="77777777" w:rsidR="00614EFE" w:rsidRDefault="00614EFE" w:rsidP="00421E87">
                  <w:pPr>
                    <w:pStyle w:val="TableColumnHeading"/>
                    <w:ind w:right="28"/>
                  </w:pPr>
                  <w:r>
                    <w:t>1947</w:t>
                  </w:r>
                </w:p>
              </w:tc>
            </w:tr>
            <w:tr w:rsidR="00614EFE" w14:paraId="201A8E3F" w14:textId="77777777" w:rsidTr="00A87B50">
              <w:tc>
                <w:tcPr>
                  <w:tcW w:w="1500" w:type="pct"/>
                  <w:tcBorders>
                    <w:bottom w:val="single" w:sz="4" w:space="0" w:color="BFBFBF"/>
                  </w:tcBorders>
                </w:tcPr>
                <w:p w14:paraId="00E20E30" w14:textId="77777777" w:rsidR="00614EFE" w:rsidRDefault="00614EFE" w:rsidP="00A87B50">
                  <w:pPr>
                    <w:pStyle w:val="TableBodyText"/>
                    <w:spacing w:before="80"/>
                    <w:jc w:val="left"/>
                  </w:pPr>
                  <w:r>
                    <w:t>Infant mortality (per thousand)</w:t>
                  </w:r>
                </w:p>
              </w:tc>
              <w:tc>
                <w:tcPr>
                  <w:tcW w:w="875" w:type="pct"/>
                  <w:tcBorders>
                    <w:bottom w:val="single" w:sz="4" w:space="0" w:color="BFBFBF"/>
                  </w:tcBorders>
                </w:tcPr>
                <w:p w14:paraId="7B46EA20" w14:textId="77777777" w:rsidR="00614EFE" w:rsidRDefault="0008568A" w:rsidP="00A87B50">
                  <w:pPr>
                    <w:pStyle w:val="TableBodyText"/>
                    <w:spacing w:before="80"/>
                  </w:pPr>
                  <w:r>
                    <w:t>115.3</w:t>
                  </w:r>
                </w:p>
              </w:tc>
              <w:tc>
                <w:tcPr>
                  <w:tcW w:w="875" w:type="pct"/>
                  <w:tcBorders>
                    <w:bottom w:val="single" w:sz="4" w:space="0" w:color="BFBFBF"/>
                  </w:tcBorders>
                </w:tcPr>
                <w:p w14:paraId="6A90D1A6" w14:textId="77777777" w:rsidR="00614EFE" w:rsidRDefault="0008568A" w:rsidP="00A87B50">
                  <w:pPr>
                    <w:pStyle w:val="TableBodyText"/>
                    <w:spacing w:before="80"/>
                  </w:pPr>
                  <w:r>
                    <w:t>68.5</w:t>
                  </w:r>
                </w:p>
              </w:tc>
              <w:tc>
                <w:tcPr>
                  <w:tcW w:w="875" w:type="pct"/>
                  <w:tcBorders>
                    <w:bottom w:val="single" w:sz="4" w:space="0" w:color="BFBFBF"/>
                  </w:tcBorders>
                </w:tcPr>
                <w:p w14:paraId="50C7B4A1" w14:textId="77777777" w:rsidR="00614EFE" w:rsidRDefault="0008568A" w:rsidP="00A87B50">
                  <w:pPr>
                    <w:pStyle w:val="TableBodyText"/>
                    <w:spacing w:before="80"/>
                  </w:pPr>
                  <w:r>
                    <w:t>39.5</w:t>
                  </w:r>
                </w:p>
              </w:tc>
              <w:tc>
                <w:tcPr>
                  <w:tcW w:w="875" w:type="pct"/>
                  <w:tcBorders>
                    <w:bottom w:val="single" w:sz="4" w:space="0" w:color="BFBFBF"/>
                  </w:tcBorders>
                </w:tcPr>
                <w:p w14:paraId="186970D6" w14:textId="77777777" w:rsidR="00614EFE" w:rsidRDefault="0008568A" w:rsidP="00A87B50">
                  <w:pPr>
                    <w:pStyle w:val="TableBodyText"/>
                    <w:spacing w:before="80"/>
                    <w:ind w:right="28"/>
                  </w:pPr>
                  <w:r>
                    <w:t>28.5</w:t>
                  </w:r>
                </w:p>
              </w:tc>
            </w:tr>
            <w:tr w:rsidR="00614EFE" w14:paraId="455D8216" w14:textId="77777777" w:rsidTr="00A87B50">
              <w:tc>
                <w:tcPr>
                  <w:tcW w:w="1500" w:type="pct"/>
                  <w:tcBorders>
                    <w:top w:val="single" w:sz="4" w:space="0" w:color="BFBFBF"/>
                  </w:tcBorders>
                </w:tcPr>
                <w:p w14:paraId="35CFCBD2" w14:textId="77777777" w:rsidR="00614EFE" w:rsidRDefault="00614EFE" w:rsidP="00421E87">
                  <w:pPr>
                    <w:pStyle w:val="TableBodyText"/>
                    <w:jc w:val="left"/>
                  </w:pPr>
                  <w:r>
                    <w:t>Housing</w:t>
                  </w:r>
                </w:p>
              </w:tc>
              <w:tc>
                <w:tcPr>
                  <w:tcW w:w="875" w:type="pct"/>
                  <w:tcBorders>
                    <w:top w:val="single" w:sz="4" w:space="0" w:color="BFBFBF"/>
                  </w:tcBorders>
                </w:tcPr>
                <w:p w14:paraId="7FCB1552" w14:textId="77777777" w:rsidR="00614EFE" w:rsidRDefault="00614EFE" w:rsidP="00421E87">
                  <w:pPr>
                    <w:pStyle w:val="TableBodyText"/>
                  </w:pPr>
                </w:p>
              </w:tc>
              <w:tc>
                <w:tcPr>
                  <w:tcW w:w="875" w:type="pct"/>
                  <w:tcBorders>
                    <w:top w:val="single" w:sz="4" w:space="0" w:color="BFBFBF"/>
                  </w:tcBorders>
                </w:tcPr>
                <w:p w14:paraId="2CFDE96B" w14:textId="77777777" w:rsidR="00614EFE" w:rsidRDefault="00614EFE" w:rsidP="00421E87">
                  <w:pPr>
                    <w:pStyle w:val="TableBodyText"/>
                  </w:pPr>
                </w:p>
              </w:tc>
              <w:tc>
                <w:tcPr>
                  <w:tcW w:w="875" w:type="pct"/>
                  <w:tcBorders>
                    <w:top w:val="single" w:sz="4" w:space="0" w:color="BFBFBF"/>
                  </w:tcBorders>
                </w:tcPr>
                <w:p w14:paraId="23F086D0" w14:textId="77777777" w:rsidR="00614EFE" w:rsidRDefault="00614EFE" w:rsidP="00421E87">
                  <w:pPr>
                    <w:pStyle w:val="TableBodyText"/>
                  </w:pPr>
                </w:p>
              </w:tc>
              <w:tc>
                <w:tcPr>
                  <w:tcW w:w="875" w:type="pct"/>
                  <w:tcBorders>
                    <w:top w:val="single" w:sz="4" w:space="0" w:color="BFBFBF"/>
                  </w:tcBorders>
                </w:tcPr>
                <w:p w14:paraId="5D70A457" w14:textId="77777777" w:rsidR="00614EFE" w:rsidRDefault="00614EFE" w:rsidP="00421E87">
                  <w:pPr>
                    <w:pStyle w:val="TableBodyText"/>
                    <w:ind w:right="28"/>
                  </w:pPr>
                </w:p>
              </w:tc>
            </w:tr>
            <w:tr w:rsidR="00614EFE" w14:paraId="0EBCE851" w14:textId="77777777" w:rsidTr="00A87B50">
              <w:tc>
                <w:tcPr>
                  <w:tcW w:w="1500" w:type="pct"/>
                </w:tcPr>
                <w:p w14:paraId="2F544FB9" w14:textId="77777777" w:rsidR="00614EFE" w:rsidRDefault="00614EFE" w:rsidP="00A87B50">
                  <w:pPr>
                    <w:pStyle w:val="TableBodyText"/>
                    <w:ind w:left="113"/>
                    <w:jc w:val="left"/>
                  </w:pPr>
                  <w:r>
                    <w:t>Rooms per dwelling</w:t>
                  </w:r>
                </w:p>
              </w:tc>
              <w:tc>
                <w:tcPr>
                  <w:tcW w:w="875" w:type="pct"/>
                </w:tcPr>
                <w:p w14:paraId="50833BDB" w14:textId="77777777" w:rsidR="00614EFE" w:rsidRDefault="0008568A" w:rsidP="00421E87">
                  <w:pPr>
                    <w:pStyle w:val="TableBodyText"/>
                  </w:pPr>
                  <w:r>
                    <w:t>5.05</w:t>
                  </w:r>
                </w:p>
              </w:tc>
              <w:tc>
                <w:tcPr>
                  <w:tcW w:w="875" w:type="pct"/>
                </w:tcPr>
                <w:p w14:paraId="559C1D9E" w14:textId="77777777" w:rsidR="00614EFE" w:rsidRDefault="0008568A" w:rsidP="00421E87">
                  <w:pPr>
                    <w:pStyle w:val="TableBodyText"/>
                  </w:pPr>
                  <w:r>
                    <w:t>5.04</w:t>
                  </w:r>
                </w:p>
              </w:tc>
              <w:tc>
                <w:tcPr>
                  <w:tcW w:w="875" w:type="pct"/>
                </w:tcPr>
                <w:p w14:paraId="6129272A" w14:textId="77777777" w:rsidR="00614EFE" w:rsidRDefault="0008568A" w:rsidP="00421E87">
                  <w:pPr>
                    <w:pStyle w:val="TableBodyText"/>
                  </w:pPr>
                  <w:r>
                    <w:t>4.94</w:t>
                  </w:r>
                </w:p>
              </w:tc>
              <w:tc>
                <w:tcPr>
                  <w:tcW w:w="875" w:type="pct"/>
                </w:tcPr>
                <w:p w14:paraId="02D05E43" w14:textId="77777777" w:rsidR="00614EFE" w:rsidRDefault="0008568A" w:rsidP="00421E87">
                  <w:pPr>
                    <w:pStyle w:val="TableBodyText"/>
                    <w:ind w:right="28"/>
                  </w:pPr>
                  <w:r>
                    <w:t>4.82</w:t>
                  </w:r>
                </w:p>
              </w:tc>
            </w:tr>
            <w:tr w:rsidR="00614EFE" w14:paraId="7D82D249" w14:textId="77777777" w:rsidTr="00A87B50">
              <w:tc>
                <w:tcPr>
                  <w:tcW w:w="1500" w:type="pct"/>
                </w:tcPr>
                <w:p w14:paraId="002912D8" w14:textId="77777777" w:rsidR="00614EFE" w:rsidRDefault="00614EFE" w:rsidP="00A87B50">
                  <w:pPr>
                    <w:pStyle w:val="TableBodyText"/>
                    <w:ind w:left="113"/>
                    <w:jc w:val="left"/>
                  </w:pPr>
                  <w:r>
                    <w:t>Inmates per dwelling</w:t>
                  </w:r>
                </w:p>
              </w:tc>
              <w:tc>
                <w:tcPr>
                  <w:tcW w:w="875" w:type="pct"/>
                </w:tcPr>
                <w:p w14:paraId="42C4A16A" w14:textId="77777777" w:rsidR="00614EFE" w:rsidRDefault="0008568A" w:rsidP="00421E87">
                  <w:pPr>
                    <w:pStyle w:val="TableBodyText"/>
                  </w:pPr>
                  <w:r>
                    <w:t>5.12</w:t>
                  </w:r>
                </w:p>
              </w:tc>
              <w:tc>
                <w:tcPr>
                  <w:tcW w:w="875" w:type="pct"/>
                </w:tcPr>
                <w:p w14:paraId="0C713B26" w14:textId="77777777" w:rsidR="00614EFE" w:rsidRDefault="0008568A" w:rsidP="00421E87">
                  <w:pPr>
                    <w:pStyle w:val="TableBodyText"/>
                  </w:pPr>
                  <w:r>
                    <w:t>4.78</w:t>
                  </w:r>
                </w:p>
              </w:tc>
              <w:tc>
                <w:tcPr>
                  <w:tcW w:w="875" w:type="pct"/>
                </w:tcPr>
                <w:p w14:paraId="6EF6E849" w14:textId="77777777" w:rsidR="00614EFE" w:rsidRDefault="0008568A" w:rsidP="00421E87">
                  <w:pPr>
                    <w:pStyle w:val="TableBodyText"/>
                  </w:pPr>
                  <w:r>
                    <w:t>4.26</w:t>
                  </w:r>
                </w:p>
              </w:tc>
              <w:tc>
                <w:tcPr>
                  <w:tcW w:w="875" w:type="pct"/>
                </w:tcPr>
                <w:p w14:paraId="113A1D4D" w14:textId="77777777" w:rsidR="00614EFE" w:rsidRDefault="0008568A" w:rsidP="00421E87">
                  <w:pPr>
                    <w:pStyle w:val="TableBodyText"/>
                    <w:ind w:right="28"/>
                  </w:pPr>
                  <w:r>
                    <w:t>3.96</w:t>
                  </w:r>
                </w:p>
              </w:tc>
            </w:tr>
            <w:tr w:rsidR="00614EFE" w14:paraId="636651C0" w14:textId="77777777" w:rsidTr="00A87B50">
              <w:tc>
                <w:tcPr>
                  <w:tcW w:w="1500" w:type="pct"/>
                  <w:tcBorders>
                    <w:bottom w:val="single" w:sz="4" w:space="0" w:color="BFBFBF"/>
                  </w:tcBorders>
                </w:tcPr>
                <w:p w14:paraId="1ECA2705" w14:textId="77777777" w:rsidR="00614EFE" w:rsidRDefault="00614EFE" w:rsidP="00A87B50">
                  <w:pPr>
                    <w:pStyle w:val="TableBodyText"/>
                    <w:ind w:left="113"/>
                    <w:jc w:val="left"/>
                  </w:pPr>
                  <w:r>
                    <w:t>Rooms per inmate</w:t>
                  </w:r>
                </w:p>
              </w:tc>
              <w:tc>
                <w:tcPr>
                  <w:tcW w:w="875" w:type="pct"/>
                  <w:tcBorders>
                    <w:bottom w:val="single" w:sz="4" w:space="0" w:color="BFBFBF"/>
                  </w:tcBorders>
                </w:tcPr>
                <w:p w14:paraId="4C479EE4" w14:textId="77777777" w:rsidR="00614EFE" w:rsidRDefault="00DC31C5" w:rsidP="00421E87">
                  <w:pPr>
                    <w:pStyle w:val="TableBodyText"/>
                  </w:pPr>
                  <w:r>
                    <w:t>1.09</w:t>
                  </w:r>
                </w:p>
              </w:tc>
              <w:tc>
                <w:tcPr>
                  <w:tcW w:w="875" w:type="pct"/>
                  <w:tcBorders>
                    <w:bottom w:val="single" w:sz="4" w:space="0" w:color="BFBFBF"/>
                  </w:tcBorders>
                </w:tcPr>
                <w:p w14:paraId="72A773E1" w14:textId="77777777" w:rsidR="00614EFE" w:rsidRDefault="00DC31C5" w:rsidP="00421E87">
                  <w:pPr>
                    <w:pStyle w:val="TableBodyText"/>
                  </w:pPr>
                  <w:r>
                    <w:t>1.15</w:t>
                  </w:r>
                </w:p>
              </w:tc>
              <w:tc>
                <w:tcPr>
                  <w:tcW w:w="875" w:type="pct"/>
                  <w:tcBorders>
                    <w:bottom w:val="single" w:sz="4" w:space="0" w:color="BFBFBF"/>
                  </w:tcBorders>
                </w:tcPr>
                <w:p w14:paraId="1D1583E3" w14:textId="77777777" w:rsidR="00614EFE" w:rsidRDefault="00DC31C5" w:rsidP="00421E87">
                  <w:pPr>
                    <w:pStyle w:val="TableBodyText"/>
                  </w:pPr>
                  <w:r>
                    <w:t>1.28</w:t>
                  </w:r>
                </w:p>
              </w:tc>
              <w:tc>
                <w:tcPr>
                  <w:tcW w:w="875" w:type="pct"/>
                  <w:tcBorders>
                    <w:bottom w:val="single" w:sz="4" w:space="0" w:color="BFBFBF"/>
                  </w:tcBorders>
                </w:tcPr>
                <w:p w14:paraId="5D716CC3" w14:textId="77777777" w:rsidR="00614EFE" w:rsidRDefault="00DC31C5" w:rsidP="00421E87">
                  <w:pPr>
                    <w:pStyle w:val="TableBodyText"/>
                    <w:ind w:right="28"/>
                  </w:pPr>
                  <w:r>
                    <w:t>1.35</w:t>
                  </w:r>
                </w:p>
              </w:tc>
            </w:tr>
            <w:tr w:rsidR="00614EFE" w14:paraId="3F76DDA5" w14:textId="77777777" w:rsidTr="00A87B50">
              <w:tc>
                <w:tcPr>
                  <w:tcW w:w="1500" w:type="pct"/>
                  <w:tcBorders>
                    <w:top w:val="single" w:sz="4" w:space="0" w:color="BFBFBF"/>
                  </w:tcBorders>
                </w:tcPr>
                <w:p w14:paraId="675B1594" w14:textId="77777777" w:rsidR="00614EFE" w:rsidRDefault="00614EFE" w:rsidP="00614EFE">
                  <w:pPr>
                    <w:pStyle w:val="TableBodyText"/>
                    <w:jc w:val="left"/>
                  </w:pPr>
                  <w:r>
                    <w:t>Education (% attendance)</w:t>
                  </w:r>
                </w:p>
              </w:tc>
              <w:tc>
                <w:tcPr>
                  <w:tcW w:w="875" w:type="pct"/>
                  <w:tcBorders>
                    <w:top w:val="single" w:sz="4" w:space="0" w:color="BFBFBF"/>
                  </w:tcBorders>
                </w:tcPr>
                <w:p w14:paraId="2C57BF02" w14:textId="77777777" w:rsidR="00614EFE" w:rsidRDefault="00614EFE" w:rsidP="00421E87">
                  <w:pPr>
                    <w:pStyle w:val="TableBodyText"/>
                  </w:pPr>
                </w:p>
              </w:tc>
              <w:tc>
                <w:tcPr>
                  <w:tcW w:w="875" w:type="pct"/>
                  <w:tcBorders>
                    <w:top w:val="single" w:sz="4" w:space="0" w:color="BFBFBF"/>
                  </w:tcBorders>
                </w:tcPr>
                <w:p w14:paraId="3D478D50" w14:textId="77777777" w:rsidR="00614EFE" w:rsidRDefault="00614EFE" w:rsidP="00421E87">
                  <w:pPr>
                    <w:pStyle w:val="TableBodyText"/>
                  </w:pPr>
                </w:p>
              </w:tc>
              <w:tc>
                <w:tcPr>
                  <w:tcW w:w="875" w:type="pct"/>
                  <w:tcBorders>
                    <w:top w:val="single" w:sz="4" w:space="0" w:color="BFBFBF"/>
                  </w:tcBorders>
                </w:tcPr>
                <w:p w14:paraId="7D050AE1" w14:textId="77777777" w:rsidR="00614EFE" w:rsidRDefault="00614EFE" w:rsidP="00421E87">
                  <w:pPr>
                    <w:pStyle w:val="TableBodyText"/>
                  </w:pPr>
                </w:p>
              </w:tc>
              <w:tc>
                <w:tcPr>
                  <w:tcW w:w="875" w:type="pct"/>
                  <w:tcBorders>
                    <w:top w:val="single" w:sz="4" w:space="0" w:color="BFBFBF"/>
                  </w:tcBorders>
                </w:tcPr>
                <w:p w14:paraId="457F4B41" w14:textId="77777777" w:rsidR="00614EFE" w:rsidRDefault="00614EFE" w:rsidP="00421E87">
                  <w:pPr>
                    <w:pStyle w:val="TableBodyText"/>
                    <w:ind w:right="28"/>
                  </w:pPr>
                </w:p>
              </w:tc>
            </w:tr>
            <w:tr w:rsidR="00614EFE" w14:paraId="6EB84866" w14:textId="77777777" w:rsidTr="00A87B50">
              <w:tc>
                <w:tcPr>
                  <w:tcW w:w="1500" w:type="pct"/>
                </w:tcPr>
                <w:p w14:paraId="4E21E566" w14:textId="77777777" w:rsidR="00614EFE" w:rsidRDefault="00614EFE" w:rsidP="00A87B50">
                  <w:pPr>
                    <w:pStyle w:val="TableBodyText"/>
                    <w:ind w:left="113"/>
                    <w:jc w:val="left"/>
                  </w:pPr>
                  <w:r>
                    <w:t>Age 5-14</w:t>
                  </w:r>
                </w:p>
              </w:tc>
              <w:tc>
                <w:tcPr>
                  <w:tcW w:w="875" w:type="pct"/>
                </w:tcPr>
                <w:p w14:paraId="056A4776" w14:textId="77777777" w:rsidR="00614EFE" w:rsidRDefault="0008568A" w:rsidP="00421E87">
                  <w:pPr>
                    <w:pStyle w:val="TableBodyText"/>
                  </w:pPr>
                  <w:r>
                    <w:t>62.2</w:t>
                  </w:r>
                </w:p>
              </w:tc>
              <w:tc>
                <w:tcPr>
                  <w:tcW w:w="875" w:type="pct"/>
                </w:tcPr>
                <w:p w14:paraId="59441F55" w14:textId="77777777" w:rsidR="00614EFE" w:rsidRDefault="0008568A" w:rsidP="00421E87">
                  <w:pPr>
                    <w:pStyle w:val="TableBodyText"/>
                  </w:pPr>
                  <w:r>
                    <w:t>67.7</w:t>
                  </w:r>
                </w:p>
              </w:tc>
              <w:tc>
                <w:tcPr>
                  <w:tcW w:w="875" w:type="pct"/>
                </w:tcPr>
                <w:p w14:paraId="2572D2D4" w14:textId="77777777" w:rsidR="00614EFE" w:rsidRDefault="0008568A" w:rsidP="00421E87">
                  <w:pPr>
                    <w:pStyle w:val="TableBodyText"/>
                  </w:pPr>
                  <w:r>
                    <w:t>79.5</w:t>
                  </w:r>
                </w:p>
              </w:tc>
              <w:tc>
                <w:tcPr>
                  <w:tcW w:w="875" w:type="pct"/>
                </w:tcPr>
                <w:p w14:paraId="410EC56A" w14:textId="77777777" w:rsidR="00614EFE" w:rsidRDefault="0008568A" w:rsidP="00421E87">
                  <w:pPr>
                    <w:pStyle w:val="TableBodyText"/>
                    <w:ind w:right="28"/>
                  </w:pPr>
                  <w:r>
                    <w:t>88.9</w:t>
                  </w:r>
                </w:p>
              </w:tc>
            </w:tr>
            <w:tr w:rsidR="00614EFE" w14:paraId="1A8E5BBF" w14:textId="77777777" w:rsidTr="00A87B50">
              <w:tc>
                <w:tcPr>
                  <w:tcW w:w="1500" w:type="pct"/>
                </w:tcPr>
                <w:p w14:paraId="2EBE698A" w14:textId="77777777" w:rsidR="00614EFE" w:rsidRDefault="00614EFE" w:rsidP="00A87B50">
                  <w:pPr>
                    <w:pStyle w:val="TableBodyText"/>
                    <w:ind w:left="113"/>
                    <w:jc w:val="left"/>
                  </w:pPr>
                  <w:r>
                    <w:t>Age 15-19</w:t>
                  </w:r>
                </w:p>
              </w:tc>
              <w:tc>
                <w:tcPr>
                  <w:tcW w:w="875" w:type="pct"/>
                </w:tcPr>
                <w:p w14:paraId="59E3AFF8" w14:textId="77777777" w:rsidR="00614EFE" w:rsidRDefault="0008568A" w:rsidP="00421E87">
                  <w:pPr>
                    <w:pStyle w:val="TableBodyText"/>
                  </w:pPr>
                  <w:r>
                    <w:t>NA</w:t>
                  </w:r>
                </w:p>
              </w:tc>
              <w:tc>
                <w:tcPr>
                  <w:tcW w:w="875" w:type="pct"/>
                </w:tcPr>
                <w:p w14:paraId="0EE298F6" w14:textId="77777777" w:rsidR="00614EFE" w:rsidRDefault="0008568A" w:rsidP="00421E87">
                  <w:pPr>
                    <w:pStyle w:val="TableBodyText"/>
                  </w:pPr>
                  <w:r>
                    <w:t>7.6</w:t>
                  </w:r>
                </w:p>
              </w:tc>
              <w:tc>
                <w:tcPr>
                  <w:tcW w:w="875" w:type="pct"/>
                </w:tcPr>
                <w:p w14:paraId="2612BD02" w14:textId="77777777" w:rsidR="00614EFE" w:rsidRDefault="0008568A" w:rsidP="00421E87">
                  <w:pPr>
                    <w:pStyle w:val="TableBodyText"/>
                  </w:pPr>
                  <w:r>
                    <w:t>11.4</w:t>
                  </w:r>
                </w:p>
              </w:tc>
              <w:tc>
                <w:tcPr>
                  <w:tcW w:w="875" w:type="pct"/>
                </w:tcPr>
                <w:p w14:paraId="37E9AC93" w14:textId="77777777" w:rsidR="00614EFE" w:rsidRDefault="0008568A" w:rsidP="00421E87">
                  <w:pPr>
                    <w:pStyle w:val="TableBodyText"/>
                    <w:ind w:right="28"/>
                  </w:pPr>
                  <w:r>
                    <w:t>11.3</w:t>
                  </w:r>
                </w:p>
              </w:tc>
            </w:tr>
            <w:tr w:rsidR="00614EFE" w14:paraId="2B138036" w14:textId="77777777" w:rsidTr="00A87B50">
              <w:tc>
                <w:tcPr>
                  <w:tcW w:w="1500" w:type="pct"/>
                  <w:tcBorders>
                    <w:bottom w:val="single" w:sz="4" w:space="0" w:color="BFBFBF"/>
                  </w:tcBorders>
                </w:tcPr>
                <w:p w14:paraId="626267C8" w14:textId="77777777" w:rsidR="00614EFE" w:rsidRDefault="00614EFE" w:rsidP="00A87B50">
                  <w:pPr>
                    <w:pStyle w:val="TableBodyText"/>
                    <w:ind w:left="113"/>
                    <w:jc w:val="left"/>
                  </w:pPr>
                  <w:r>
                    <w:t>Age 20-24</w:t>
                  </w:r>
                </w:p>
              </w:tc>
              <w:tc>
                <w:tcPr>
                  <w:tcW w:w="875" w:type="pct"/>
                  <w:tcBorders>
                    <w:bottom w:val="single" w:sz="4" w:space="0" w:color="BFBFBF"/>
                  </w:tcBorders>
                </w:tcPr>
                <w:p w14:paraId="743442BD" w14:textId="77777777" w:rsidR="00614EFE" w:rsidRDefault="0008568A" w:rsidP="00421E87">
                  <w:pPr>
                    <w:pStyle w:val="TableBodyText"/>
                  </w:pPr>
                  <w:r>
                    <w:t>0.43</w:t>
                  </w:r>
                </w:p>
              </w:tc>
              <w:tc>
                <w:tcPr>
                  <w:tcW w:w="875" w:type="pct"/>
                  <w:tcBorders>
                    <w:bottom w:val="single" w:sz="4" w:space="0" w:color="BFBFBF"/>
                  </w:tcBorders>
                </w:tcPr>
                <w:p w14:paraId="13F139C2" w14:textId="77777777" w:rsidR="00614EFE" w:rsidRDefault="0008568A" w:rsidP="00421E87">
                  <w:pPr>
                    <w:pStyle w:val="TableBodyText"/>
                  </w:pPr>
                  <w:r>
                    <w:t>0.75</w:t>
                  </w:r>
                </w:p>
              </w:tc>
              <w:tc>
                <w:tcPr>
                  <w:tcW w:w="875" w:type="pct"/>
                  <w:tcBorders>
                    <w:bottom w:val="single" w:sz="4" w:space="0" w:color="BFBFBF"/>
                  </w:tcBorders>
                </w:tcPr>
                <w:p w14:paraId="28418CF0" w14:textId="77777777" w:rsidR="00614EFE" w:rsidRDefault="0008568A" w:rsidP="00421E87">
                  <w:pPr>
                    <w:pStyle w:val="TableBodyText"/>
                  </w:pPr>
                  <w:r>
                    <w:t>1.7</w:t>
                  </w:r>
                </w:p>
              </w:tc>
              <w:tc>
                <w:tcPr>
                  <w:tcW w:w="875" w:type="pct"/>
                  <w:tcBorders>
                    <w:bottom w:val="single" w:sz="4" w:space="0" w:color="BFBFBF"/>
                  </w:tcBorders>
                </w:tcPr>
                <w:p w14:paraId="75C89545" w14:textId="77777777" w:rsidR="00614EFE" w:rsidRDefault="0008568A" w:rsidP="00421E87">
                  <w:pPr>
                    <w:pStyle w:val="TableBodyText"/>
                    <w:ind w:right="28"/>
                  </w:pPr>
                  <w:r>
                    <w:t>4.9</w:t>
                  </w:r>
                </w:p>
              </w:tc>
            </w:tr>
          </w:tbl>
          <w:p w14:paraId="262A731B" w14:textId="77777777" w:rsidR="00C11AC1" w:rsidRDefault="00C11AC1" w:rsidP="00421E87">
            <w:pPr>
              <w:pStyle w:val="Box"/>
            </w:pPr>
          </w:p>
        </w:tc>
      </w:tr>
      <w:tr w:rsidR="00C11AC1" w14:paraId="05A2BF5A" w14:textId="77777777" w:rsidTr="00421E87">
        <w:tc>
          <w:tcPr>
            <w:tcW w:w="5000" w:type="pct"/>
            <w:tcBorders>
              <w:top w:val="nil"/>
              <w:left w:val="nil"/>
              <w:bottom w:val="nil"/>
              <w:right w:val="nil"/>
            </w:tcBorders>
            <w:shd w:val="clear" w:color="auto" w:fill="auto"/>
          </w:tcPr>
          <w:p w14:paraId="0C431C56" w14:textId="77777777" w:rsidR="00C11AC1" w:rsidRDefault="00614EFE" w:rsidP="00614EFE">
            <w:pPr>
              <w:pStyle w:val="Source"/>
            </w:pPr>
            <w:r>
              <w:rPr>
                <w:i/>
              </w:rPr>
              <w:t>Source</w:t>
            </w:r>
            <w:r w:rsidR="00C11AC1" w:rsidRPr="00167F06">
              <w:t xml:space="preserve">: </w:t>
            </w:r>
            <w:r>
              <w:t xml:space="preserve">McLean </w:t>
            </w:r>
            <w:r w:rsidRPr="00614EFE">
              <w:rPr>
                <w:rFonts w:cs="Arial"/>
                <w:szCs w:val="24"/>
              </w:rPr>
              <w:t>(2013, p. 174)</w:t>
            </w:r>
            <w:r>
              <w:t>.</w:t>
            </w:r>
          </w:p>
        </w:tc>
      </w:tr>
      <w:tr w:rsidR="00C11AC1" w14:paraId="6948AA43" w14:textId="77777777" w:rsidTr="00421E87">
        <w:tc>
          <w:tcPr>
            <w:tcW w:w="5000" w:type="pct"/>
            <w:tcBorders>
              <w:top w:val="nil"/>
              <w:left w:val="nil"/>
              <w:bottom w:val="single" w:sz="6" w:space="0" w:color="78A22F"/>
              <w:right w:val="nil"/>
            </w:tcBorders>
            <w:shd w:val="clear" w:color="auto" w:fill="auto"/>
          </w:tcPr>
          <w:p w14:paraId="4F938456" w14:textId="77777777" w:rsidR="00C11AC1" w:rsidRDefault="00C11AC1" w:rsidP="00421E87">
            <w:pPr>
              <w:pStyle w:val="Box"/>
              <w:spacing w:before="0" w:line="120" w:lineRule="exact"/>
            </w:pPr>
          </w:p>
        </w:tc>
      </w:tr>
      <w:tr w:rsidR="00C11AC1" w:rsidRPr="000863A5" w14:paraId="7F47734F" w14:textId="77777777" w:rsidTr="00421E87">
        <w:tc>
          <w:tcPr>
            <w:tcW w:w="5000" w:type="pct"/>
            <w:tcBorders>
              <w:top w:val="single" w:sz="6" w:space="0" w:color="78A22F"/>
              <w:left w:val="nil"/>
              <w:bottom w:val="nil"/>
              <w:right w:val="nil"/>
            </w:tcBorders>
          </w:tcPr>
          <w:p w14:paraId="23B8B012" w14:textId="77777777" w:rsidR="00C11AC1" w:rsidRPr="00626D32" w:rsidRDefault="00C11AC1" w:rsidP="00421E87">
            <w:pPr>
              <w:pStyle w:val="BoxSpaceBelow"/>
            </w:pPr>
          </w:p>
        </w:tc>
      </w:tr>
    </w:tbl>
    <w:p w14:paraId="731F968E" w14:textId="77777777" w:rsidR="00A05CE3" w:rsidRDefault="00A05CE3">
      <w:pPr>
        <w:rPr>
          <w:rFonts w:ascii="Times New Roman" w:eastAsia="Times New Roman" w:hAnsi="Times New Roman" w:cs="Times New Roman"/>
          <w:sz w:val="24"/>
          <w:szCs w:val="20"/>
          <w:lang w:eastAsia="en-AU"/>
        </w:rPr>
      </w:pPr>
      <w:r>
        <w:br w:type="page"/>
      </w:r>
    </w:p>
    <w:p w14:paraId="1DDFC557" w14:textId="77777777" w:rsidR="00087C46" w:rsidRPr="00087C46" w:rsidRDefault="00A05CE3" w:rsidP="008F0963">
      <w:pPr>
        <w:pStyle w:val="Heading1nochapterno"/>
      </w:pPr>
      <w:bookmarkStart w:id="23" w:name="_Toc56436183"/>
      <w:r>
        <w:lastRenderedPageBreak/>
        <w:t>References</w:t>
      </w:r>
      <w:bookmarkEnd w:id="23"/>
    </w:p>
    <w:p w14:paraId="2CA268E8" w14:textId="77777777" w:rsidR="00830C89" w:rsidRPr="00A87B50" w:rsidRDefault="00830C89" w:rsidP="00A87B50">
      <w:pPr>
        <w:pStyle w:val="Reference"/>
        <w:rPr>
          <w:spacing w:val="-4"/>
          <w:sz w:val="20"/>
        </w:rPr>
      </w:pPr>
      <w:r w:rsidRPr="00A87B50">
        <w:rPr>
          <w:spacing w:val="-4"/>
          <w:sz w:val="20"/>
        </w:rPr>
        <w:t xml:space="preserve">ABS, A. 1988, </w:t>
      </w:r>
      <w:r w:rsidRPr="00A87B50">
        <w:rPr>
          <w:i/>
          <w:iCs/>
          <w:spacing w:val="-4"/>
          <w:sz w:val="20"/>
        </w:rPr>
        <w:t>History of Pensions and Other Benefits in Australia</w:t>
      </w:r>
      <w:r w:rsidRPr="00A87B50">
        <w:rPr>
          <w:spacing w:val="-4"/>
          <w:sz w:val="20"/>
        </w:rPr>
        <w:t>, Year Book Australia.</w:t>
      </w:r>
    </w:p>
    <w:p w14:paraId="6D9F5F00" w14:textId="77777777" w:rsidR="00830C89" w:rsidRPr="00A87B50" w:rsidRDefault="00830C89" w:rsidP="00A87B50">
      <w:pPr>
        <w:pStyle w:val="Reference"/>
        <w:rPr>
          <w:spacing w:val="-4"/>
          <w:sz w:val="20"/>
        </w:rPr>
      </w:pPr>
      <w:r w:rsidRPr="00A87B50">
        <w:rPr>
          <w:spacing w:val="-4"/>
          <w:sz w:val="20"/>
        </w:rPr>
        <w:t xml:space="preserve">ACCC, A. 2018, </w:t>
      </w:r>
      <w:r w:rsidRPr="00A87B50">
        <w:rPr>
          <w:i/>
          <w:iCs/>
          <w:spacing w:val="-4"/>
          <w:sz w:val="20"/>
        </w:rPr>
        <w:t>Restoring electricity affordability &amp; Australia’s competitive advantage</w:t>
      </w:r>
      <w:r w:rsidRPr="00A87B50">
        <w:rPr>
          <w:spacing w:val="-4"/>
          <w:sz w:val="20"/>
        </w:rPr>
        <w:t>, Text, Australian Competition and Consumer Commission, https://www.accc.gov.au/publications/restoring-electricity-affordability-australias-competitive-advantage (accessed 9 November 2020).</w:t>
      </w:r>
    </w:p>
    <w:p w14:paraId="160C7139" w14:textId="77777777" w:rsidR="00830C89" w:rsidRPr="00A87B50" w:rsidRDefault="00830C89" w:rsidP="00A87B50">
      <w:pPr>
        <w:pStyle w:val="Reference"/>
        <w:rPr>
          <w:spacing w:val="-4"/>
          <w:sz w:val="20"/>
        </w:rPr>
      </w:pPr>
      <w:r w:rsidRPr="00A87B50">
        <w:rPr>
          <w:spacing w:val="-4"/>
          <w:sz w:val="20"/>
        </w:rPr>
        <w:t xml:space="preserve">Acemoglu, D. and Linn, J. 2004, ‘Market Size in Innovation: Theory and Evidence from the Pharmaceutical Industry’, </w:t>
      </w:r>
      <w:r w:rsidRPr="00A87B50">
        <w:rPr>
          <w:i/>
          <w:iCs/>
          <w:spacing w:val="-4"/>
          <w:sz w:val="20"/>
        </w:rPr>
        <w:t>The Quarterly Journal of Economics</w:t>
      </w:r>
      <w:r w:rsidRPr="00A87B50">
        <w:rPr>
          <w:spacing w:val="-4"/>
          <w:sz w:val="20"/>
        </w:rPr>
        <w:t>, vol. 119, no. 3, pp. 1049–1090.</w:t>
      </w:r>
    </w:p>
    <w:p w14:paraId="766052AC" w14:textId="77777777" w:rsidR="00830C89" w:rsidRPr="00A87B50" w:rsidRDefault="00830C89" w:rsidP="00A87B50">
      <w:pPr>
        <w:pStyle w:val="Reference"/>
        <w:rPr>
          <w:spacing w:val="-4"/>
          <w:sz w:val="20"/>
        </w:rPr>
      </w:pPr>
      <w:r w:rsidRPr="00A87B50">
        <w:rPr>
          <w:spacing w:val="-4"/>
          <w:sz w:val="20"/>
        </w:rPr>
        <w:t xml:space="preserve">Aivazian, V., Ge, Y. and Qiu, J. 2005, ‘Can corporatization improve the performance of state-owned enterprises even without privatization?’, </w:t>
      </w:r>
      <w:r w:rsidRPr="00A87B50">
        <w:rPr>
          <w:i/>
          <w:iCs/>
          <w:spacing w:val="-4"/>
          <w:sz w:val="20"/>
        </w:rPr>
        <w:t>Journal of Corporate Finance</w:t>
      </w:r>
      <w:r w:rsidRPr="00A87B50">
        <w:rPr>
          <w:spacing w:val="-4"/>
          <w:sz w:val="20"/>
        </w:rPr>
        <w:t>, vol. 11, no. 5, pp. 791–808.</w:t>
      </w:r>
    </w:p>
    <w:p w14:paraId="68508ED0" w14:textId="77777777" w:rsidR="00830C89" w:rsidRPr="00A87B50" w:rsidRDefault="00830C89" w:rsidP="00A87B50">
      <w:pPr>
        <w:pStyle w:val="Reference"/>
        <w:rPr>
          <w:spacing w:val="-4"/>
          <w:sz w:val="20"/>
        </w:rPr>
      </w:pPr>
      <w:r w:rsidRPr="00A87B50">
        <w:rPr>
          <w:spacing w:val="-4"/>
          <w:sz w:val="20"/>
        </w:rPr>
        <w:t xml:space="preserve">Anderson, K. 2020, </w:t>
      </w:r>
      <w:r w:rsidRPr="00A87B50">
        <w:rPr>
          <w:i/>
          <w:iCs/>
          <w:spacing w:val="-4"/>
          <w:sz w:val="20"/>
        </w:rPr>
        <w:t>Trade Protectionism in Australia: Its Growth and Dismantling</w:t>
      </w:r>
      <w:r w:rsidRPr="00A87B50">
        <w:rPr>
          <w:spacing w:val="-4"/>
          <w:sz w:val="20"/>
        </w:rPr>
        <w:t>, SSRN Scholarly Paper, 1 May, ID 3603992, Social Science Research Network, Rochester, NY, https://papers.ssrn.com/abstract=3603992 (accessed 1 October 2020).</w:t>
      </w:r>
    </w:p>
    <w:p w14:paraId="7583A4FD" w14:textId="77777777" w:rsidR="00830C89" w:rsidRPr="00A87B50" w:rsidRDefault="00830C89" w:rsidP="00A87B50">
      <w:pPr>
        <w:pStyle w:val="Reference"/>
        <w:rPr>
          <w:spacing w:val="-4"/>
          <w:sz w:val="20"/>
        </w:rPr>
      </w:pPr>
      <w:r w:rsidRPr="00A87B50">
        <w:rPr>
          <w:spacing w:val="-4"/>
          <w:sz w:val="20"/>
        </w:rPr>
        <w:t xml:space="preserve">—— and Garnaut, R. 1987, </w:t>
      </w:r>
      <w:r w:rsidRPr="00A87B50">
        <w:rPr>
          <w:i/>
          <w:iCs/>
          <w:spacing w:val="-4"/>
          <w:sz w:val="20"/>
        </w:rPr>
        <w:t>Australian protectionism: extent, causes and effects</w:t>
      </w:r>
      <w:r w:rsidRPr="00A87B50">
        <w:rPr>
          <w:spacing w:val="-4"/>
          <w:sz w:val="20"/>
        </w:rPr>
        <w:t>, Sydney.</w:t>
      </w:r>
    </w:p>
    <w:p w14:paraId="565D7F89" w14:textId="77777777" w:rsidR="00830C89" w:rsidRPr="00A87B50" w:rsidRDefault="00830C89" w:rsidP="00A87B50">
      <w:pPr>
        <w:pStyle w:val="Reference"/>
        <w:rPr>
          <w:spacing w:val="-4"/>
          <w:sz w:val="20"/>
        </w:rPr>
      </w:pPr>
      <w:r w:rsidRPr="00A87B50">
        <w:rPr>
          <w:spacing w:val="-4"/>
          <w:sz w:val="20"/>
        </w:rPr>
        <w:t xml:space="preserve">Atkinson, A.B. and Leigh, A. 2010, ‘The Distribution of Top Incomes in Five Anglo-Saxon Countries over the Twentieth Century’, </w:t>
      </w:r>
      <w:r w:rsidRPr="00A87B50">
        <w:rPr>
          <w:i/>
          <w:iCs/>
          <w:spacing w:val="-4"/>
          <w:sz w:val="20"/>
        </w:rPr>
        <w:t>IZA DP No. 4937</w:t>
      </w:r>
      <w:r w:rsidRPr="00A87B50">
        <w:rPr>
          <w:spacing w:val="-4"/>
          <w:sz w:val="20"/>
        </w:rPr>
        <w:t>, p. 54.</w:t>
      </w:r>
    </w:p>
    <w:p w14:paraId="5BF28DE6" w14:textId="77777777" w:rsidR="00830C89" w:rsidRPr="00A87B50" w:rsidRDefault="00830C89" w:rsidP="00A87B50">
      <w:pPr>
        <w:pStyle w:val="Reference"/>
        <w:rPr>
          <w:spacing w:val="-4"/>
          <w:sz w:val="20"/>
        </w:rPr>
      </w:pPr>
      <w:r w:rsidRPr="00A87B50">
        <w:rPr>
          <w:spacing w:val="-4"/>
          <w:sz w:val="20"/>
        </w:rPr>
        <w:t xml:space="preserve">Atkinson, T. and Leigh, A. 2007, ‘The Distribution of Top Incomes in Australia’, </w:t>
      </w:r>
      <w:r w:rsidRPr="00A87B50">
        <w:rPr>
          <w:i/>
          <w:iCs/>
          <w:spacing w:val="-4"/>
          <w:sz w:val="20"/>
        </w:rPr>
        <w:t>The Economic Record</w:t>
      </w:r>
      <w:r w:rsidRPr="00A87B50">
        <w:rPr>
          <w:spacing w:val="-4"/>
          <w:sz w:val="20"/>
        </w:rPr>
        <w:t>, vol. 83, no. 262, pp. 247–261.</w:t>
      </w:r>
    </w:p>
    <w:p w14:paraId="033A9650" w14:textId="77777777" w:rsidR="00830C89" w:rsidRPr="00A87B50" w:rsidRDefault="00830C89" w:rsidP="00A87B50">
      <w:pPr>
        <w:pStyle w:val="Reference"/>
        <w:rPr>
          <w:spacing w:val="-4"/>
          <w:sz w:val="20"/>
        </w:rPr>
      </w:pPr>
      <w:r w:rsidRPr="00A87B50">
        <w:rPr>
          <w:spacing w:val="-4"/>
          <w:sz w:val="20"/>
        </w:rPr>
        <w:t xml:space="preserve">Australia. Committee on Economic Effects of the Tariff 1929, </w:t>
      </w:r>
      <w:r w:rsidRPr="00A87B50">
        <w:rPr>
          <w:i/>
          <w:iCs/>
          <w:spacing w:val="-4"/>
          <w:sz w:val="20"/>
        </w:rPr>
        <w:t>The Australian tariff: an economic enquiry</w:t>
      </w:r>
      <w:r w:rsidRPr="00A87B50">
        <w:rPr>
          <w:spacing w:val="-4"/>
          <w:sz w:val="20"/>
        </w:rPr>
        <w:t>, 2nd ed., Melbourne University Press economic series; no. 6, University Press in association with Macmillan, Melbourne.</w:t>
      </w:r>
    </w:p>
    <w:p w14:paraId="79A521CC" w14:textId="77777777" w:rsidR="00830C89" w:rsidRPr="00A87B50" w:rsidRDefault="00830C89" w:rsidP="00A87B50">
      <w:pPr>
        <w:pStyle w:val="Reference"/>
        <w:rPr>
          <w:spacing w:val="-4"/>
          <w:sz w:val="20"/>
        </w:rPr>
      </w:pPr>
      <w:r w:rsidRPr="00A87B50">
        <w:rPr>
          <w:spacing w:val="-4"/>
          <w:sz w:val="20"/>
        </w:rPr>
        <w:t xml:space="preserve">Banks, G. 2005, </w:t>
      </w:r>
      <w:r w:rsidRPr="00A87B50">
        <w:rPr>
          <w:i/>
          <w:iCs/>
          <w:spacing w:val="-4"/>
          <w:sz w:val="20"/>
        </w:rPr>
        <w:t>Structural Reform Australian-Style: Lessons for Others?</w:t>
      </w:r>
      <w:r w:rsidRPr="00A87B50">
        <w:rPr>
          <w:spacing w:val="-4"/>
          <w:sz w:val="20"/>
        </w:rPr>
        <w:t>, Productivity Commission Chairman’s Speech, Canberra.</w:t>
      </w:r>
    </w:p>
    <w:p w14:paraId="4F0E8BCB" w14:textId="77777777" w:rsidR="00830C89" w:rsidRPr="00A87B50" w:rsidRDefault="00830C89" w:rsidP="00A87B50">
      <w:pPr>
        <w:pStyle w:val="Reference"/>
        <w:rPr>
          <w:spacing w:val="-4"/>
          <w:sz w:val="20"/>
        </w:rPr>
      </w:pPr>
      <w:r w:rsidRPr="00A87B50">
        <w:rPr>
          <w:spacing w:val="-4"/>
          <w:sz w:val="20"/>
        </w:rPr>
        <w:t xml:space="preserve">Bhattacharyya, S. and Williamson, J. 2011, ‘Commodity price shocks and the Australian economy since Federation’, </w:t>
      </w:r>
      <w:r w:rsidRPr="00A87B50">
        <w:rPr>
          <w:i/>
          <w:iCs/>
          <w:spacing w:val="-4"/>
          <w:sz w:val="20"/>
        </w:rPr>
        <w:t>Australian Economic History Review</w:t>
      </w:r>
      <w:r w:rsidRPr="00A87B50">
        <w:rPr>
          <w:spacing w:val="-4"/>
          <w:sz w:val="20"/>
        </w:rPr>
        <w:t>, vol. 51, no. 2, pp. 150–177.</w:t>
      </w:r>
    </w:p>
    <w:p w14:paraId="7C15BEE3" w14:textId="77777777" w:rsidR="00830C89" w:rsidRPr="00A87B50" w:rsidRDefault="00830C89" w:rsidP="00A87B50">
      <w:pPr>
        <w:pStyle w:val="Reference"/>
        <w:rPr>
          <w:spacing w:val="-4"/>
          <w:sz w:val="20"/>
        </w:rPr>
      </w:pPr>
      <w:r w:rsidRPr="00A87B50">
        <w:rPr>
          <w:spacing w:val="-4"/>
          <w:sz w:val="20"/>
        </w:rPr>
        <w:t xml:space="preserve">Bolt, J., Inklaar, R., de Jong, H. and van Zanden, J.L. 2018, </w:t>
      </w:r>
      <w:r w:rsidRPr="00A87B50">
        <w:rPr>
          <w:i/>
          <w:iCs/>
          <w:spacing w:val="-4"/>
          <w:sz w:val="20"/>
        </w:rPr>
        <w:t>Rebasing ‘Maddison’: new income comparisons and the shape of long-run economic development</w:t>
      </w:r>
      <w:r w:rsidRPr="00A87B50">
        <w:rPr>
          <w:spacing w:val="-4"/>
          <w:sz w:val="20"/>
        </w:rPr>
        <w:t>, Maddison Project Working paper 10.</w:t>
      </w:r>
    </w:p>
    <w:p w14:paraId="694909FE" w14:textId="77777777" w:rsidR="00830C89" w:rsidRPr="00A87B50" w:rsidRDefault="00830C89" w:rsidP="00A87B50">
      <w:pPr>
        <w:pStyle w:val="Reference"/>
        <w:rPr>
          <w:spacing w:val="-4"/>
          <w:sz w:val="20"/>
        </w:rPr>
      </w:pPr>
      <w:r w:rsidRPr="00A87B50">
        <w:rPr>
          <w:spacing w:val="-4"/>
          <w:sz w:val="20"/>
        </w:rPr>
        <w:t xml:space="preserve">Butlin, M., Dixon, R. and Lloyd, P. 2015, ‘Statistical Appendix: selected data series, 1800-2010’, </w:t>
      </w:r>
      <w:r w:rsidRPr="00A87B50">
        <w:rPr>
          <w:i/>
          <w:iCs/>
          <w:spacing w:val="-4"/>
          <w:sz w:val="20"/>
        </w:rPr>
        <w:t>The Cambridge economic history of Australia</w:t>
      </w:r>
      <w:r w:rsidRPr="00A87B50">
        <w:rPr>
          <w:spacing w:val="-4"/>
          <w:sz w:val="20"/>
        </w:rPr>
        <w:t>, Cambridge University Press, Sydney.</w:t>
      </w:r>
    </w:p>
    <w:p w14:paraId="3211351C" w14:textId="77777777" w:rsidR="00830C89" w:rsidRPr="00A87B50" w:rsidRDefault="00830C89" w:rsidP="00A87B50">
      <w:pPr>
        <w:pStyle w:val="Reference"/>
        <w:rPr>
          <w:spacing w:val="-4"/>
          <w:sz w:val="20"/>
        </w:rPr>
      </w:pPr>
      <w:r w:rsidRPr="00A87B50">
        <w:rPr>
          <w:spacing w:val="-4"/>
          <w:sz w:val="20"/>
        </w:rPr>
        <w:t xml:space="preserve">Butlin, N.G. 1962, </w:t>
      </w:r>
      <w:r w:rsidRPr="00A87B50">
        <w:rPr>
          <w:i/>
          <w:iCs/>
          <w:spacing w:val="-4"/>
          <w:sz w:val="20"/>
        </w:rPr>
        <w:t>Australian domestic product, investment and foreign borrowing 1861-1938/39</w:t>
      </w:r>
      <w:r w:rsidRPr="00A87B50">
        <w:rPr>
          <w:spacing w:val="-4"/>
          <w:sz w:val="20"/>
        </w:rPr>
        <w:t>, Cambridge University Press, Cambridge.</w:t>
      </w:r>
    </w:p>
    <w:p w14:paraId="592F32DC" w14:textId="77777777" w:rsidR="00830C89" w:rsidRPr="00A87B50" w:rsidRDefault="00830C89" w:rsidP="00A87B50">
      <w:pPr>
        <w:pStyle w:val="Reference"/>
        <w:rPr>
          <w:spacing w:val="-4"/>
          <w:sz w:val="20"/>
        </w:rPr>
      </w:pPr>
      <w:r w:rsidRPr="00A87B50">
        <w:rPr>
          <w:spacing w:val="-4"/>
          <w:sz w:val="20"/>
        </w:rPr>
        <w:t xml:space="preserve">—— and Sinclair, W.A. 1984, </w:t>
      </w:r>
      <w:r w:rsidRPr="00A87B50">
        <w:rPr>
          <w:i/>
          <w:iCs/>
          <w:spacing w:val="-4"/>
          <w:sz w:val="20"/>
        </w:rPr>
        <w:t>Australian gross domestic product 1788 to 1860: estimates, sources and methods</w:t>
      </w:r>
      <w:r w:rsidRPr="00A87B50">
        <w:rPr>
          <w:spacing w:val="-4"/>
          <w:sz w:val="20"/>
        </w:rPr>
        <w:t>, Source Papers in Australian Economic History, 2, Australian National University.</w:t>
      </w:r>
    </w:p>
    <w:p w14:paraId="02BF0AE7" w14:textId="77777777" w:rsidR="00830C89" w:rsidRPr="00A87B50" w:rsidRDefault="00830C89" w:rsidP="00A87B50">
      <w:pPr>
        <w:pStyle w:val="Reference"/>
        <w:rPr>
          <w:spacing w:val="-4"/>
          <w:sz w:val="20"/>
        </w:rPr>
      </w:pPr>
      <w:r w:rsidRPr="00A87B50">
        <w:rPr>
          <w:spacing w:val="-4"/>
          <w:sz w:val="20"/>
        </w:rPr>
        <w:t xml:space="preserve">Clemens, M.A. and Williamson, J.G. 2004, ‘Why Did the Tariff-Growth Correlation Change after 1950?’, Springer, </w:t>
      </w:r>
      <w:r w:rsidRPr="00A87B50">
        <w:rPr>
          <w:i/>
          <w:iCs/>
          <w:spacing w:val="-4"/>
          <w:sz w:val="20"/>
        </w:rPr>
        <w:t>Journal of Economic Growth</w:t>
      </w:r>
      <w:r w:rsidRPr="00A87B50">
        <w:rPr>
          <w:spacing w:val="-4"/>
          <w:sz w:val="20"/>
        </w:rPr>
        <w:t>, vol. 9, no. 1, pp. 5–46.</w:t>
      </w:r>
    </w:p>
    <w:p w14:paraId="7611DF63" w14:textId="77777777" w:rsidR="00830C89" w:rsidRPr="00A87B50" w:rsidRDefault="00830C89" w:rsidP="00A87B50">
      <w:pPr>
        <w:pStyle w:val="Reference"/>
        <w:rPr>
          <w:spacing w:val="-4"/>
          <w:sz w:val="20"/>
        </w:rPr>
      </w:pPr>
      <w:r w:rsidRPr="00A87B50">
        <w:rPr>
          <w:spacing w:val="-4"/>
          <w:sz w:val="20"/>
        </w:rPr>
        <w:lastRenderedPageBreak/>
        <w:t xml:space="preserve">Corden, M. 1996, </w:t>
      </w:r>
      <w:r w:rsidRPr="00A87B50">
        <w:rPr>
          <w:i/>
          <w:iCs/>
          <w:spacing w:val="-4"/>
          <w:sz w:val="20"/>
        </w:rPr>
        <w:t>Trade policy and economic welfare</w:t>
      </w:r>
      <w:r w:rsidRPr="00A87B50">
        <w:rPr>
          <w:spacing w:val="-4"/>
          <w:sz w:val="20"/>
        </w:rPr>
        <w:t>, 2nd edn, Oxford England : Clarendon Press ; New York : Oxford University Press.</w:t>
      </w:r>
    </w:p>
    <w:p w14:paraId="26B3BDE6" w14:textId="77777777" w:rsidR="00830C89" w:rsidRPr="00A87B50" w:rsidRDefault="00830C89" w:rsidP="00A87B50">
      <w:pPr>
        <w:pStyle w:val="Reference"/>
        <w:rPr>
          <w:spacing w:val="-4"/>
          <w:sz w:val="20"/>
        </w:rPr>
      </w:pPr>
      <w:r w:rsidRPr="00A87B50">
        <w:rPr>
          <w:spacing w:val="-4"/>
          <w:sz w:val="20"/>
        </w:rPr>
        <w:t xml:space="preserve">Crespi, G., Criscuolo, C. and Haskel, J. 2008, ‘Productivity, Exporting and the Learning-by-Exporting Hypothesis: Direct Evidence from UK Firms’, </w:t>
      </w:r>
      <w:r w:rsidRPr="00A87B50">
        <w:rPr>
          <w:i/>
          <w:iCs/>
          <w:spacing w:val="-4"/>
          <w:sz w:val="20"/>
        </w:rPr>
        <w:t>The Canadian Journal of Economics</w:t>
      </w:r>
      <w:r w:rsidRPr="00A87B50">
        <w:rPr>
          <w:spacing w:val="-4"/>
          <w:sz w:val="20"/>
        </w:rPr>
        <w:t>, vol. 41, no. 2, pp. 619–638.</w:t>
      </w:r>
    </w:p>
    <w:p w14:paraId="5888DE5F" w14:textId="77777777" w:rsidR="00830C89" w:rsidRPr="00A87B50" w:rsidRDefault="00830C89" w:rsidP="00A87B50">
      <w:pPr>
        <w:pStyle w:val="Reference"/>
        <w:rPr>
          <w:spacing w:val="-4"/>
          <w:sz w:val="20"/>
        </w:rPr>
      </w:pPr>
      <w:r w:rsidRPr="00A87B50">
        <w:rPr>
          <w:spacing w:val="-4"/>
          <w:sz w:val="20"/>
        </w:rPr>
        <w:t xml:space="preserve">Dixon, P., Sutton, J., Vincent, D.P. and Parmenter, B.R. 1982, </w:t>
      </w:r>
      <w:r w:rsidRPr="00A87B50">
        <w:rPr>
          <w:i/>
          <w:iCs/>
          <w:spacing w:val="-4"/>
          <w:sz w:val="20"/>
        </w:rPr>
        <w:t>ORANI: A Multisectoral Model of the Australian Economy</w:t>
      </w:r>
      <w:r w:rsidRPr="00A87B50">
        <w:rPr>
          <w:spacing w:val="-4"/>
          <w:sz w:val="20"/>
        </w:rPr>
        <w:t>, https://www.copsmodels.com/oranibook.htm (accessed 20 October 2020).</w:t>
      </w:r>
    </w:p>
    <w:p w14:paraId="15C7B6BC" w14:textId="77777777" w:rsidR="00830C89" w:rsidRPr="00A87B50" w:rsidRDefault="00830C89" w:rsidP="00A87B50">
      <w:pPr>
        <w:pStyle w:val="Reference"/>
        <w:rPr>
          <w:spacing w:val="-4"/>
          <w:sz w:val="20"/>
        </w:rPr>
      </w:pPr>
      <w:r w:rsidRPr="00A87B50">
        <w:rPr>
          <w:spacing w:val="-4"/>
          <w:sz w:val="20"/>
        </w:rPr>
        <w:t xml:space="preserve">Dyster, B. and Meredith, D. 2012, </w:t>
      </w:r>
      <w:r w:rsidRPr="00A87B50">
        <w:rPr>
          <w:i/>
          <w:iCs/>
          <w:spacing w:val="-4"/>
          <w:sz w:val="20"/>
        </w:rPr>
        <w:t>Australia in the Global Economy: Continuity and Change</w:t>
      </w:r>
      <w:r w:rsidRPr="00A87B50">
        <w:rPr>
          <w:spacing w:val="-4"/>
          <w:sz w:val="20"/>
        </w:rPr>
        <w:t>, Cambridge University Press.</w:t>
      </w:r>
    </w:p>
    <w:p w14:paraId="29BA0411" w14:textId="77777777" w:rsidR="00830C89" w:rsidRPr="00A87B50" w:rsidRDefault="00830C89" w:rsidP="00A87B50">
      <w:pPr>
        <w:pStyle w:val="Reference"/>
        <w:rPr>
          <w:spacing w:val="-4"/>
          <w:sz w:val="20"/>
        </w:rPr>
      </w:pPr>
      <w:r w:rsidRPr="00A87B50">
        <w:rPr>
          <w:spacing w:val="-4"/>
          <w:sz w:val="20"/>
        </w:rPr>
        <w:t xml:space="preserve">Haig, B. 2001, ‘New Estimates of Australian GDP: 1861–1948/49’, </w:t>
      </w:r>
      <w:r w:rsidRPr="00A87B50">
        <w:rPr>
          <w:i/>
          <w:iCs/>
          <w:spacing w:val="-4"/>
          <w:sz w:val="20"/>
        </w:rPr>
        <w:t>Australian Economic History Review</w:t>
      </w:r>
      <w:r w:rsidRPr="00A87B50">
        <w:rPr>
          <w:spacing w:val="-4"/>
          <w:sz w:val="20"/>
        </w:rPr>
        <w:t>, vol. 41, no. 1, pp. 1–34.</w:t>
      </w:r>
    </w:p>
    <w:p w14:paraId="603ADBBD" w14:textId="77777777" w:rsidR="00830C89" w:rsidRPr="00A87B50" w:rsidRDefault="00830C89" w:rsidP="00A87B50">
      <w:pPr>
        <w:pStyle w:val="Reference"/>
        <w:rPr>
          <w:spacing w:val="-4"/>
          <w:sz w:val="20"/>
        </w:rPr>
      </w:pPr>
      <w:r w:rsidRPr="00A87B50">
        <w:rPr>
          <w:spacing w:val="-4"/>
          <w:sz w:val="20"/>
        </w:rPr>
        <w:t xml:space="preserve">—— and Andersson, J. 2007, ‘Australian Consumption Expenditure and Real Income: 1900 to 2003–2004’, </w:t>
      </w:r>
      <w:r w:rsidRPr="00A87B50">
        <w:rPr>
          <w:i/>
          <w:iCs/>
          <w:spacing w:val="-4"/>
          <w:sz w:val="20"/>
        </w:rPr>
        <w:t>The Economic Record</w:t>
      </w:r>
      <w:r w:rsidRPr="00A87B50">
        <w:rPr>
          <w:spacing w:val="-4"/>
          <w:sz w:val="20"/>
        </w:rPr>
        <w:t>, vol. 83, no. 263, pp. 416–431.</w:t>
      </w:r>
    </w:p>
    <w:p w14:paraId="4D0CBA26" w14:textId="77777777" w:rsidR="00830C89" w:rsidRPr="00A87B50" w:rsidRDefault="00830C89" w:rsidP="00A87B50">
      <w:pPr>
        <w:pStyle w:val="Reference"/>
        <w:rPr>
          <w:spacing w:val="-4"/>
          <w:sz w:val="20"/>
        </w:rPr>
      </w:pPr>
      <w:r w:rsidRPr="00A87B50">
        <w:rPr>
          <w:spacing w:val="-4"/>
          <w:sz w:val="20"/>
        </w:rPr>
        <w:t>Hall, G.J. 1958, ‘The Australian Tariff Board - 1922-1956’, Melbourne.</w:t>
      </w:r>
    </w:p>
    <w:p w14:paraId="7C4E317F" w14:textId="77777777" w:rsidR="00830C89" w:rsidRPr="00A87B50" w:rsidRDefault="00830C89" w:rsidP="00A87B50">
      <w:pPr>
        <w:pStyle w:val="Reference"/>
        <w:rPr>
          <w:spacing w:val="-4"/>
          <w:sz w:val="20"/>
        </w:rPr>
      </w:pPr>
      <w:r w:rsidRPr="00A87B50">
        <w:rPr>
          <w:spacing w:val="-4"/>
          <w:sz w:val="20"/>
        </w:rPr>
        <w:t xml:space="preserve">Hancock, K. 2005, ‘Productivity Growth in Australia 1964-65 to 2003-04’, </w:t>
      </w:r>
      <w:r w:rsidRPr="00A87B50">
        <w:rPr>
          <w:i/>
          <w:iCs/>
          <w:spacing w:val="-4"/>
          <w:sz w:val="20"/>
        </w:rPr>
        <w:t>Australian Bulletin of Labour</w:t>
      </w:r>
      <w:r w:rsidRPr="00A87B50">
        <w:rPr>
          <w:spacing w:val="-4"/>
          <w:sz w:val="20"/>
        </w:rPr>
        <w:t>, vol. 31, no. 1, pp. 28–32.</w:t>
      </w:r>
    </w:p>
    <w:p w14:paraId="5ECDD257" w14:textId="77777777" w:rsidR="00830C89" w:rsidRPr="00A87B50" w:rsidRDefault="00830C89" w:rsidP="00A87B50">
      <w:pPr>
        <w:pStyle w:val="Reference"/>
        <w:rPr>
          <w:spacing w:val="-4"/>
          <w:sz w:val="20"/>
        </w:rPr>
      </w:pPr>
      <w:r w:rsidRPr="00A87B50">
        <w:rPr>
          <w:spacing w:val="-4"/>
          <w:sz w:val="20"/>
        </w:rPr>
        <w:t xml:space="preserve">Hawke, R. 1991, </w:t>
      </w:r>
      <w:r w:rsidRPr="00A87B50">
        <w:rPr>
          <w:i/>
          <w:iCs/>
          <w:spacing w:val="-4"/>
          <w:sz w:val="20"/>
        </w:rPr>
        <w:t>Ministerial Statement</w:t>
      </w:r>
      <w:r w:rsidRPr="00A87B50">
        <w:rPr>
          <w:spacing w:val="-4"/>
          <w:sz w:val="20"/>
        </w:rPr>
        <w:t>, House Hansard, 12 March, p. 1761.</w:t>
      </w:r>
    </w:p>
    <w:p w14:paraId="190B4187" w14:textId="77777777" w:rsidR="00830C89" w:rsidRPr="00A87B50" w:rsidRDefault="00830C89" w:rsidP="00A87B50">
      <w:pPr>
        <w:pStyle w:val="Reference"/>
        <w:rPr>
          <w:spacing w:val="-4"/>
          <w:sz w:val="20"/>
        </w:rPr>
      </w:pPr>
      <w:r w:rsidRPr="00A87B50">
        <w:rPr>
          <w:spacing w:val="-4"/>
          <w:sz w:val="20"/>
        </w:rPr>
        <w:t xml:space="preserve">Hilmer, F. (Independent Committee of Inquiry into Competition Policy in Australia) 1993, </w:t>
      </w:r>
      <w:r w:rsidRPr="00A87B50">
        <w:rPr>
          <w:i/>
          <w:iCs/>
          <w:spacing w:val="-4"/>
          <w:sz w:val="20"/>
        </w:rPr>
        <w:t>National Competition Policy: Report by the Independent Committee of Inquiry into Competition Policy in Australia</w:t>
      </w:r>
      <w:r w:rsidRPr="00A87B50">
        <w:rPr>
          <w:spacing w:val="-4"/>
          <w:sz w:val="20"/>
        </w:rPr>
        <w:t>, Canberra.</w:t>
      </w:r>
    </w:p>
    <w:p w14:paraId="5FDD9D6D" w14:textId="77777777" w:rsidR="00830C89" w:rsidRPr="00A87B50" w:rsidRDefault="00830C89" w:rsidP="00A87B50">
      <w:pPr>
        <w:pStyle w:val="Reference"/>
        <w:rPr>
          <w:spacing w:val="-4"/>
          <w:sz w:val="20"/>
        </w:rPr>
      </w:pPr>
      <w:r w:rsidRPr="00A87B50">
        <w:rPr>
          <w:spacing w:val="-4"/>
          <w:sz w:val="20"/>
        </w:rPr>
        <w:t xml:space="preserve">Jones, W.R. 1971, ‘A Three Factor Model in Theory, Trade, and History’, North-Holland, </w:t>
      </w:r>
      <w:r w:rsidRPr="00A87B50">
        <w:rPr>
          <w:i/>
          <w:iCs/>
          <w:spacing w:val="-4"/>
          <w:sz w:val="20"/>
        </w:rPr>
        <w:t>Trade, Balance of Payments and Growth</w:t>
      </w:r>
      <w:r w:rsidRPr="00A87B50">
        <w:rPr>
          <w:spacing w:val="-4"/>
          <w:sz w:val="20"/>
        </w:rPr>
        <w:t>, pp. 3–21.</w:t>
      </w:r>
    </w:p>
    <w:p w14:paraId="53ED4014" w14:textId="77777777" w:rsidR="00830C89" w:rsidRPr="00A87B50" w:rsidRDefault="00830C89" w:rsidP="00A87B50">
      <w:pPr>
        <w:pStyle w:val="Reference"/>
        <w:rPr>
          <w:spacing w:val="-4"/>
          <w:sz w:val="20"/>
        </w:rPr>
      </w:pPr>
      <w:r w:rsidRPr="00A87B50">
        <w:rPr>
          <w:spacing w:val="-4"/>
          <w:sz w:val="20"/>
        </w:rPr>
        <w:t xml:space="preserve">Kent, C. and Simon, J. 2007, </w:t>
      </w:r>
      <w:r w:rsidRPr="00A87B50">
        <w:rPr>
          <w:i/>
          <w:iCs/>
          <w:spacing w:val="-4"/>
          <w:sz w:val="20"/>
        </w:rPr>
        <w:t>Productivity growth: the effect of market regulations</w:t>
      </w:r>
      <w:r w:rsidRPr="00A87B50">
        <w:rPr>
          <w:spacing w:val="-4"/>
          <w:sz w:val="20"/>
        </w:rPr>
        <w:t>, Research Discussion Paper, Reserve Bank of Australia, Sydney.</w:t>
      </w:r>
    </w:p>
    <w:p w14:paraId="4FC0252B" w14:textId="77777777" w:rsidR="00830C89" w:rsidRPr="00A87B50" w:rsidRDefault="00830C89" w:rsidP="00A87B50">
      <w:pPr>
        <w:pStyle w:val="Reference"/>
        <w:rPr>
          <w:spacing w:val="-4"/>
          <w:sz w:val="20"/>
        </w:rPr>
      </w:pPr>
      <w:r w:rsidRPr="00A87B50">
        <w:rPr>
          <w:spacing w:val="-4"/>
          <w:sz w:val="20"/>
        </w:rPr>
        <w:t xml:space="preserve">de Laine, C., Lee, K. and Woodbridge, G. 1997, </w:t>
      </w:r>
      <w:r w:rsidRPr="00A87B50">
        <w:rPr>
          <w:i/>
          <w:iCs/>
          <w:spacing w:val="-4"/>
          <w:sz w:val="20"/>
        </w:rPr>
        <w:t>Microeconomic Reform and Structural Change in Employment</w:t>
      </w:r>
      <w:r w:rsidRPr="00A87B50">
        <w:rPr>
          <w:spacing w:val="-4"/>
          <w:sz w:val="20"/>
        </w:rPr>
        <w:t>, Industry Commission Staff Research Paper, Canberra.</w:t>
      </w:r>
    </w:p>
    <w:p w14:paraId="195EBDA9" w14:textId="77777777" w:rsidR="00830C89" w:rsidRPr="00A87B50" w:rsidRDefault="00830C89" w:rsidP="00A87B50">
      <w:pPr>
        <w:pStyle w:val="Reference"/>
        <w:rPr>
          <w:spacing w:val="-4"/>
          <w:sz w:val="20"/>
        </w:rPr>
      </w:pPr>
      <w:r w:rsidRPr="00A87B50">
        <w:rPr>
          <w:spacing w:val="-4"/>
          <w:sz w:val="20"/>
        </w:rPr>
        <w:t xml:space="preserve">Langcake, S. 2016, ‘Conditions in the Manufacturing Sector’, </w:t>
      </w:r>
      <w:r w:rsidRPr="00A87B50">
        <w:rPr>
          <w:i/>
          <w:iCs/>
          <w:spacing w:val="-4"/>
          <w:sz w:val="20"/>
        </w:rPr>
        <w:t>RBA Bulletin</w:t>
      </w:r>
      <w:r w:rsidRPr="00A87B50">
        <w:rPr>
          <w:spacing w:val="-4"/>
          <w:sz w:val="20"/>
        </w:rPr>
        <w:t>, Reserve Bank of Australia, Sydney.</w:t>
      </w:r>
    </w:p>
    <w:p w14:paraId="629ECA78" w14:textId="77777777" w:rsidR="00830C89" w:rsidRPr="00A87B50" w:rsidRDefault="00830C89" w:rsidP="00A87B50">
      <w:pPr>
        <w:pStyle w:val="Reference"/>
        <w:rPr>
          <w:spacing w:val="-4"/>
          <w:sz w:val="20"/>
        </w:rPr>
      </w:pPr>
      <w:r w:rsidRPr="00A87B50">
        <w:rPr>
          <w:spacing w:val="-4"/>
          <w:sz w:val="20"/>
        </w:rPr>
        <w:t xml:space="preserve">Lloyd, P. 2008, ‘100 Year of Tariff Protection in Australia’, </w:t>
      </w:r>
      <w:r w:rsidRPr="00A87B50">
        <w:rPr>
          <w:i/>
          <w:iCs/>
          <w:spacing w:val="-4"/>
          <w:sz w:val="20"/>
        </w:rPr>
        <w:t>Australian Economic History Review</w:t>
      </w:r>
      <w:r w:rsidRPr="00A87B50">
        <w:rPr>
          <w:spacing w:val="-4"/>
          <w:sz w:val="20"/>
        </w:rPr>
        <w:t>, vol. 48, no. 2, pp. 99–145.</w:t>
      </w:r>
    </w:p>
    <w:p w14:paraId="00CA41C7" w14:textId="77777777" w:rsidR="00830C89" w:rsidRPr="00A87B50" w:rsidRDefault="00830C89" w:rsidP="00A87B50">
      <w:pPr>
        <w:pStyle w:val="Reference"/>
        <w:rPr>
          <w:spacing w:val="-4"/>
          <w:sz w:val="20"/>
        </w:rPr>
      </w:pPr>
      <w:r w:rsidRPr="00A87B50">
        <w:rPr>
          <w:spacing w:val="-4"/>
          <w:sz w:val="20"/>
        </w:rPr>
        <w:t xml:space="preserve">—— 2017, ‘The First 100 Years of Tarrifs in Australia: the Colonies’, </w:t>
      </w:r>
      <w:r w:rsidRPr="00A87B50">
        <w:rPr>
          <w:i/>
          <w:iCs/>
          <w:spacing w:val="-4"/>
          <w:sz w:val="20"/>
        </w:rPr>
        <w:t>Australian Economic History Review</w:t>
      </w:r>
      <w:r w:rsidRPr="00A87B50">
        <w:rPr>
          <w:spacing w:val="-4"/>
          <w:sz w:val="20"/>
        </w:rPr>
        <w:t>, vol. 57, no. 3, pp. 316–344.</w:t>
      </w:r>
    </w:p>
    <w:p w14:paraId="6A4A1D26" w14:textId="77777777" w:rsidR="00830C89" w:rsidRPr="00A87B50" w:rsidRDefault="00830C89" w:rsidP="00A87B50">
      <w:pPr>
        <w:pStyle w:val="Reference"/>
        <w:rPr>
          <w:spacing w:val="-4"/>
          <w:sz w:val="20"/>
        </w:rPr>
      </w:pPr>
      <w:r w:rsidRPr="00A87B50">
        <w:rPr>
          <w:spacing w:val="-4"/>
          <w:sz w:val="20"/>
        </w:rPr>
        <w:t xml:space="preserve">McLean, I. 2013, </w:t>
      </w:r>
      <w:r w:rsidRPr="00A87B50">
        <w:rPr>
          <w:i/>
          <w:iCs/>
          <w:spacing w:val="-4"/>
          <w:sz w:val="20"/>
        </w:rPr>
        <w:t>Why Australia Prospered: The Shifting Sources of Economic growth</w:t>
      </w:r>
      <w:r w:rsidRPr="00A87B50">
        <w:rPr>
          <w:spacing w:val="-4"/>
          <w:sz w:val="20"/>
        </w:rPr>
        <w:t>, The Princeton Economic History of the Western World, Princeton University Press, New Jersey.</w:t>
      </w:r>
    </w:p>
    <w:p w14:paraId="384D1AF1" w14:textId="77777777" w:rsidR="00830C89" w:rsidRPr="00A87B50" w:rsidRDefault="00830C89" w:rsidP="00A87B50">
      <w:pPr>
        <w:pStyle w:val="Reference"/>
        <w:rPr>
          <w:spacing w:val="-4"/>
          <w:sz w:val="20"/>
        </w:rPr>
      </w:pPr>
      <w:r w:rsidRPr="00A87B50">
        <w:rPr>
          <w:spacing w:val="-4"/>
          <w:sz w:val="20"/>
        </w:rPr>
        <w:t xml:space="preserve">—— and Pincus, J. 1983, ‘Did Australian Living Standards Stagnate between 1890 and 1940?’, </w:t>
      </w:r>
      <w:r w:rsidRPr="00A87B50">
        <w:rPr>
          <w:i/>
          <w:iCs/>
          <w:spacing w:val="-4"/>
          <w:sz w:val="20"/>
        </w:rPr>
        <w:t>Journal of Economic History</w:t>
      </w:r>
      <w:r w:rsidRPr="00A87B50">
        <w:rPr>
          <w:spacing w:val="-4"/>
          <w:sz w:val="20"/>
        </w:rPr>
        <w:t>, vol. 43, no. 1, pp. 193–202.</w:t>
      </w:r>
    </w:p>
    <w:p w14:paraId="010F5038" w14:textId="77777777" w:rsidR="00830C89" w:rsidRPr="00A87B50" w:rsidRDefault="00830C89" w:rsidP="00A87B50">
      <w:pPr>
        <w:pStyle w:val="Reference"/>
        <w:rPr>
          <w:spacing w:val="-4"/>
          <w:sz w:val="20"/>
        </w:rPr>
      </w:pPr>
      <w:r w:rsidRPr="00A87B50">
        <w:rPr>
          <w:spacing w:val="-4"/>
          <w:sz w:val="20"/>
        </w:rPr>
        <w:t xml:space="preserve">Megginson, W.L. and Netter, J.M. 2001, ‘From State to Market: A Survey of Empirical Studies on Privatization’, </w:t>
      </w:r>
      <w:r w:rsidRPr="00A87B50">
        <w:rPr>
          <w:i/>
          <w:iCs/>
          <w:spacing w:val="-4"/>
          <w:sz w:val="20"/>
        </w:rPr>
        <w:t>Journal of Economic Literature</w:t>
      </w:r>
      <w:r w:rsidRPr="00A87B50">
        <w:rPr>
          <w:spacing w:val="-4"/>
          <w:sz w:val="20"/>
        </w:rPr>
        <w:t>, vol. 39, no. 2, pp. 321–389.</w:t>
      </w:r>
    </w:p>
    <w:p w14:paraId="43851E74" w14:textId="77777777" w:rsidR="00830C89" w:rsidRPr="00A87B50" w:rsidRDefault="00830C89" w:rsidP="00A87B50">
      <w:pPr>
        <w:pStyle w:val="Reference"/>
        <w:rPr>
          <w:spacing w:val="-4"/>
          <w:sz w:val="20"/>
        </w:rPr>
      </w:pPr>
      <w:r w:rsidRPr="00A87B50">
        <w:rPr>
          <w:spacing w:val="-4"/>
          <w:sz w:val="20"/>
        </w:rPr>
        <w:t xml:space="preserve">Melitz, Marc.J. and Trefler, D. 2012, ‘Gains from Trade when Firms Matter’, </w:t>
      </w:r>
      <w:r w:rsidRPr="00A87B50">
        <w:rPr>
          <w:i/>
          <w:iCs/>
          <w:spacing w:val="-4"/>
          <w:sz w:val="20"/>
        </w:rPr>
        <w:t>Journal of Economic Perspectives</w:t>
      </w:r>
      <w:r w:rsidRPr="00A87B50">
        <w:rPr>
          <w:spacing w:val="-4"/>
          <w:sz w:val="20"/>
        </w:rPr>
        <w:t>, vol. 26, no. 2, pp. 91–118.</w:t>
      </w:r>
    </w:p>
    <w:p w14:paraId="64EE2520" w14:textId="77777777" w:rsidR="00830C89" w:rsidRPr="00A87B50" w:rsidRDefault="00830C89" w:rsidP="00A87B50">
      <w:pPr>
        <w:pStyle w:val="Reference"/>
        <w:rPr>
          <w:spacing w:val="-4"/>
          <w:sz w:val="20"/>
        </w:rPr>
      </w:pPr>
      <w:r w:rsidRPr="00A87B50">
        <w:rPr>
          <w:spacing w:val="-4"/>
          <w:sz w:val="20"/>
        </w:rPr>
        <w:lastRenderedPageBreak/>
        <w:t xml:space="preserve">Melitz, M.J. 2005, ‘When and how should infant industries be protected?’, </w:t>
      </w:r>
      <w:r w:rsidRPr="00A87B50">
        <w:rPr>
          <w:i/>
          <w:iCs/>
          <w:spacing w:val="-4"/>
          <w:sz w:val="20"/>
        </w:rPr>
        <w:t>Journal of International Economics</w:t>
      </w:r>
      <w:r w:rsidRPr="00A87B50">
        <w:rPr>
          <w:spacing w:val="-4"/>
          <w:sz w:val="20"/>
        </w:rPr>
        <w:t>, vol. 66, no. 1, pp. 177–196.</w:t>
      </w:r>
    </w:p>
    <w:p w14:paraId="1F1331E4" w14:textId="77777777" w:rsidR="00830C89" w:rsidRPr="00A87B50" w:rsidRDefault="00830C89" w:rsidP="00A87B50">
      <w:pPr>
        <w:pStyle w:val="Reference"/>
        <w:rPr>
          <w:spacing w:val="-4"/>
          <w:sz w:val="20"/>
        </w:rPr>
      </w:pPr>
      <w:r w:rsidRPr="00A87B50">
        <w:rPr>
          <w:spacing w:val="-4"/>
          <w:sz w:val="20"/>
        </w:rPr>
        <w:t xml:space="preserve">Murtough, G., Pearson, K. and Wreford, P. 1998, </w:t>
      </w:r>
      <w:r w:rsidRPr="00A87B50">
        <w:rPr>
          <w:i/>
          <w:iCs/>
          <w:spacing w:val="-4"/>
          <w:sz w:val="20"/>
        </w:rPr>
        <w:t>Trade Liberalisation and Earnings Distribution in Australia</w:t>
      </w:r>
      <w:r w:rsidRPr="00A87B50">
        <w:rPr>
          <w:spacing w:val="-4"/>
          <w:sz w:val="20"/>
        </w:rPr>
        <w:t>, Industry Commission Staff Research Paper, Canberra.</w:t>
      </w:r>
    </w:p>
    <w:p w14:paraId="3E6DB592" w14:textId="77777777" w:rsidR="00830C89" w:rsidRPr="00A87B50" w:rsidRDefault="00830C89" w:rsidP="00A87B50">
      <w:pPr>
        <w:pStyle w:val="Reference"/>
        <w:rPr>
          <w:spacing w:val="-4"/>
          <w:sz w:val="20"/>
        </w:rPr>
      </w:pPr>
      <w:r w:rsidRPr="00A87B50">
        <w:rPr>
          <w:spacing w:val="-4"/>
          <w:sz w:val="20"/>
        </w:rPr>
        <w:t xml:space="preserve">Panza, L. and Williamson, J. 2017, </w:t>
      </w:r>
      <w:r w:rsidRPr="00A87B50">
        <w:rPr>
          <w:i/>
          <w:iCs/>
          <w:spacing w:val="-4"/>
          <w:sz w:val="20"/>
        </w:rPr>
        <w:t>Australian squatters, convicts, and capitalists: dviding up a fast-growing frontier pie 1821-1871</w:t>
      </w:r>
      <w:r w:rsidRPr="00A87B50">
        <w:rPr>
          <w:spacing w:val="-4"/>
          <w:sz w:val="20"/>
        </w:rPr>
        <w:t>, 23416, NBER Working Paper Series, National Bureau of Economic Research.</w:t>
      </w:r>
    </w:p>
    <w:p w14:paraId="11DB6F4B" w14:textId="77777777" w:rsidR="00830C89" w:rsidRPr="00A87B50" w:rsidRDefault="00830C89" w:rsidP="00A87B50">
      <w:pPr>
        <w:pStyle w:val="Reference"/>
        <w:rPr>
          <w:spacing w:val="-4"/>
          <w:sz w:val="20"/>
        </w:rPr>
      </w:pPr>
      <w:r w:rsidRPr="00A87B50">
        <w:rPr>
          <w:spacing w:val="-4"/>
          <w:sz w:val="20"/>
        </w:rPr>
        <w:t xml:space="preserve">—— and —— 2018, ‘Living costs and living standards: Australian development 1820-1870’, </w:t>
      </w:r>
      <w:r w:rsidRPr="00A87B50">
        <w:rPr>
          <w:i/>
          <w:iCs/>
          <w:spacing w:val="-4"/>
          <w:sz w:val="20"/>
        </w:rPr>
        <w:t>European Review of Economic History</w:t>
      </w:r>
      <w:r w:rsidRPr="00A87B50">
        <w:rPr>
          <w:spacing w:val="-4"/>
          <w:sz w:val="20"/>
        </w:rPr>
        <w:t>, vol. 24, no. 1, pp. 80–97.</w:t>
      </w:r>
    </w:p>
    <w:p w14:paraId="2A494E23" w14:textId="77777777" w:rsidR="00830C89" w:rsidRPr="00A87B50" w:rsidRDefault="00830C89" w:rsidP="00A87B50">
      <w:pPr>
        <w:pStyle w:val="Reference"/>
        <w:rPr>
          <w:spacing w:val="-4"/>
          <w:sz w:val="20"/>
        </w:rPr>
      </w:pPr>
      <w:r w:rsidRPr="00A87B50">
        <w:rPr>
          <w:spacing w:val="-4"/>
          <w:sz w:val="20"/>
        </w:rPr>
        <w:t xml:space="preserve">—— and —— 2019, </w:t>
      </w:r>
      <w:r w:rsidRPr="00A87B50">
        <w:rPr>
          <w:i/>
          <w:iCs/>
          <w:spacing w:val="-4"/>
          <w:sz w:val="20"/>
        </w:rPr>
        <w:t>Always egalitarian? Australian earnings inequality c1870</w:t>
      </w:r>
      <w:r w:rsidRPr="00A87B50">
        <w:rPr>
          <w:spacing w:val="-4"/>
          <w:sz w:val="20"/>
        </w:rPr>
        <w:t>, Discussion Paper, Centre for economic history, the Australian National University.</w:t>
      </w:r>
    </w:p>
    <w:p w14:paraId="59476FE7" w14:textId="77777777" w:rsidR="00830C89" w:rsidRPr="00A87B50" w:rsidRDefault="00830C89" w:rsidP="00A87B50">
      <w:pPr>
        <w:pStyle w:val="Reference"/>
        <w:rPr>
          <w:spacing w:val="-4"/>
          <w:sz w:val="20"/>
        </w:rPr>
      </w:pPr>
      <w:r w:rsidRPr="00A87B50">
        <w:rPr>
          <w:spacing w:val="-4"/>
          <w:sz w:val="20"/>
        </w:rPr>
        <w:t xml:space="preserve">PC (Productivity Commission) 1999, </w:t>
      </w:r>
      <w:r w:rsidRPr="00A87B50">
        <w:rPr>
          <w:i/>
          <w:iCs/>
          <w:spacing w:val="-4"/>
          <w:sz w:val="20"/>
        </w:rPr>
        <w:t>Microeconomic Reforms and Australian Productivity: Exploring the Links</w:t>
      </w:r>
      <w:r w:rsidRPr="00A87B50">
        <w:rPr>
          <w:spacing w:val="-4"/>
          <w:sz w:val="20"/>
        </w:rPr>
        <w:t>, Commission Research Paper, Canberra.</w:t>
      </w:r>
    </w:p>
    <w:p w14:paraId="249CCCEF" w14:textId="77777777" w:rsidR="00830C89" w:rsidRPr="00A87B50" w:rsidRDefault="00830C89" w:rsidP="00A87B50">
      <w:pPr>
        <w:pStyle w:val="Reference"/>
        <w:rPr>
          <w:spacing w:val="-4"/>
          <w:sz w:val="20"/>
        </w:rPr>
      </w:pPr>
      <w:r w:rsidRPr="00A87B50">
        <w:rPr>
          <w:spacing w:val="-4"/>
          <w:sz w:val="20"/>
        </w:rPr>
        <w:t>——</w:t>
      </w:r>
      <w:r w:rsidR="00A87B50">
        <w:rPr>
          <w:spacing w:val="-4"/>
          <w:sz w:val="20"/>
        </w:rPr>
        <w:t xml:space="preserve"> </w:t>
      </w:r>
      <w:r w:rsidRPr="00A87B50">
        <w:rPr>
          <w:spacing w:val="-4"/>
          <w:sz w:val="20"/>
        </w:rPr>
        <w:t xml:space="preserve">2005, </w:t>
      </w:r>
      <w:r w:rsidRPr="00A87B50">
        <w:rPr>
          <w:i/>
          <w:iCs/>
          <w:spacing w:val="-4"/>
          <w:sz w:val="20"/>
        </w:rPr>
        <w:t>Review of National Competition Policy Reforms</w:t>
      </w:r>
      <w:r w:rsidRPr="00A87B50">
        <w:rPr>
          <w:spacing w:val="-4"/>
          <w:sz w:val="20"/>
        </w:rPr>
        <w:t>, Report no. 33, Canberra.</w:t>
      </w:r>
    </w:p>
    <w:p w14:paraId="2E6EA266" w14:textId="77777777" w:rsidR="00830C89" w:rsidRPr="00A87B50" w:rsidRDefault="00830C89" w:rsidP="00A87B50">
      <w:pPr>
        <w:pStyle w:val="Reference"/>
        <w:rPr>
          <w:spacing w:val="-4"/>
          <w:sz w:val="20"/>
        </w:rPr>
      </w:pPr>
      <w:r w:rsidRPr="00A87B50">
        <w:rPr>
          <w:spacing w:val="-4"/>
          <w:sz w:val="20"/>
        </w:rPr>
        <w:t>——</w:t>
      </w:r>
      <w:r w:rsidR="00A87B50">
        <w:rPr>
          <w:spacing w:val="-4"/>
          <w:sz w:val="20"/>
        </w:rPr>
        <w:t xml:space="preserve"> </w:t>
      </w:r>
      <w:r w:rsidRPr="00A87B50">
        <w:rPr>
          <w:spacing w:val="-4"/>
          <w:sz w:val="20"/>
        </w:rPr>
        <w:t xml:space="preserve">2013, </w:t>
      </w:r>
      <w:r w:rsidRPr="00A87B50">
        <w:rPr>
          <w:i/>
          <w:iCs/>
          <w:spacing w:val="-4"/>
          <w:sz w:val="20"/>
        </w:rPr>
        <w:t>Electricity Network Regulatory Frameworks</w:t>
      </w:r>
      <w:r w:rsidRPr="00A87B50">
        <w:rPr>
          <w:spacing w:val="-4"/>
          <w:sz w:val="20"/>
        </w:rPr>
        <w:t>, Report no. 62, Canberra.</w:t>
      </w:r>
    </w:p>
    <w:p w14:paraId="6558F805" w14:textId="77777777" w:rsidR="00830C89" w:rsidRPr="00A87B50" w:rsidRDefault="00830C89" w:rsidP="00A87B50">
      <w:pPr>
        <w:pStyle w:val="Reference"/>
        <w:rPr>
          <w:spacing w:val="-4"/>
          <w:sz w:val="20"/>
        </w:rPr>
      </w:pPr>
      <w:r w:rsidRPr="00A87B50">
        <w:rPr>
          <w:spacing w:val="-4"/>
          <w:sz w:val="20"/>
        </w:rPr>
        <w:t>——</w:t>
      </w:r>
      <w:r w:rsidR="00A87B50">
        <w:rPr>
          <w:spacing w:val="-4"/>
          <w:sz w:val="20"/>
        </w:rPr>
        <w:t xml:space="preserve"> </w:t>
      </w:r>
      <w:r w:rsidRPr="00A87B50">
        <w:rPr>
          <w:spacing w:val="-4"/>
          <w:sz w:val="20"/>
        </w:rPr>
        <w:t xml:space="preserve">2017, </w:t>
      </w:r>
      <w:r w:rsidRPr="00A87B50">
        <w:rPr>
          <w:i/>
          <w:iCs/>
          <w:spacing w:val="-4"/>
          <w:sz w:val="20"/>
        </w:rPr>
        <w:t>Rising Protectionism: Challenges, threats and opportunities for Australia</w:t>
      </w:r>
      <w:r w:rsidRPr="00A87B50">
        <w:rPr>
          <w:spacing w:val="-4"/>
          <w:sz w:val="20"/>
        </w:rPr>
        <w:t>, Commission Research Paper, Canberra.</w:t>
      </w:r>
    </w:p>
    <w:p w14:paraId="212FD746" w14:textId="77777777" w:rsidR="00830C89" w:rsidRPr="00A87B50" w:rsidRDefault="00830C89" w:rsidP="00A87B50">
      <w:pPr>
        <w:pStyle w:val="Reference"/>
        <w:rPr>
          <w:spacing w:val="-4"/>
          <w:sz w:val="20"/>
        </w:rPr>
      </w:pPr>
      <w:r w:rsidRPr="00A87B50">
        <w:rPr>
          <w:spacing w:val="-4"/>
          <w:sz w:val="20"/>
        </w:rPr>
        <w:t>——</w:t>
      </w:r>
      <w:r w:rsidR="00A87B50">
        <w:rPr>
          <w:spacing w:val="-4"/>
          <w:sz w:val="20"/>
        </w:rPr>
        <w:t xml:space="preserve"> </w:t>
      </w:r>
      <w:r w:rsidRPr="00A87B50">
        <w:rPr>
          <w:spacing w:val="-4"/>
          <w:sz w:val="20"/>
        </w:rPr>
        <w:t xml:space="preserve">2019, </w:t>
      </w:r>
      <w:r w:rsidRPr="00A87B50">
        <w:rPr>
          <w:i/>
          <w:iCs/>
          <w:spacing w:val="-4"/>
          <w:sz w:val="20"/>
        </w:rPr>
        <w:t>Trade and Assistance Review 2017-18</w:t>
      </w:r>
      <w:r w:rsidRPr="00A87B50">
        <w:rPr>
          <w:spacing w:val="-4"/>
          <w:sz w:val="20"/>
        </w:rPr>
        <w:t>, Annual Report Series.</w:t>
      </w:r>
    </w:p>
    <w:p w14:paraId="43624AC8" w14:textId="77777777" w:rsidR="00830C89" w:rsidRPr="00A87B50" w:rsidRDefault="00830C89" w:rsidP="00A87B50">
      <w:pPr>
        <w:pStyle w:val="Reference"/>
        <w:rPr>
          <w:spacing w:val="-4"/>
          <w:sz w:val="20"/>
        </w:rPr>
      </w:pPr>
      <w:r w:rsidRPr="00A87B50">
        <w:rPr>
          <w:spacing w:val="-4"/>
          <w:sz w:val="20"/>
        </w:rPr>
        <w:t>——</w:t>
      </w:r>
      <w:r w:rsidR="00A87B50">
        <w:rPr>
          <w:spacing w:val="-4"/>
          <w:sz w:val="20"/>
        </w:rPr>
        <w:t xml:space="preserve"> </w:t>
      </w:r>
      <w:r w:rsidRPr="00A87B50">
        <w:rPr>
          <w:spacing w:val="-4"/>
          <w:sz w:val="20"/>
        </w:rPr>
        <w:t xml:space="preserve">2020, </w:t>
      </w:r>
      <w:r w:rsidRPr="00A87B50">
        <w:rPr>
          <w:i/>
          <w:iCs/>
          <w:spacing w:val="-4"/>
          <w:sz w:val="20"/>
        </w:rPr>
        <w:t>PC Productivity Insights</w:t>
      </w:r>
      <w:r w:rsidRPr="00A87B50">
        <w:rPr>
          <w:spacing w:val="-4"/>
          <w:sz w:val="20"/>
        </w:rPr>
        <w:t>, Canberra.</w:t>
      </w:r>
    </w:p>
    <w:p w14:paraId="2CDBB6E5" w14:textId="77777777" w:rsidR="00830C89" w:rsidRPr="00A87B50" w:rsidRDefault="00830C89" w:rsidP="00A87B50">
      <w:pPr>
        <w:pStyle w:val="Reference"/>
        <w:rPr>
          <w:spacing w:val="-4"/>
          <w:sz w:val="20"/>
        </w:rPr>
      </w:pPr>
      <w:r w:rsidRPr="00A87B50">
        <w:rPr>
          <w:spacing w:val="-4"/>
          <w:sz w:val="20"/>
        </w:rPr>
        <w:t xml:space="preserve">Pincus, J. 2009, ‘Reflection on Microeconomic Policy Frameworks in Australia, and a Suggestion about Fairness’, </w:t>
      </w:r>
      <w:r w:rsidRPr="00A87B50">
        <w:rPr>
          <w:i/>
          <w:iCs/>
          <w:spacing w:val="-4"/>
          <w:sz w:val="20"/>
        </w:rPr>
        <w:t>Australian Economic Review</w:t>
      </w:r>
      <w:r w:rsidRPr="00A87B50">
        <w:rPr>
          <w:spacing w:val="-4"/>
          <w:sz w:val="20"/>
        </w:rPr>
        <w:t>, vol. 42, no. 2, pp. 121–130.</w:t>
      </w:r>
    </w:p>
    <w:p w14:paraId="040439AD" w14:textId="77777777" w:rsidR="00830C89" w:rsidRPr="00A87B50" w:rsidRDefault="00830C89" w:rsidP="00A87B50">
      <w:pPr>
        <w:pStyle w:val="Reference"/>
        <w:rPr>
          <w:spacing w:val="-4"/>
          <w:sz w:val="20"/>
        </w:rPr>
      </w:pPr>
      <w:r w:rsidRPr="00A87B50">
        <w:rPr>
          <w:spacing w:val="-4"/>
          <w:sz w:val="20"/>
        </w:rPr>
        <w:t xml:space="preserve">Ploeg, F. van der 2011, ‘Natural Resources: Curse or Blessing?’, </w:t>
      </w:r>
      <w:r w:rsidRPr="00A87B50">
        <w:rPr>
          <w:i/>
          <w:iCs/>
          <w:spacing w:val="-4"/>
          <w:sz w:val="20"/>
        </w:rPr>
        <w:t>Journal of Economic Literature</w:t>
      </w:r>
      <w:r w:rsidRPr="00A87B50">
        <w:rPr>
          <w:spacing w:val="-4"/>
          <w:sz w:val="20"/>
        </w:rPr>
        <w:t>, vol. 49, no. 2, pp. 366–420.</w:t>
      </w:r>
    </w:p>
    <w:p w14:paraId="31254417" w14:textId="77777777" w:rsidR="00830C89" w:rsidRPr="00A87B50" w:rsidRDefault="00830C89" w:rsidP="00A87B50">
      <w:pPr>
        <w:pStyle w:val="Reference"/>
        <w:rPr>
          <w:spacing w:val="-4"/>
          <w:sz w:val="20"/>
        </w:rPr>
      </w:pPr>
      <w:r w:rsidRPr="00A87B50">
        <w:rPr>
          <w:spacing w:val="-4"/>
          <w:sz w:val="20"/>
        </w:rPr>
        <w:t xml:space="preserve">Quiggin, J. 1998, ‘Micro gains from micro reform’, </w:t>
      </w:r>
      <w:r w:rsidRPr="00A87B50">
        <w:rPr>
          <w:i/>
          <w:iCs/>
          <w:spacing w:val="-4"/>
          <w:sz w:val="20"/>
        </w:rPr>
        <w:t>Economic Analysis &amp; Policy</w:t>
      </w:r>
      <w:r w:rsidRPr="00A87B50">
        <w:rPr>
          <w:spacing w:val="-4"/>
          <w:sz w:val="20"/>
        </w:rPr>
        <w:t>, vol. 28, no. 1.</w:t>
      </w:r>
    </w:p>
    <w:p w14:paraId="7DB20091" w14:textId="77777777" w:rsidR="00830C89" w:rsidRPr="00A87B50" w:rsidRDefault="00830C89" w:rsidP="00A87B50">
      <w:pPr>
        <w:pStyle w:val="Reference"/>
        <w:rPr>
          <w:spacing w:val="-4"/>
          <w:sz w:val="20"/>
        </w:rPr>
      </w:pPr>
      <w:r w:rsidRPr="00A87B50">
        <w:rPr>
          <w:spacing w:val="-4"/>
          <w:sz w:val="20"/>
        </w:rPr>
        <w:t xml:space="preserve">—— 2001, ‘Market-Orientated Reform in the Australian Electricity Industry’, </w:t>
      </w:r>
      <w:r w:rsidRPr="00A87B50">
        <w:rPr>
          <w:i/>
          <w:iCs/>
          <w:spacing w:val="-4"/>
          <w:sz w:val="20"/>
        </w:rPr>
        <w:t>The Economic and Labour Relations Review</w:t>
      </w:r>
      <w:r w:rsidRPr="00A87B50">
        <w:rPr>
          <w:spacing w:val="-4"/>
          <w:sz w:val="20"/>
        </w:rPr>
        <w:t>, vol. 12, no. 1, pp. 126–150.</w:t>
      </w:r>
    </w:p>
    <w:p w14:paraId="30CCAF31" w14:textId="77777777" w:rsidR="00830C89" w:rsidRPr="00A87B50" w:rsidRDefault="00830C89" w:rsidP="00A87B50">
      <w:pPr>
        <w:pStyle w:val="Reference"/>
        <w:rPr>
          <w:spacing w:val="-4"/>
          <w:sz w:val="20"/>
        </w:rPr>
      </w:pPr>
      <w:r w:rsidRPr="00A87B50">
        <w:rPr>
          <w:spacing w:val="-4"/>
          <w:sz w:val="20"/>
        </w:rPr>
        <w:t xml:space="preserve">—— 2006, ‘Stories about Productivity’, </w:t>
      </w:r>
      <w:r w:rsidRPr="00A87B50">
        <w:rPr>
          <w:i/>
          <w:iCs/>
          <w:spacing w:val="-4"/>
          <w:sz w:val="20"/>
        </w:rPr>
        <w:t>Australian Bulletin of Labour</w:t>
      </w:r>
      <w:r w:rsidRPr="00A87B50">
        <w:rPr>
          <w:spacing w:val="-4"/>
          <w:sz w:val="20"/>
        </w:rPr>
        <w:t>, vol. 32, no. 1, pp. 18–26.</w:t>
      </w:r>
    </w:p>
    <w:p w14:paraId="3769AFA9" w14:textId="77777777" w:rsidR="00830C89" w:rsidRPr="00A87B50" w:rsidRDefault="00830C89" w:rsidP="00A87B50">
      <w:pPr>
        <w:pStyle w:val="Reference"/>
        <w:rPr>
          <w:spacing w:val="-4"/>
          <w:sz w:val="20"/>
        </w:rPr>
      </w:pPr>
      <w:r w:rsidRPr="00A87B50">
        <w:rPr>
          <w:spacing w:val="-4"/>
          <w:sz w:val="20"/>
        </w:rPr>
        <w:t xml:space="preserve">Samuelson, P.A. 1971, ‘Ohlin Was Right’, [Scandinavian Journal of Economics, Wiley], </w:t>
      </w:r>
      <w:r w:rsidRPr="00A87B50">
        <w:rPr>
          <w:i/>
          <w:iCs/>
          <w:spacing w:val="-4"/>
          <w:sz w:val="20"/>
        </w:rPr>
        <w:t>The Swedish Journal of Economics</w:t>
      </w:r>
      <w:r w:rsidRPr="00A87B50">
        <w:rPr>
          <w:spacing w:val="-4"/>
          <w:sz w:val="20"/>
        </w:rPr>
        <w:t>, vol. 73, no. 4, pp. 365–384.</w:t>
      </w:r>
    </w:p>
    <w:p w14:paraId="6C84BD75" w14:textId="77777777" w:rsidR="00830C89" w:rsidRPr="00A87B50" w:rsidRDefault="00830C89" w:rsidP="00A87B50">
      <w:pPr>
        <w:pStyle w:val="Reference"/>
        <w:rPr>
          <w:spacing w:val="-4"/>
          <w:sz w:val="20"/>
        </w:rPr>
      </w:pPr>
      <w:r w:rsidRPr="00A87B50">
        <w:rPr>
          <w:spacing w:val="-4"/>
          <w:sz w:val="20"/>
        </w:rPr>
        <w:t xml:space="preserve">Stolper, W.F. and Samuelson, P.A. 1941, ‘Protection and Real Wages’, [Oxford University Press, Review of Economic Studies, Ltd.], </w:t>
      </w:r>
      <w:r w:rsidRPr="00A87B50">
        <w:rPr>
          <w:i/>
          <w:iCs/>
          <w:spacing w:val="-4"/>
          <w:sz w:val="20"/>
        </w:rPr>
        <w:t>The Review of Economic Studies</w:t>
      </w:r>
      <w:r w:rsidRPr="00A87B50">
        <w:rPr>
          <w:spacing w:val="-4"/>
          <w:sz w:val="20"/>
        </w:rPr>
        <w:t>, vol. 9, no. 1, pp. 58–73.</w:t>
      </w:r>
    </w:p>
    <w:p w14:paraId="3B653441" w14:textId="77777777" w:rsidR="00830C89" w:rsidRPr="00A87B50" w:rsidRDefault="00830C89" w:rsidP="00A87B50">
      <w:pPr>
        <w:pStyle w:val="Reference"/>
        <w:rPr>
          <w:spacing w:val="-4"/>
          <w:sz w:val="20"/>
        </w:rPr>
      </w:pPr>
      <w:r w:rsidRPr="00A87B50">
        <w:rPr>
          <w:spacing w:val="-4"/>
          <w:sz w:val="20"/>
        </w:rPr>
        <w:t xml:space="preserve">Ville, S. and Withers, G. (eds) 2014, </w:t>
      </w:r>
      <w:r w:rsidRPr="00A87B50">
        <w:rPr>
          <w:i/>
          <w:iCs/>
          <w:spacing w:val="-4"/>
          <w:sz w:val="20"/>
        </w:rPr>
        <w:t>The Cambridge Economic History of Australia</w:t>
      </w:r>
      <w:r w:rsidRPr="00A87B50">
        <w:rPr>
          <w:spacing w:val="-4"/>
          <w:sz w:val="20"/>
        </w:rPr>
        <w:t>, Cambridge University Press, Cambridge, https://www.cambridge.org/core/books/cambridge-economic-history-of-australia/AB02CA7</w:t>
      </w:r>
      <w:r w:rsidR="00A87B50">
        <w:rPr>
          <w:spacing w:val="-4"/>
          <w:sz w:val="20"/>
        </w:rPr>
        <w:br/>
      </w:r>
      <w:r w:rsidRPr="00A87B50">
        <w:rPr>
          <w:spacing w:val="-4"/>
          <w:sz w:val="20"/>
        </w:rPr>
        <w:t>96ABD4EA33658B7105AA51ECD (accessed 11 November 2020).</w:t>
      </w:r>
    </w:p>
    <w:p w14:paraId="34927A1B" w14:textId="77777777" w:rsidR="00617BBD" w:rsidRPr="00A87B50" w:rsidRDefault="00830C89" w:rsidP="00A87B50">
      <w:pPr>
        <w:pStyle w:val="Reference"/>
        <w:rPr>
          <w:spacing w:val="-4"/>
          <w:sz w:val="20"/>
        </w:rPr>
      </w:pPr>
      <w:r w:rsidRPr="00A87B50">
        <w:rPr>
          <w:spacing w:val="-4"/>
          <w:sz w:val="20"/>
        </w:rPr>
        <w:t xml:space="preserve">Wilson, J. 2014, ‘Government and the evolution of public policy’, </w:t>
      </w:r>
      <w:r w:rsidRPr="00A87B50">
        <w:rPr>
          <w:i/>
          <w:iCs/>
          <w:spacing w:val="-4"/>
          <w:sz w:val="20"/>
        </w:rPr>
        <w:t>Cambridge Economic History of Australia</w:t>
      </w:r>
      <w:r w:rsidRPr="00A87B50">
        <w:rPr>
          <w:spacing w:val="-4"/>
          <w:sz w:val="20"/>
        </w:rPr>
        <w:t>.</w:t>
      </w:r>
    </w:p>
    <w:sectPr w:rsidR="00617BBD" w:rsidRPr="00A87B50" w:rsidSect="00F90A33">
      <w:headerReference w:type="even" r:id="rId28"/>
      <w:headerReference w:type="default" r:id="rId29"/>
      <w:footerReference w:type="even" r:id="rId30"/>
      <w:footerReference w:type="default" r:id="rId31"/>
      <w:type w:val="odd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D418" w14:textId="77777777" w:rsidR="00A93AFB" w:rsidRDefault="00A93AFB">
      <w:r>
        <w:separator/>
      </w:r>
    </w:p>
  </w:endnote>
  <w:endnote w:type="continuationSeparator" w:id="0">
    <w:p w14:paraId="2C5AC68C" w14:textId="77777777" w:rsidR="00A93AFB" w:rsidRDefault="00A93AFB">
      <w:r>
        <w:continuationSeparator/>
      </w:r>
    </w:p>
  </w:endnote>
  <w:endnote w:type="continuationNotice" w:id="1">
    <w:p w14:paraId="09EAA668" w14:textId="77777777" w:rsidR="00A93AFB" w:rsidRDefault="00A93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 Vu Seri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87B50" w14:paraId="70F1913B" w14:textId="77777777" w:rsidTr="005F48ED">
      <w:trPr>
        <w:trHeight w:hRule="exact" w:val="567"/>
      </w:trPr>
      <w:tc>
        <w:tcPr>
          <w:tcW w:w="510" w:type="dxa"/>
        </w:tcPr>
        <w:p w14:paraId="0FD4C90C" w14:textId="77777777" w:rsidR="00A87B50" w:rsidRDefault="00A87B50">
          <w:pPr>
            <w:pStyle w:val="Footer"/>
            <w:ind w:right="360" w:firstLine="360"/>
          </w:pPr>
        </w:p>
      </w:tc>
      <w:tc>
        <w:tcPr>
          <w:tcW w:w="7767" w:type="dxa"/>
        </w:tcPr>
        <w:p w14:paraId="71318355" w14:textId="77777777" w:rsidR="00A87B50" w:rsidRPr="00BA5B14" w:rsidRDefault="00F90A33" w:rsidP="00793ECF">
          <w:pPr>
            <w:pStyle w:val="Footer"/>
            <w:jc w:val="right"/>
            <w:rPr>
              <w:rFonts w:cs="Arial"/>
            </w:rPr>
          </w:pPr>
          <w:bookmarkStart w:id="5" w:name="DraftReportOdd"/>
          <w:bookmarkEnd w:id="5"/>
          <w:r>
            <w:rPr>
              <w:rFonts w:cs="Arial"/>
            </w:rPr>
            <w:t>appendi</w:t>
          </w:r>
          <w:r w:rsidR="00793ECF">
            <w:rPr>
              <w:rFonts w:cs="Arial"/>
            </w:rPr>
            <w:t>C</w:t>
          </w:r>
          <w:r>
            <w:rPr>
              <w:rFonts w:cs="Arial"/>
            </w:rPr>
            <w:t>es a–E</w:t>
          </w:r>
        </w:p>
      </w:tc>
      <w:tc>
        <w:tcPr>
          <w:tcW w:w="510" w:type="dxa"/>
        </w:tcPr>
        <w:p w14:paraId="13885A01" w14:textId="77777777" w:rsidR="00A87B50" w:rsidRPr="00A24443" w:rsidRDefault="00A87B5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76960">
            <w:rPr>
              <w:rStyle w:val="PageNumber"/>
              <w:caps w:val="0"/>
              <w:noProof/>
            </w:rPr>
            <w:t>iii</w:t>
          </w:r>
          <w:r w:rsidRPr="00A24443">
            <w:rPr>
              <w:rStyle w:val="PageNumber"/>
              <w:caps w:val="0"/>
            </w:rPr>
            <w:fldChar w:fldCharType="end"/>
          </w:r>
        </w:p>
      </w:tc>
    </w:tr>
  </w:tbl>
  <w:p w14:paraId="7E5D7F76" w14:textId="77777777" w:rsidR="00A87B50" w:rsidRDefault="00A87B50">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90A33" w14:paraId="5A8EBB77" w14:textId="77777777" w:rsidTr="005F48ED">
      <w:trPr>
        <w:trHeight w:hRule="exact" w:val="567"/>
      </w:trPr>
      <w:tc>
        <w:tcPr>
          <w:tcW w:w="510" w:type="dxa"/>
        </w:tcPr>
        <w:p w14:paraId="77437A03" w14:textId="77777777" w:rsidR="00F90A33" w:rsidRPr="00A24443" w:rsidRDefault="00F90A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76960">
            <w:rPr>
              <w:rStyle w:val="PageNumber"/>
              <w:caps w:val="0"/>
              <w:noProof/>
            </w:rPr>
            <w:t>16</w:t>
          </w:r>
          <w:r w:rsidRPr="00A24443">
            <w:rPr>
              <w:rStyle w:val="PageNumber"/>
              <w:caps w:val="0"/>
            </w:rPr>
            <w:fldChar w:fldCharType="end"/>
          </w:r>
        </w:p>
      </w:tc>
      <w:tc>
        <w:tcPr>
          <w:tcW w:w="7767" w:type="dxa"/>
        </w:tcPr>
        <w:p w14:paraId="72ACB0FC" w14:textId="77777777" w:rsidR="00F90A33" w:rsidRPr="0013739A" w:rsidRDefault="00F90A33" w:rsidP="00F90A33">
          <w:pPr>
            <w:pStyle w:val="Footer"/>
            <w:rPr>
              <w:rFonts w:cs="Arial"/>
            </w:rPr>
          </w:pPr>
          <w:r>
            <w:rPr>
              <w:rFonts w:cs="Arial"/>
            </w:rPr>
            <w:t>Productivity insights: Australia’s long term productivity experience</w:t>
          </w:r>
        </w:p>
      </w:tc>
      <w:tc>
        <w:tcPr>
          <w:tcW w:w="510" w:type="dxa"/>
        </w:tcPr>
        <w:p w14:paraId="660EA2F7" w14:textId="77777777" w:rsidR="00F90A33" w:rsidRDefault="00F90A33" w:rsidP="0019293B">
          <w:pPr>
            <w:pStyle w:val="Footer"/>
          </w:pPr>
        </w:p>
      </w:tc>
    </w:tr>
  </w:tbl>
  <w:p w14:paraId="30BAA6FD" w14:textId="77777777" w:rsidR="00F90A33" w:rsidRDefault="00F90A33"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90A33" w14:paraId="2FFD7D68" w14:textId="77777777" w:rsidTr="005F48ED">
      <w:trPr>
        <w:trHeight w:hRule="exact" w:val="567"/>
      </w:trPr>
      <w:tc>
        <w:tcPr>
          <w:tcW w:w="510" w:type="dxa"/>
        </w:tcPr>
        <w:p w14:paraId="6B372BFE" w14:textId="77777777" w:rsidR="00F90A33" w:rsidRDefault="00F90A33">
          <w:pPr>
            <w:pStyle w:val="Footer"/>
            <w:ind w:right="360" w:firstLine="360"/>
          </w:pPr>
        </w:p>
      </w:tc>
      <w:tc>
        <w:tcPr>
          <w:tcW w:w="7767" w:type="dxa"/>
        </w:tcPr>
        <w:p w14:paraId="3E9FAA15" w14:textId="77777777" w:rsidR="00F90A33" w:rsidRPr="00BA5B14" w:rsidRDefault="00F90A33" w:rsidP="00F111EA">
          <w:pPr>
            <w:pStyle w:val="Footer"/>
            <w:jc w:val="right"/>
            <w:rPr>
              <w:rFonts w:cs="Arial"/>
            </w:rPr>
          </w:pPr>
          <w:r>
            <w:rPr>
              <w:rFonts w:cs="Arial"/>
            </w:rPr>
            <w:t>appendi</w:t>
          </w:r>
          <w:r w:rsidR="00F111EA">
            <w:rPr>
              <w:rFonts w:cs="Arial"/>
            </w:rPr>
            <w:t>c</w:t>
          </w:r>
          <w:r>
            <w:rPr>
              <w:rFonts w:cs="Arial"/>
            </w:rPr>
            <w:t>es a–E</w:t>
          </w:r>
        </w:p>
      </w:tc>
      <w:tc>
        <w:tcPr>
          <w:tcW w:w="510" w:type="dxa"/>
        </w:tcPr>
        <w:p w14:paraId="0E4CB662" w14:textId="77777777" w:rsidR="00F90A33" w:rsidRPr="00A24443" w:rsidRDefault="00F90A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76960">
            <w:rPr>
              <w:rStyle w:val="PageNumber"/>
              <w:caps w:val="0"/>
              <w:noProof/>
            </w:rPr>
            <w:t>17</w:t>
          </w:r>
          <w:r w:rsidRPr="00A24443">
            <w:rPr>
              <w:rStyle w:val="PageNumber"/>
              <w:caps w:val="0"/>
            </w:rPr>
            <w:fldChar w:fldCharType="end"/>
          </w:r>
        </w:p>
      </w:tc>
    </w:tr>
  </w:tbl>
  <w:p w14:paraId="2AC0D447" w14:textId="77777777" w:rsidR="00F90A33" w:rsidRDefault="00F90A33">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D46E" w14:textId="77777777" w:rsidR="00A93AFB" w:rsidRDefault="00A93AFB">
      <w:r>
        <w:separator/>
      </w:r>
    </w:p>
  </w:footnote>
  <w:footnote w:type="continuationSeparator" w:id="0">
    <w:p w14:paraId="31EB3DBA" w14:textId="77777777" w:rsidR="00A93AFB" w:rsidRDefault="00A93AFB">
      <w:r>
        <w:continuationSeparator/>
      </w:r>
    </w:p>
  </w:footnote>
  <w:footnote w:type="continuationNotice" w:id="1">
    <w:p w14:paraId="6475CF30" w14:textId="77777777" w:rsidR="00A93AFB" w:rsidRDefault="00A93AFB"/>
  </w:footnote>
  <w:footnote w:id="2">
    <w:p w14:paraId="14F082F3" w14:textId="77777777" w:rsidR="00A87B50" w:rsidRDefault="00A87B50" w:rsidP="00181598">
      <w:pPr>
        <w:pStyle w:val="FootnoteText"/>
      </w:pPr>
      <w:r w:rsidRPr="00621D6F">
        <w:rPr>
          <w:rStyle w:val="FootnoteReference"/>
        </w:rPr>
        <w:footnoteRef/>
      </w:r>
      <w:r>
        <w:t xml:space="preserve"> </w:t>
      </w:r>
      <w:r>
        <w:tab/>
        <w:t>The removal of these trade barriers got off to a false start in 1973 with a once-off 25 per cent across</w:t>
      </w:r>
      <w:r>
        <w:noBreakHyphen/>
        <w:t>the</w:t>
      </w:r>
      <w:r>
        <w:noBreakHyphen/>
        <w:t xml:space="preserve">board cut to tariff rates, which were rapidly offset by industry assistance and not matched by similar further cuts for nearly 15 years. The momentum towards openness really began in 1988 with a series of phased reductions in tariffs in most sectors that was so comprehensive that by 1996, almost all tariffs had fallen to 5 per cent or less </w:t>
      </w:r>
      <w:r>
        <w:rPr>
          <w:szCs w:val="24"/>
        </w:rPr>
        <w:t>(Banks 2005, pp. 4)</w:t>
      </w:r>
      <w:r>
        <w:t>.</w:t>
      </w:r>
    </w:p>
  </w:footnote>
  <w:footnote w:id="3">
    <w:p w14:paraId="69DC561A" w14:textId="77777777" w:rsidR="00A87B50" w:rsidRDefault="00A87B50" w:rsidP="00181598">
      <w:pPr>
        <w:pStyle w:val="FootnoteText"/>
      </w:pPr>
      <w:r w:rsidRPr="00621D6F">
        <w:rPr>
          <w:rStyle w:val="FootnoteReference"/>
        </w:rPr>
        <w:footnoteRef/>
      </w:r>
      <w:r>
        <w:tab/>
        <w:t xml:space="preserve">There is also a (non-productivity related) consumer welfare gain accruing from the greater variety of goods that is possible with international trade </w:t>
      </w:r>
      <w:r>
        <w:rPr>
          <w:szCs w:val="24"/>
        </w:rPr>
        <w:t>(Melitz and Trefler 2012)</w:t>
      </w:r>
      <w:r>
        <w:t xml:space="preserve">. </w:t>
      </w:r>
    </w:p>
  </w:footnote>
  <w:footnote w:id="4">
    <w:p w14:paraId="44E01BA1" w14:textId="77777777" w:rsidR="00A87B50" w:rsidRPr="002A6632" w:rsidRDefault="00A87B50" w:rsidP="00181598">
      <w:pPr>
        <w:pStyle w:val="FootnoteText"/>
        <w:rPr>
          <w:spacing w:val="-6"/>
        </w:rPr>
      </w:pPr>
      <w:r w:rsidRPr="00621D6F">
        <w:rPr>
          <w:rStyle w:val="FootnoteReference"/>
        </w:rPr>
        <w:footnoteRef/>
      </w:r>
      <w:r>
        <w:tab/>
      </w:r>
      <w:r w:rsidRPr="002A6632">
        <w:rPr>
          <w:spacing w:val="-6"/>
        </w:rPr>
        <w:t xml:space="preserve">There is disagreement about whether such corporatisation needs to be accompanied by privatization in order to be successful. One review of the literature </w:t>
      </w:r>
      <w:r w:rsidRPr="002A6632">
        <w:rPr>
          <w:spacing w:val="-6"/>
          <w:szCs w:val="24"/>
        </w:rPr>
        <w:t>(Megginson and Netter 2001)</w:t>
      </w:r>
      <w:r w:rsidRPr="002A6632">
        <w:rPr>
          <w:spacing w:val="-6"/>
        </w:rPr>
        <w:t xml:space="preserve"> argued that either it is necessary or at least superior to have privatization accompany corporatisation, while other studies have found that corporatisation is a helpful intermediary step even if the end goal is full privatization </w:t>
      </w:r>
      <w:r w:rsidRPr="002A6632">
        <w:rPr>
          <w:spacing w:val="-6"/>
          <w:szCs w:val="24"/>
        </w:rPr>
        <w:t>(Aivazian, Ge and Qiu 2005)</w:t>
      </w:r>
      <w:r w:rsidRPr="002A6632">
        <w:rPr>
          <w:spacing w:val="-6"/>
        </w:rPr>
        <w:t xml:space="preserve">. </w:t>
      </w:r>
    </w:p>
  </w:footnote>
  <w:footnote w:id="5">
    <w:p w14:paraId="6490D6D0" w14:textId="77777777" w:rsidR="00A87B50" w:rsidRDefault="00A87B50">
      <w:pPr>
        <w:pStyle w:val="FootnoteText"/>
      </w:pPr>
      <w:r w:rsidRPr="00621D6F">
        <w:rPr>
          <w:rStyle w:val="FootnoteReference"/>
        </w:rPr>
        <w:footnoteRef/>
      </w:r>
      <w:r>
        <w:tab/>
        <w:t xml:space="preserve">Anderson and Garnaut </w:t>
      </w:r>
      <w:r w:rsidRPr="00CA61A4">
        <w:rPr>
          <w:szCs w:val="24"/>
        </w:rPr>
        <w:t>(1987, p. 14)</w:t>
      </w:r>
      <w:r>
        <w:t xml:space="preserve"> show that, compared to similar sized economies in 1870, Australia had a relatively high ratio of exports and imports to GDP. </w:t>
      </w:r>
    </w:p>
  </w:footnote>
  <w:footnote w:id="6">
    <w:p w14:paraId="238DD5E9" w14:textId="77777777" w:rsidR="00A87B50" w:rsidRDefault="00A87B50">
      <w:pPr>
        <w:pStyle w:val="FootnoteText"/>
      </w:pPr>
      <w:r w:rsidRPr="00621D6F">
        <w:rPr>
          <w:rStyle w:val="FootnoteReference"/>
        </w:rPr>
        <w:footnoteRef/>
      </w:r>
      <w:r>
        <w:tab/>
        <w:t>Government debt climbed significantly following WWI, and then in 1929 international capital markets collapsed as</w:t>
      </w:r>
      <w:r w:rsidRPr="00291B24">
        <w:t xml:space="preserve"> Australia</w:t>
      </w:r>
      <w:r>
        <w:t>’s cost of serving debt increased</w:t>
      </w:r>
      <w:r w:rsidRPr="00291B24">
        <w:t>, significantly reducing the government’s ability to spend</w:t>
      </w:r>
      <w:r>
        <w:t xml:space="preserve"> during the Depression years </w:t>
      </w:r>
      <w:r w:rsidRPr="00A25DB9">
        <w:rPr>
          <w:szCs w:val="24"/>
        </w:rPr>
        <w:t>(McLean 2013)</w:t>
      </w:r>
      <w:r>
        <w:t>.</w:t>
      </w:r>
    </w:p>
  </w:footnote>
  <w:footnote w:id="7">
    <w:p w14:paraId="13541826" w14:textId="77777777" w:rsidR="00A87B50" w:rsidRDefault="00A87B50" w:rsidP="009307AA">
      <w:pPr>
        <w:pStyle w:val="FootnoteText"/>
      </w:pPr>
      <w:r w:rsidRPr="00621D6F">
        <w:rPr>
          <w:rStyle w:val="FootnoteReference"/>
        </w:rPr>
        <w:footnoteRef/>
      </w:r>
      <w:r>
        <w:t xml:space="preserve"> </w:t>
      </w:r>
      <w:r>
        <w:tab/>
        <w:t xml:space="preserve">There were some welfare payments available, in 1908 Andrew Fisher introduced a national aged pension under the </w:t>
      </w:r>
      <w:r w:rsidRPr="00CA61A4">
        <w:rPr>
          <w:i/>
        </w:rPr>
        <w:t>Invalid and Old-Aged Pensions Act 1908</w:t>
      </w:r>
      <w:r>
        <w:t xml:space="preserve">. A </w:t>
      </w:r>
      <w:r w:rsidRPr="00F61716">
        <w:t>national invalid disability pension</w:t>
      </w:r>
      <w:r>
        <w:t xml:space="preserve"> was started in 1910 and </w:t>
      </w:r>
      <w:r w:rsidRPr="00F61716">
        <w:t>a national maternity allowance</w:t>
      </w:r>
      <w:r>
        <w:t xml:space="preserve"> was introduced in 1912 </w:t>
      </w:r>
      <w:r w:rsidRPr="00912748">
        <w:rPr>
          <w:szCs w:val="24"/>
        </w:rPr>
        <w:t>(ABS 1988)</w:t>
      </w:r>
      <w:r>
        <w:t xml:space="preserve">. </w:t>
      </w:r>
    </w:p>
  </w:footnote>
  <w:footnote w:id="8">
    <w:p w14:paraId="1C2F2EBE" w14:textId="77777777" w:rsidR="00A87B50" w:rsidRDefault="00A87B50">
      <w:pPr>
        <w:pStyle w:val="FootnoteText"/>
      </w:pPr>
      <w:r w:rsidRPr="00621D6F">
        <w:rPr>
          <w:rStyle w:val="FootnoteReference"/>
        </w:rPr>
        <w:footnoteRef/>
      </w:r>
      <w:r>
        <w:tab/>
        <w:t xml:space="preserve">These first three arguments are essentially the same: that capital markets may be inefficient for some reason or another with respect to high fixed cost investment industries. </w:t>
      </w:r>
    </w:p>
  </w:footnote>
  <w:footnote w:id="9">
    <w:p w14:paraId="5920E6B2" w14:textId="77777777" w:rsidR="00A87B50" w:rsidRDefault="00A87B50">
      <w:pPr>
        <w:pStyle w:val="FootnoteText"/>
      </w:pPr>
      <w:r w:rsidRPr="00621D6F">
        <w:rPr>
          <w:rStyle w:val="FootnoteReference"/>
        </w:rPr>
        <w:footnoteRef/>
      </w:r>
      <w:r>
        <w:tab/>
        <w:t xml:space="preserve">The reason the correlation between tariffs and growth changes direction is difficult to assess. Clemens and Williamson </w:t>
      </w:r>
      <w:r w:rsidRPr="00E85AB0">
        <w:t>(2004)</w:t>
      </w:r>
      <w:r>
        <w:t xml:space="preserve"> argue that the reason is that post</w:t>
      </w:r>
      <w:r>
        <w:noBreakHyphen/>
        <w:t>WWII, most countries (excluding Australia) began lowering tariffs in the GAAT, eventually leading to the lowest levels of tariffs in a century and half. And that in such an environment, low tariffs were more likely to promote growth than when protectionism was the norm. So overall, the empirical evidence appears to show that Australia maintained its protectionism right at the point when the returns to doing so were becoming negative.</w:t>
      </w:r>
    </w:p>
  </w:footnote>
  <w:footnote w:id="10">
    <w:p w14:paraId="5E3F12EE" w14:textId="77777777" w:rsidR="00A87B50" w:rsidRDefault="00A87B50" w:rsidP="00CB1B8C">
      <w:pPr>
        <w:pStyle w:val="FootnoteText"/>
      </w:pPr>
      <w:r w:rsidRPr="00621D6F">
        <w:rPr>
          <w:rStyle w:val="FootnoteReference"/>
        </w:rPr>
        <w:footnoteRef/>
      </w:r>
      <w:r>
        <w:t xml:space="preserve"> </w:t>
      </w:r>
      <w:r>
        <w:tab/>
        <w:t>Various foreign currencies and even barter were used in pre</w:t>
      </w:r>
      <w:r>
        <w:noBreakHyphen/>
        <w:t xml:space="preserve">Federation Australia but foreign borrowing almost exclusively was denominated in the British Pound </w:t>
      </w:r>
      <w:r w:rsidRPr="00774AFD">
        <w:rPr>
          <w:szCs w:val="24"/>
        </w:rPr>
        <w:t>(Dyster and Meredith 2012)</w:t>
      </w:r>
      <w:r>
        <w:t xml:space="preserve">. </w:t>
      </w:r>
    </w:p>
  </w:footnote>
  <w:footnote w:id="11">
    <w:p w14:paraId="34C60D41" w14:textId="77777777" w:rsidR="00A87B50" w:rsidRDefault="00A87B50" w:rsidP="00F37626">
      <w:pPr>
        <w:pStyle w:val="FootnoteText"/>
      </w:pPr>
      <w:r w:rsidRPr="00621D6F">
        <w:rPr>
          <w:rStyle w:val="FootnoteReference"/>
        </w:rPr>
        <w:footnoteRef/>
      </w:r>
      <w:r>
        <w:tab/>
        <w:t xml:space="preserve">This is an issue in modern economic statistics, but was far more common in the early colonial economy when producers would often have to construct their own buildings </w:t>
      </w:r>
      <w:r w:rsidRPr="00774AFD">
        <w:rPr>
          <w:szCs w:val="24"/>
        </w:rPr>
        <w:t>(Butlin 1962)</w:t>
      </w:r>
      <w:r>
        <w:t>.</w:t>
      </w:r>
    </w:p>
  </w:footnote>
  <w:footnote w:id="12">
    <w:p w14:paraId="2CF73375" w14:textId="77777777" w:rsidR="00A87B50" w:rsidRDefault="00A87B50">
      <w:pPr>
        <w:pStyle w:val="FootnoteText"/>
      </w:pPr>
      <w:r w:rsidRPr="00621D6F">
        <w:rPr>
          <w:rStyle w:val="FootnoteReference"/>
        </w:rPr>
        <w:footnoteRef/>
      </w:r>
      <w:r>
        <w:tab/>
        <w:t xml:space="preserve">This discussion draws heavily from McLean </w:t>
      </w:r>
      <w:r w:rsidRPr="00CC4A5C">
        <w:rPr>
          <w:szCs w:val="24"/>
        </w:rPr>
        <w:t>(McLean 2013, pp. 173–175)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87B50" w14:paraId="7A436B20" w14:textId="77777777">
      <w:tc>
        <w:tcPr>
          <w:tcW w:w="6634" w:type="dxa"/>
          <w:tcBorders>
            <w:top w:val="single" w:sz="6" w:space="0" w:color="auto"/>
          </w:tcBorders>
        </w:tcPr>
        <w:p w14:paraId="518F1166" w14:textId="77777777" w:rsidR="00A87B50" w:rsidRDefault="00A87B50" w:rsidP="00E669E2">
          <w:pPr>
            <w:pStyle w:val="HeaderOdd"/>
          </w:pPr>
        </w:p>
      </w:tc>
      <w:tc>
        <w:tcPr>
          <w:tcW w:w="2155" w:type="dxa"/>
          <w:tcBorders>
            <w:top w:val="single" w:sz="24" w:space="0" w:color="auto"/>
          </w:tcBorders>
        </w:tcPr>
        <w:p w14:paraId="789B561C" w14:textId="77777777" w:rsidR="00A87B50" w:rsidRDefault="00A87B50" w:rsidP="00E669E2">
          <w:pPr>
            <w:pStyle w:val="HeaderOdd"/>
          </w:pPr>
        </w:p>
      </w:tc>
    </w:tr>
  </w:tbl>
  <w:p w14:paraId="0771ADAE" w14:textId="77777777" w:rsidR="00A87B50" w:rsidRDefault="00A87B50"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D94F24" w14:paraId="44702A9C" w14:textId="77777777">
      <w:tc>
        <w:tcPr>
          <w:tcW w:w="2155" w:type="dxa"/>
          <w:tcBorders>
            <w:top w:val="single" w:sz="24" w:space="0" w:color="auto"/>
          </w:tcBorders>
        </w:tcPr>
        <w:p w14:paraId="03D63D38" w14:textId="77777777" w:rsidR="00D94F24" w:rsidRDefault="00D94F24" w:rsidP="0019293B">
          <w:pPr>
            <w:pStyle w:val="HeaderEven"/>
          </w:pPr>
        </w:p>
      </w:tc>
      <w:tc>
        <w:tcPr>
          <w:tcW w:w="6634" w:type="dxa"/>
          <w:tcBorders>
            <w:top w:val="single" w:sz="6" w:space="0" w:color="auto"/>
          </w:tcBorders>
        </w:tcPr>
        <w:p w14:paraId="4CF74072" w14:textId="77777777" w:rsidR="00D94F24" w:rsidRDefault="00D94F24" w:rsidP="0019293B">
          <w:pPr>
            <w:pStyle w:val="HeaderEven"/>
          </w:pPr>
        </w:p>
      </w:tc>
    </w:tr>
  </w:tbl>
  <w:p w14:paraId="1E1F6A4E" w14:textId="77777777" w:rsidR="00D94F24" w:rsidRDefault="00D94F24" w:rsidP="0019293B">
    <w:pPr>
      <w:pStyle w:val="HeaderEnd"/>
    </w:pPr>
  </w:p>
  <w:p w14:paraId="363DFEB0" w14:textId="77777777" w:rsidR="00D94F24" w:rsidRDefault="00D94F24" w:rsidP="00D94F24">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12FFF" w14:paraId="0AEAEC05" w14:textId="77777777">
      <w:tc>
        <w:tcPr>
          <w:tcW w:w="6634" w:type="dxa"/>
          <w:tcBorders>
            <w:top w:val="single" w:sz="6" w:space="0" w:color="auto"/>
          </w:tcBorders>
        </w:tcPr>
        <w:p w14:paraId="2899E0E3" w14:textId="77777777" w:rsidR="00D12FFF" w:rsidRDefault="00D12FFF" w:rsidP="00E669E2">
          <w:pPr>
            <w:pStyle w:val="HeaderOdd"/>
          </w:pPr>
        </w:p>
      </w:tc>
      <w:tc>
        <w:tcPr>
          <w:tcW w:w="2155" w:type="dxa"/>
          <w:tcBorders>
            <w:top w:val="single" w:sz="24" w:space="0" w:color="auto"/>
          </w:tcBorders>
        </w:tcPr>
        <w:p w14:paraId="32553BFB" w14:textId="77777777" w:rsidR="00D12FFF" w:rsidRDefault="00D12FFF" w:rsidP="00E669E2">
          <w:pPr>
            <w:pStyle w:val="HeaderOdd"/>
          </w:pPr>
        </w:p>
      </w:tc>
    </w:tr>
  </w:tbl>
  <w:p w14:paraId="716D3B81" w14:textId="77777777" w:rsidR="00D12FFF" w:rsidRDefault="00D12FFF"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254A86"/>
    <w:multiLevelType w:val="hybridMultilevel"/>
    <w:tmpl w:val="6D225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7D2B75"/>
    <w:multiLevelType w:val="hybridMultilevel"/>
    <w:tmpl w:val="3E22295C"/>
    <w:lvl w:ilvl="0" w:tplc="5F1641D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F358D"/>
    <w:multiLevelType w:val="multi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hybridMultilevel"/>
    <w:tmpl w:val="52F61D9A"/>
    <w:lvl w:ilvl="0" w:tplc="C1985CC4">
      <w:start w:val="1"/>
      <w:numFmt w:val="bullet"/>
      <w:pStyle w:val="BoxListBullet"/>
      <w:lvlText w:val=""/>
      <w:lvlJc w:val="left"/>
      <w:pPr>
        <w:tabs>
          <w:tab w:val="num" w:pos="284"/>
        </w:tabs>
        <w:ind w:left="284" w:hanging="284"/>
      </w:pPr>
      <w:rPr>
        <w:rFonts w:ascii="Symbol" w:hAnsi="Symbol" w:hint="default"/>
        <w:sz w:val="18"/>
      </w:rPr>
    </w:lvl>
    <w:lvl w:ilvl="1" w:tplc="5A38A478">
      <w:numFmt w:val="decimal"/>
      <w:lvlText w:val=""/>
      <w:lvlJc w:val="left"/>
    </w:lvl>
    <w:lvl w:ilvl="2" w:tplc="2BBAD39C">
      <w:numFmt w:val="decimal"/>
      <w:lvlText w:val=""/>
      <w:lvlJc w:val="left"/>
    </w:lvl>
    <w:lvl w:ilvl="3" w:tplc="AA8E80D6">
      <w:numFmt w:val="decimal"/>
      <w:lvlText w:val=""/>
      <w:lvlJc w:val="left"/>
    </w:lvl>
    <w:lvl w:ilvl="4" w:tplc="1F2EA68C">
      <w:numFmt w:val="decimal"/>
      <w:lvlText w:val=""/>
      <w:lvlJc w:val="left"/>
    </w:lvl>
    <w:lvl w:ilvl="5" w:tplc="F7C836BE">
      <w:numFmt w:val="decimal"/>
      <w:lvlText w:val=""/>
      <w:lvlJc w:val="left"/>
    </w:lvl>
    <w:lvl w:ilvl="6" w:tplc="7C2E97B0">
      <w:numFmt w:val="decimal"/>
      <w:lvlText w:val=""/>
      <w:lvlJc w:val="left"/>
    </w:lvl>
    <w:lvl w:ilvl="7" w:tplc="DCBA7F18">
      <w:numFmt w:val="decimal"/>
      <w:lvlText w:val=""/>
      <w:lvlJc w:val="left"/>
    </w:lvl>
    <w:lvl w:ilvl="8" w:tplc="5EE83F76">
      <w:numFmt w:val="decimal"/>
      <w:lvlText w:val=""/>
      <w:lvlJc w:val="left"/>
    </w:lvl>
  </w:abstractNum>
  <w:abstractNum w:abstractNumId="15" w15:restartNumberingAfterBreak="0">
    <w:nsid w:val="3E0A570F"/>
    <w:multiLevelType w:val="multilevel"/>
    <w:tmpl w:val="662E52FA"/>
    <w:styleLink w:val="LFO3"/>
    <w:lvl w:ilvl="0">
      <w:numFmt w:val="bullet"/>
      <w:lvlText w:val=""/>
      <w:lvlJc w:val="left"/>
      <w:pPr>
        <w:ind w:left="340" w:hanging="340"/>
      </w:pPr>
      <w:rPr>
        <w:rFonts w:ascii="Symbol" w:hAnsi="Symbol"/>
        <w:sz w:val="18"/>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hybridMultilevel"/>
    <w:tmpl w:val="315ABD1E"/>
    <w:lvl w:ilvl="0" w:tplc="75363210">
      <w:numFmt w:val="bullet"/>
      <w:pStyle w:val="ListBullet"/>
      <w:lvlText w:val=""/>
      <w:lvlJc w:val="left"/>
      <w:pPr>
        <w:tabs>
          <w:tab w:val="num" w:pos="340"/>
        </w:tabs>
        <w:ind w:left="340" w:hanging="340"/>
      </w:pPr>
      <w:rPr>
        <w:rFonts w:ascii="Symbol" w:hAnsi="Symbol" w:hint="default"/>
        <w:sz w:val="18"/>
      </w:rPr>
    </w:lvl>
    <w:lvl w:ilvl="1" w:tplc="091837E2">
      <w:numFmt w:val="decimal"/>
      <w:lvlText w:val=""/>
      <w:lvlJc w:val="left"/>
    </w:lvl>
    <w:lvl w:ilvl="2" w:tplc="6CA0C7A8">
      <w:numFmt w:val="decimal"/>
      <w:lvlText w:val=""/>
      <w:lvlJc w:val="left"/>
    </w:lvl>
    <w:lvl w:ilvl="3" w:tplc="02D4028E">
      <w:numFmt w:val="decimal"/>
      <w:lvlText w:val=""/>
      <w:lvlJc w:val="left"/>
    </w:lvl>
    <w:lvl w:ilvl="4" w:tplc="3FCA9740">
      <w:numFmt w:val="decimal"/>
      <w:lvlText w:val=""/>
      <w:lvlJc w:val="left"/>
    </w:lvl>
    <w:lvl w:ilvl="5" w:tplc="F6E07AC8">
      <w:numFmt w:val="decimal"/>
      <w:lvlText w:val=""/>
      <w:lvlJc w:val="left"/>
    </w:lvl>
    <w:lvl w:ilvl="6" w:tplc="EC54E2CE">
      <w:numFmt w:val="decimal"/>
      <w:lvlText w:val=""/>
      <w:lvlJc w:val="left"/>
    </w:lvl>
    <w:lvl w:ilvl="7" w:tplc="96D86022">
      <w:numFmt w:val="decimal"/>
      <w:lvlText w:val=""/>
      <w:lvlJc w:val="left"/>
    </w:lvl>
    <w:lvl w:ilvl="8" w:tplc="5ED461CC">
      <w:numFmt w:val="decimal"/>
      <w:lvlText w:val=""/>
      <w:lvlJc w:val="left"/>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hybridMultilevel"/>
    <w:tmpl w:val="775A3F3A"/>
    <w:lvl w:ilvl="0" w:tplc="5EF8E3CC">
      <w:start w:val="1"/>
      <w:numFmt w:val="bullet"/>
      <w:pStyle w:val="QuoteBullet"/>
      <w:lvlText w:val=""/>
      <w:lvlJc w:val="left"/>
      <w:pPr>
        <w:tabs>
          <w:tab w:val="num" w:pos="680"/>
        </w:tabs>
        <w:ind w:left="680" w:hanging="340"/>
      </w:pPr>
      <w:rPr>
        <w:rFonts w:ascii="Symbol" w:hAnsi="Symbol" w:hint="default"/>
        <w:sz w:val="18"/>
      </w:rPr>
    </w:lvl>
    <w:lvl w:ilvl="1" w:tplc="CA92B8A8">
      <w:numFmt w:val="decimal"/>
      <w:lvlText w:val=""/>
      <w:lvlJc w:val="left"/>
    </w:lvl>
    <w:lvl w:ilvl="2" w:tplc="883E11C4">
      <w:numFmt w:val="decimal"/>
      <w:lvlText w:val=""/>
      <w:lvlJc w:val="left"/>
    </w:lvl>
    <w:lvl w:ilvl="3" w:tplc="FAF631F4">
      <w:numFmt w:val="decimal"/>
      <w:lvlText w:val=""/>
      <w:lvlJc w:val="left"/>
    </w:lvl>
    <w:lvl w:ilvl="4" w:tplc="AE881B7A">
      <w:numFmt w:val="decimal"/>
      <w:lvlText w:val=""/>
      <w:lvlJc w:val="left"/>
    </w:lvl>
    <w:lvl w:ilvl="5" w:tplc="6DB667EE">
      <w:numFmt w:val="decimal"/>
      <w:lvlText w:val=""/>
      <w:lvlJc w:val="left"/>
    </w:lvl>
    <w:lvl w:ilvl="6" w:tplc="957AFC72">
      <w:numFmt w:val="decimal"/>
      <w:lvlText w:val=""/>
      <w:lvlJc w:val="left"/>
    </w:lvl>
    <w:lvl w:ilvl="7" w:tplc="41444B5A">
      <w:numFmt w:val="decimal"/>
      <w:lvlText w:val=""/>
      <w:lvlJc w:val="left"/>
    </w:lvl>
    <w:lvl w:ilvl="8" w:tplc="4C664DC2">
      <w:numFmt w:val="decimal"/>
      <w:lvlText w:val=""/>
      <w:lvlJc w:val="left"/>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6C37571A"/>
    <w:multiLevelType w:val="multilevel"/>
    <w:tmpl w:val="B31602D2"/>
    <w:styleLink w:val="LFO4"/>
    <w:lvl w:ilvl="0">
      <w:numFmt w:val="bullet"/>
      <w:lvlText w:val="–"/>
      <w:lvlJc w:val="left"/>
      <w:pPr>
        <w:ind w:left="680" w:hanging="340"/>
      </w:pPr>
      <w:rPr>
        <w:rFonts w:ascii="Times New Roman" w:hAnsi="Times New Roman" w:cs="Times New Roman"/>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A1373DF"/>
    <w:multiLevelType w:val="hybridMultilevel"/>
    <w:tmpl w:val="66CC34AA"/>
    <w:lvl w:ilvl="0" w:tplc="0D9C7168">
      <w:start w:val="1"/>
      <w:numFmt w:val="bullet"/>
      <w:pStyle w:val="FindingBullet"/>
      <w:lvlText w:val=""/>
      <w:lvlJc w:val="left"/>
      <w:pPr>
        <w:tabs>
          <w:tab w:val="num" w:pos="340"/>
        </w:tabs>
        <w:ind w:left="340" w:hanging="340"/>
      </w:pPr>
      <w:rPr>
        <w:rFonts w:ascii="Symbol" w:hAnsi="Symbol" w:hint="default"/>
        <w:b w:val="0"/>
        <w:i w:val="0"/>
        <w:sz w:val="18"/>
      </w:rPr>
    </w:lvl>
    <w:lvl w:ilvl="1" w:tplc="3B7EA278">
      <w:numFmt w:val="decimal"/>
      <w:lvlText w:val=""/>
      <w:lvlJc w:val="left"/>
    </w:lvl>
    <w:lvl w:ilvl="2" w:tplc="56D0DF88">
      <w:numFmt w:val="decimal"/>
      <w:lvlText w:val=""/>
      <w:lvlJc w:val="left"/>
    </w:lvl>
    <w:lvl w:ilvl="3" w:tplc="E5C44F18">
      <w:numFmt w:val="decimal"/>
      <w:lvlText w:val=""/>
      <w:lvlJc w:val="left"/>
    </w:lvl>
    <w:lvl w:ilvl="4" w:tplc="D04EBB22">
      <w:numFmt w:val="decimal"/>
      <w:lvlText w:val=""/>
      <w:lvlJc w:val="left"/>
    </w:lvl>
    <w:lvl w:ilvl="5" w:tplc="C14897A6">
      <w:numFmt w:val="decimal"/>
      <w:lvlText w:val=""/>
      <w:lvlJc w:val="left"/>
    </w:lvl>
    <w:lvl w:ilvl="6" w:tplc="4AC006EC">
      <w:numFmt w:val="decimal"/>
      <w:lvlText w:val=""/>
      <w:lvlJc w:val="left"/>
    </w:lvl>
    <w:lvl w:ilvl="7" w:tplc="F806CAC0">
      <w:numFmt w:val="decimal"/>
      <w:lvlText w:val=""/>
      <w:lvlJc w:val="left"/>
    </w:lvl>
    <w:lvl w:ilvl="8" w:tplc="A89AA93A">
      <w:numFmt w:val="decimal"/>
      <w:lvlText w:val=""/>
      <w:lvlJc w:val="left"/>
    </w:lvl>
  </w:abstractNum>
  <w:abstractNum w:abstractNumId="25" w15:restartNumberingAfterBreak="0">
    <w:nsid w:val="7BFA7D75"/>
    <w:multiLevelType w:val="hybridMultilevel"/>
    <w:tmpl w:val="B4C476FC"/>
    <w:lvl w:ilvl="0" w:tplc="56D808D0">
      <w:start w:val="1"/>
      <w:numFmt w:val="bullet"/>
      <w:pStyle w:val="RecBullet"/>
      <w:lvlText w:val=""/>
      <w:lvlJc w:val="left"/>
      <w:pPr>
        <w:tabs>
          <w:tab w:val="num" w:pos="340"/>
        </w:tabs>
        <w:ind w:left="340" w:hanging="340"/>
      </w:pPr>
      <w:rPr>
        <w:rFonts w:ascii="Symbol" w:hAnsi="Symbol" w:hint="default"/>
        <w:b w:val="0"/>
        <w:i w:val="0"/>
        <w:sz w:val="18"/>
      </w:rPr>
    </w:lvl>
    <w:lvl w:ilvl="1" w:tplc="780AA2D0">
      <w:numFmt w:val="decimal"/>
      <w:lvlText w:val=""/>
      <w:lvlJc w:val="left"/>
    </w:lvl>
    <w:lvl w:ilvl="2" w:tplc="AA306F8A">
      <w:numFmt w:val="decimal"/>
      <w:lvlText w:val=""/>
      <w:lvlJc w:val="left"/>
    </w:lvl>
    <w:lvl w:ilvl="3" w:tplc="A148C4EC">
      <w:numFmt w:val="decimal"/>
      <w:lvlText w:val=""/>
      <w:lvlJc w:val="left"/>
    </w:lvl>
    <w:lvl w:ilvl="4" w:tplc="1B7A77B6">
      <w:numFmt w:val="decimal"/>
      <w:lvlText w:val=""/>
      <w:lvlJc w:val="left"/>
    </w:lvl>
    <w:lvl w:ilvl="5" w:tplc="E982DFF0">
      <w:numFmt w:val="decimal"/>
      <w:lvlText w:val=""/>
      <w:lvlJc w:val="left"/>
    </w:lvl>
    <w:lvl w:ilvl="6" w:tplc="A6128F60">
      <w:numFmt w:val="decimal"/>
      <w:lvlText w:val=""/>
      <w:lvlJc w:val="left"/>
    </w:lvl>
    <w:lvl w:ilvl="7" w:tplc="FFEE021C">
      <w:numFmt w:val="decimal"/>
      <w:lvlText w:val=""/>
      <w:lvlJc w:val="left"/>
    </w:lvl>
    <w:lvl w:ilvl="8" w:tplc="5590FAFA">
      <w:numFmt w:val="decimal"/>
      <w:lvlText w:val=""/>
      <w:lvlJc w:val="left"/>
    </w:lvl>
  </w:abstractNum>
  <w:abstractNum w:abstractNumId="26" w15:restartNumberingAfterBreak="0">
    <w:nsid w:val="7DCE0F36"/>
    <w:multiLevelType w:val="hybridMultilevel"/>
    <w:tmpl w:val="6BC4D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5"/>
  </w:num>
  <w:num w:numId="5">
    <w:abstractNumId w:val="22"/>
  </w:num>
  <w:num w:numId="6">
    <w:abstractNumId w:val="19"/>
  </w:num>
  <w:num w:numId="7">
    <w:abstractNumId w:val="10"/>
  </w:num>
  <w:num w:numId="8">
    <w:abstractNumId w:val="18"/>
  </w:num>
  <w:num w:numId="9">
    <w:abstractNumId w:val="8"/>
  </w:num>
  <w:num w:numId="10">
    <w:abstractNumId w:val="7"/>
  </w:num>
  <w:num w:numId="11">
    <w:abstractNumId w:val="12"/>
  </w:num>
  <w:num w:numId="12">
    <w:abstractNumId w:val="13"/>
  </w:num>
  <w:num w:numId="13">
    <w:abstractNumId w:val="6"/>
  </w:num>
  <w:num w:numId="14">
    <w:abstractNumId w:val="20"/>
  </w:num>
  <w:num w:numId="15">
    <w:abstractNumId w:val="24"/>
  </w:num>
  <w:num w:numId="16">
    <w:abstractNumId w:val="16"/>
  </w:num>
  <w:num w:numId="17">
    <w:abstractNumId w:val="25"/>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11"/>
  </w:num>
  <w:num w:numId="22">
    <w:abstractNumId w:val="3"/>
  </w:num>
  <w:num w:numId="23">
    <w:abstractNumId w:val="3"/>
  </w:num>
  <w:num w:numId="24">
    <w:abstractNumId w:val="26"/>
  </w:num>
  <w:num w:numId="25">
    <w:abstractNumId w:val="26"/>
  </w:num>
  <w:num w:numId="26">
    <w:abstractNumId w:val="9"/>
  </w:num>
  <w:num w:numId="27">
    <w:abstractNumId w:val="15"/>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hapter"/>
    <w:docVar w:name="ShortReportTitle" w:val="Report"/>
  </w:docVars>
  <w:rsids>
    <w:rsidRoot w:val="004335E2"/>
    <w:rsid w:val="00001E5B"/>
    <w:rsid w:val="00002339"/>
    <w:rsid w:val="000026C4"/>
    <w:rsid w:val="00002D09"/>
    <w:rsid w:val="00002F82"/>
    <w:rsid w:val="0000320E"/>
    <w:rsid w:val="00003BF0"/>
    <w:rsid w:val="000046F5"/>
    <w:rsid w:val="000048D4"/>
    <w:rsid w:val="00005259"/>
    <w:rsid w:val="000056BA"/>
    <w:rsid w:val="00005D80"/>
    <w:rsid w:val="00005F34"/>
    <w:rsid w:val="00006BDD"/>
    <w:rsid w:val="00007265"/>
    <w:rsid w:val="000074F4"/>
    <w:rsid w:val="00007509"/>
    <w:rsid w:val="00007E4D"/>
    <w:rsid w:val="00010313"/>
    <w:rsid w:val="00010AD6"/>
    <w:rsid w:val="00010B74"/>
    <w:rsid w:val="000111D5"/>
    <w:rsid w:val="00011AB5"/>
    <w:rsid w:val="00011F01"/>
    <w:rsid w:val="000121F5"/>
    <w:rsid w:val="00012352"/>
    <w:rsid w:val="000127BF"/>
    <w:rsid w:val="000132FE"/>
    <w:rsid w:val="000133E5"/>
    <w:rsid w:val="00013511"/>
    <w:rsid w:val="000142CD"/>
    <w:rsid w:val="0001474C"/>
    <w:rsid w:val="00014EE6"/>
    <w:rsid w:val="000152A7"/>
    <w:rsid w:val="00015CA6"/>
    <w:rsid w:val="000164AF"/>
    <w:rsid w:val="000165A3"/>
    <w:rsid w:val="00016BDF"/>
    <w:rsid w:val="00016C89"/>
    <w:rsid w:val="00016E48"/>
    <w:rsid w:val="00017842"/>
    <w:rsid w:val="000200EA"/>
    <w:rsid w:val="000203E6"/>
    <w:rsid w:val="00020CB7"/>
    <w:rsid w:val="00021628"/>
    <w:rsid w:val="000224EE"/>
    <w:rsid w:val="000227D5"/>
    <w:rsid w:val="00022A55"/>
    <w:rsid w:val="00023018"/>
    <w:rsid w:val="0002350C"/>
    <w:rsid w:val="00023555"/>
    <w:rsid w:val="000239AD"/>
    <w:rsid w:val="00024374"/>
    <w:rsid w:val="0002444D"/>
    <w:rsid w:val="000245AA"/>
    <w:rsid w:val="0002469E"/>
    <w:rsid w:val="00024BE4"/>
    <w:rsid w:val="00024D28"/>
    <w:rsid w:val="0002552C"/>
    <w:rsid w:val="0002556F"/>
    <w:rsid w:val="00025920"/>
    <w:rsid w:val="00025B7D"/>
    <w:rsid w:val="000260E9"/>
    <w:rsid w:val="0002799A"/>
    <w:rsid w:val="000279F8"/>
    <w:rsid w:val="000300CF"/>
    <w:rsid w:val="000307D9"/>
    <w:rsid w:val="00030D21"/>
    <w:rsid w:val="00031ED3"/>
    <w:rsid w:val="00034203"/>
    <w:rsid w:val="00034418"/>
    <w:rsid w:val="00034D3D"/>
    <w:rsid w:val="000351E4"/>
    <w:rsid w:val="00035DFB"/>
    <w:rsid w:val="0003664B"/>
    <w:rsid w:val="00036B3A"/>
    <w:rsid w:val="000377C7"/>
    <w:rsid w:val="000378F5"/>
    <w:rsid w:val="00037B52"/>
    <w:rsid w:val="000404AD"/>
    <w:rsid w:val="000407BD"/>
    <w:rsid w:val="00040E8E"/>
    <w:rsid w:val="0004111F"/>
    <w:rsid w:val="000417C2"/>
    <w:rsid w:val="00041B2D"/>
    <w:rsid w:val="0004265B"/>
    <w:rsid w:val="00043060"/>
    <w:rsid w:val="000439FE"/>
    <w:rsid w:val="00043A71"/>
    <w:rsid w:val="00043C70"/>
    <w:rsid w:val="00043C9B"/>
    <w:rsid w:val="000447A7"/>
    <w:rsid w:val="00044B8C"/>
    <w:rsid w:val="00044CF6"/>
    <w:rsid w:val="00044DA9"/>
    <w:rsid w:val="00045F16"/>
    <w:rsid w:val="00045F37"/>
    <w:rsid w:val="000462BD"/>
    <w:rsid w:val="000467AD"/>
    <w:rsid w:val="00046BA1"/>
    <w:rsid w:val="00047007"/>
    <w:rsid w:val="00050C0A"/>
    <w:rsid w:val="00050C89"/>
    <w:rsid w:val="00050EBE"/>
    <w:rsid w:val="000518D3"/>
    <w:rsid w:val="00052A6B"/>
    <w:rsid w:val="00053513"/>
    <w:rsid w:val="000540BA"/>
    <w:rsid w:val="00054330"/>
    <w:rsid w:val="00055077"/>
    <w:rsid w:val="000550C4"/>
    <w:rsid w:val="000556BD"/>
    <w:rsid w:val="00055A00"/>
    <w:rsid w:val="000565B3"/>
    <w:rsid w:val="00057850"/>
    <w:rsid w:val="000578DB"/>
    <w:rsid w:val="00057927"/>
    <w:rsid w:val="000614D0"/>
    <w:rsid w:val="00061AFC"/>
    <w:rsid w:val="00062959"/>
    <w:rsid w:val="00063689"/>
    <w:rsid w:val="00063A5A"/>
    <w:rsid w:val="000658D5"/>
    <w:rsid w:val="0006709E"/>
    <w:rsid w:val="00067358"/>
    <w:rsid w:val="00067A24"/>
    <w:rsid w:val="00070C9C"/>
    <w:rsid w:val="00070D47"/>
    <w:rsid w:val="0007150B"/>
    <w:rsid w:val="0007246D"/>
    <w:rsid w:val="00073417"/>
    <w:rsid w:val="0007419D"/>
    <w:rsid w:val="0007439E"/>
    <w:rsid w:val="00074CA7"/>
    <w:rsid w:val="00075BEF"/>
    <w:rsid w:val="00076960"/>
    <w:rsid w:val="00076AFA"/>
    <w:rsid w:val="00080FC9"/>
    <w:rsid w:val="00082278"/>
    <w:rsid w:val="00082776"/>
    <w:rsid w:val="00082887"/>
    <w:rsid w:val="00082D2D"/>
    <w:rsid w:val="0008568A"/>
    <w:rsid w:val="00086A19"/>
    <w:rsid w:val="00086A9D"/>
    <w:rsid w:val="0008795D"/>
    <w:rsid w:val="00087C46"/>
    <w:rsid w:val="00087D68"/>
    <w:rsid w:val="0009062F"/>
    <w:rsid w:val="000908AE"/>
    <w:rsid w:val="00090982"/>
    <w:rsid w:val="00090AB3"/>
    <w:rsid w:val="000910D6"/>
    <w:rsid w:val="0009297E"/>
    <w:rsid w:val="00092EC2"/>
    <w:rsid w:val="00092EEB"/>
    <w:rsid w:val="00093765"/>
    <w:rsid w:val="000938F5"/>
    <w:rsid w:val="00093DD0"/>
    <w:rsid w:val="0009492B"/>
    <w:rsid w:val="000949CC"/>
    <w:rsid w:val="00095188"/>
    <w:rsid w:val="00095663"/>
    <w:rsid w:val="00095AB9"/>
    <w:rsid w:val="00096E55"/>
    <w:rsid w:val="0009783E"/>
    <w:rsid w:val="00097C50"/>
    <w:rsid w:val="00097D55"/>
    <w:rsid w:val="000A05E3"/>
    <w:rsid w:val="000A0A2C"/>
    <w:rsid w:val="000A1438"/>
    <w:rsid w:val="000A14CF"/>
    <w:rsid w:val="000A3057"/>
    <w:rsid w:val="000A3226"/>
    <w:rsid w:val="000A3914"/>
    <w:rsid w:val="000A4560"/>
    <w:rsid w:val="000A4D81"/>
    <w:rsid w:val="000A52D9"/>
    <w:rsid w:val="000A56EE"/>
    <w:rsid w:val="000A6676"/>
    <w:rsid w:val="000A6D5C"/>
    <w:rsid w:val="000B0B59"/>
    <w:rsid w:val="000B1022"/>
    <w:rsid w:val="000B1E57"/>
    <w:rsid w:val="000B21C6"/>
    <w:rsid w:val="000B226C"/>
    <w:rsid w:val="000B2F71"/>
    <w:rsid w:val="000B340F"/>
    <w:rsid w:val="000B37D9"/>
    <w:rsid w:val="000B3971"/>
    <w:rsid w:val="000B442F"/>
    <w:rsid w:val="000B4A7D"/>
    <w:rsid w:val="000B4AD0"/>
    <w:rsid w:val="000B4CBF"/>
    <w:rsid w:val="000B4F84"/>
    <w:rsid w:val="000B5661"/>
    <w:rsid w:val="000B56F9"/>
    <w:rsid w:val="000B5860"/>
    <w:rsid w:val="000B5CC3"/>
    <w:rsid w:val="000B5F8E"/>
    <w:rsid w:val="000B601B"/>
    <w:rsid w:val="000B6B8A"/>
    <w:rsid w:val="000B7693"/>
    <w:rsid w:val="000C0CFE"/>
    <w:rsid w:val="000C13B2"/>
    <w:rsid w:val="000C19D2"/>
    <w:rsid w:val="000C207E"/>
    <w:rsid w:val="000C21B1"/>
    <w:rsid w:val="000C2A49"/>
    <w:rsid w:val="000C45E5"/>
    <w:rsid w:val="000C4C4A"/>
    <w:rsid w:val="000C5CF7"/>
    <w:rsid w:val="000C69BB"/>
    <w:rsid w:val="000C730F"/>
    <w:rsid w:val="000C7393"/>
    <w:rsid w:val="000D13B3"/>
    <w:rsid w:val="000D1D88"/>
    <w:rsid w:val="000D1F02"/>
    <w:rsid w:val="000D1FD8"/>
    <w:rsid w:val="000D20F9"/>
    <w:rsid w:val="000D248C"/>
    <w:rsid w:val="000D2C86"/>
    <w:rsid w:val="000D2E77"/>
    <w:rsid w:val="000D2FCC"/>
    <w:rsid w:val="000D300E"/>
    <w:rsid w:val="000D31A4"/>
    <w:rsid w:val="000D3B70"/>
    <w:rsid w:val="000D41E9"/>
    <w:rsid w:val="000D4328"/>
    <w:rsid w:val="000D4A5F"/>
    <w:rsid w:val="000D529D"/>
    <w:rsid w:val="000D5C99"/>
    <w:rsid w:val="000D5F67"/>
    <w:rsid w:val="000D686C"/>
    <w:rsid w:val="000D68ED"/>
    <w:rsid w:val="000E0798"/>
    <w:rsid w:val="000E09C6"/>
    <w:rsid w:val="000E10EA"/>
    <w:rsid w:val="000E1242"/>
    <w:rsid w:val="000E1572"/>
    <w:rsid w:val="000E1703"/>
    <w:rsid w:val="000E19D9"/>
    <w:rsid w:val="000E1BE7"/>
    <w:rsid w:val="000E321E"/>
    <w:rsid w:val="000E368A"/>
    <w:rsid w:val="000E3F6B"/>
    <w:rsid w:val="000E41C9"/>
    <w:rsid w:val="000E49B3"/>
    <w:rsid w:val="000E4C39"/>
    <w:rsid w:val="000E57D5"/>
    <w:rsid w:val="000E582C"/>
    <w:rsid w:val="000E6134"/>
    <w:rsid w:val="000E6283"/>
    <w:rsid w:val="000E6BF2"/>
    <w:rsid w:val="000E6F3D"/>
    <w:rsid w:val="000E75F3"/>
    <w:rsid w:val="000E77A4"/>
    <w:rsid w:val="000F0035"/>
    <w:rsid w:val="000F03E7"/>
    <w:rsid w:val="000F04E7"/>
    <w:rsid w:val="000F060A"/>
    <w:rsid w:val="000F08DC"/>
    <w:rsid w:val="000F0D23"/>
    <w:rsid w:val="000F126F"/>
    <w:rsid w:val="000F16ED"/>
    <w:rsid w:val="000F1A47"/>
    <w:rsid w:val="000F1C3F"/>
    <w:rsid w:val="000F21E7"/>
    <w:rsid w:val="000F2A49"/>
    <w:rsid w:val="000F2D4C"/>
    <w:rsid w:val="000F2DC3"/>
    <w:rsid w:val="000F334E"/>
    <w:rsid w:val="000F340A"/>
    <w:rsid w:val="000F420B"/>
    <w:rsid w:val="000F4625"/>
    <w:rsid w:val="000F480A"/>
    <w:rsid w:val="000F539C"/>
    <w:rsid w:val="000F54E3"/>
    <w:rsid w:val="000F5626"/>
    <w:rsid w:val="000F57D5"/>
    <w:rsid w:val="000F5C50"/>
    <w:rsid w:val="000F6803"/>
    <w:rsid w:val="000F6CDE"/>
    <w:rsid w:val="000F7A32"/>
    <w:rsid w:val="000F7E89"/>
    <w:rsid w:val="00101CFD"/>
    <w:rsid w:val="001020DA"/>
    <w:rsid w:val="00102AE4"/>
    <w:rsid w:val="001030C7"/>
    <w:rsid w:val="00103824"/>
    <w:rsid w:val="0010430D"/>
    <w:rsid w:val="0010491C"/>
    <w:rsid w:val="001049BE"/>
    <w:rsid w:val="001051AA"/>
    <w:rsid w:val="0010523C"/>
    <w:rsid w:val="001055D7"/>
    <w:rsid w:val="001055F3"/>
    <w:rsid w:val="00105957"/>
    <w:rsid w:val="00105CBC"/>
    <w:rsid w:val="00106128"/>
    <w:rsid w:val="00106B62"/>
    <w:rsid w:val="00110052"/>
    <w:rsid w:val="00110116"/>
    <w:rsid w:val="001101C6"/>
    <w:rsid w:val="00110541"/>
    <w:rsid w:val="001136EF"/>
    <w:rsid w:val="001142CF"/>
    <w:rsid w:val="001143B1"/>
    <w:rsid w:val="00114DF3"/>
    <w:rsid w:val="0011568B"/>
    <w:rsid w:val="00115C51"/>
    <w:rsid w:val="00115C9B"/>
    <w:rsid w:val="0011646C"/>
    <w:rsid w:val="001165C2"/>
    <w:rsid w:val="00116C0F"/>
    <w:rsid w:val="00116E63"/>
    <w:rsid w:val="00120072"/>
    <w:rsid w:val="001202EE"/>
    <w:rsid w:val="001212DE"/>
    <w:rsid w:val="00121734"/>
    <w:rsid w:val="00121B18"/>
    <w:rsid w:val="00121FB9"/>
    <w:rsid w:val="0012357F"/>
    <w:rsid w:val="00124E11"/>
    <w:rsid w:val="00125A9A"/>
    <w:rsid w:val="00126372"/>
    <w:rsid w:val="001268E4"/>
    <w:rsid w:val="00126EB8"/>
    <w:rsid w:val="00127456"/>
    <w:rsid w:val="00127475"/>
    <w:rsid w:val="001274D4"/>
    <w:rsid w:val="00130049"/>
    <w:rsid w:val="0013153B"/>
    <w:rsid w:val="00131B66"/>
    <w:rsid w:val="001322BF"/>
    <w:rsid w:val="001322F9"/>
    <w:rsid w:val="001324DD"/>
    <w:rsid w:val="00132ADF"/>
    <w:rsid w:val="00132D4E"/>
    <w:rsid w:val="00133278"/>
    <w:rsid w:val="00133442"/>
    <w:rsid w:val="00133674"/>
    <w:rsid w:val="00133C39"/>
    <w:rsid w:val="00135415"/>
    <w:rsid w:val="001354EB"/>
    <w:rsid w:val="00136378"/>
    <w:rsid w:val="001363AA"/>
    <w:rsid w:val="00136857"/>
    <w:rsid w:val="00136B6C"/>
    <w:rsid w:val="0013702A"/>
    <w:rsid w:val="00137398"/>
    <w:rsid w:val="0013739A"/>
    <w:rsid w:val="0013758B"/>
    <w:rsid w:val="00137934"/>
    <w:rsid w:val="001406B0"/>
    <w:rsid w:val="001411DD"/>
    <w:rsid w:val="00142024"/>
    <w:rsid w:val="00142165"/>
    <w:rsid w:val="00142D28"/>
    <w:rsid w:val="00142F79"/>
    <w:rsid w:val="001437B5"/>
    <w:rsid w:val="001440CD"/>
    <w:rsid w:val="001446FD"/>
    <w:rsid w:val="00144BBA"/>
    <w:rsid w:val="00145D39"/>
    <w:rsid w:val="001462AB"/>
    <w:rsid w:val="00146875"/>
    <w:rsid w:val="00147149"/>
    <w:rsid w:val="0014793E"/>
    <w:rsid w:val="001503B0"/>
    <w:rsid w:val="00150533"/>
    <w:rsid w:val="00150795"/>
    <w:rsid w:val="00150D01"/>
    <w:rsid w:val="00151B2C"/>
    <w:rsid w:val="00151C99"/>
    <w:rsid w:val="00151DF0"/>
    <w:rsid w:val="0015256A"/>
    <w:rsid w:val="0015410C"/>
    <w:rsid w:val="001541FB"/>
    <w:rsid w:val="00154AD1"/>
    <w:rsid w:val="00155E38"/>
    <w:rsid w:val="0015614F"/>
    <w:rsid w:val="001565F6"/>
    <w:rsid w:val="00157662"/>
    <w:rsid w:val="00157A2B"/>
    <w:rsid w:val="00157DD9"/>
    <w:rsid w:val="001602CF"/>
    <w:rsid w:val="001611AD"/>
    <w:rsid w:val="001619AB"/>
    <w:rsid w:val="00162434"/>
    <w:rsid w:val="00162AD7"/>
    <w:rsid w:val="00163386"/>
    <w:rsid w:val="00163BDF"/>
    <w:rsid w:val="00163E17"/>
    <w:rsid w:val="00164668"/>
    <w:rsid w:val="00165485"/>
    <w:rsid w:val="00166833"/>
    <w:rsid w:val="001670BB"/>
    <w:rsid w:val="0016726E"/>
    <w:rsid w:val="001700AA"/>
    <w:rsid w:val="00170B29"/>
    <w:rsid w:val="00171821"/>
    <w:rsid w:val="00171E90"/>
    <w:rsid w:val="00172010"/>
    <w:rsid w:val="00172706"/>
    <w:rsid w:val="0017361E"/>
    <w:rsid w:val="00173BAD"/>
    <w:rsid w:val="001746BF"/>
    <w:rsid w:val="00174927"/>
    <w:rsid w:val="001751E2"/>
    <w:rsid w:val="00175FC9"/>
    <w:rsid w:val="00177DA7"/>
    <w:rsid w:val="00177EE0"/>
    <w:rsid w:val="00181078"/>
    <w:rsid w:val="00181598"/>
    <w:rsid w:val="00181B2F"/>
    <w:rsid w:val="00181E9B"/>
    <w:rsid w:val="0018209B"/>
    <w:rsid w:val="00182779"/>
    <w:rsid w:val="00183164"/>
    <w:rsid w:val="001831A3"/>
    <w:rsid w:val="00183758"/>
    <w:rsid w:val="00183E82"/>
    <w:rsid w:val="001842B3"/>
    <w:rsid w:val="00184FE1"/>
    <w:rsid w:val="001862AA"/>
    <w:rsid w:val="001878BB"/>
    <w:rsid w:val="001906C8"/>
    <w:rsid w:val="0019098C"/>
    <w:rsid w:val="00190C08"/>
    <w:rsid w:val="00190F05"/>
    <w:rsid w:val="00191224"/>
    <w:rsid w:val="001919AB"/>
    <w:rsid w:val="00191AE0"/>
    <w:rsid w:val="001920F2"/>
    <w:rsid w:val="0019293B"/>
    <w:rsid w:val="00192BE3"/>
    <w:rsid w:val="0019358C"/>
    <w:rsid w:val="00193B3F"/>
    <w:rsid w:val="0019426B"/>
    <w:rsid w:val="00194502"/>
    <w:rsid w:val="0019457E"/>
    <w:rsid w:val="0019460D"/>
    <w:rsid w:val="00194694"/>
    <w:rsid w:val="0019492C"/>
    <w:rsid w:val="00194B4D"/>
    <w:rsid w:val="00194C4E"/>
    <w:rsid w:val="00194C78"/>
    <w:rsid w:val="00195107"/>
    <w:rsid w:val="0019512A"/>
    <w:rsid w:val="00195187"/>
    <w:rsid w:val="00195333"/>
    <w:rsid w:val="00195C12"/>
    <w:rsid w:val="00195E66"/>
    <w:rsid w:val="00196263"/>
    <w:rsid w:val="001962BC"/>
    <w:rsid w:val="001A03E8"/>
    <w:rsid w:val="001A0513"/>
    <w:rsid w:val="001A0B48"/>
    <w:rsid w:val="001A1016"/>
    <w:rsid w:val="001A124D"/>
    <w:rsid w:val="001A12F9"/>
    <w:rsid w:val="001A13A3"/>
    <w:rsid w:val="001A1CBD"/>
    <w:rsid w:val="001A31A3"/>
    <w:rsid w:val="001A378E"/>
    <w:rsid w:val="001A4CFD"/>
    <w:rsid w:val="001A656B"/>
    <w:rsid w:val="001A66A2"/>
    <w:rsid w:val="001A6A4B"/>
    <w:rsid w:val="001A7427"/>
    <w:rsid w:val="001A7F29"/>
    <w:rsid w:val="001B1350"/>
    <w:rsid w:val="001B19BE"/>
    <w:rsid w:val="001B1E27"/>
    <w:rsid w:val="001B22DA"/>
    <w:rsid w:val="001B3536"/>
    <w:rsid w:val="001B35FA"/>
    <w:rsid w:val="001B370E"/>
    <w:rsid w:val="001B4FB8"/>
    <w:rsid w:val="001B57C5"/>
    <w:rsid w:val="001B6C6A"/>
    <w:rsid w:val="001B6EE0"/>
    <w:rsid w:val="001B75F2"/>
    <w:rsid w:val="001B7DEF"/>
    <w:rsid w:val="001B7FC2"/>
    <w:rsid w:val="001C03E5"/>
    <w:rsid w:val="001C0865"/>
    <w:rsid w:val="001C0AED"/>
    <w:rsid w:val="001C0B0C"/>
    <w:rsid w:val="001C0B47"/>
    <w:rsid w:val="001C0BA9"/>
    <w:rsid w:val="001C19AB"/>
    <w:rsid w:val="001C2A2A"/>
    <w:rsid w:val="001C2C78"/>
    <w:rsid w:val="001C3877"/>
    <w:rsid w:val="001C3ABA"/>
    <w:rsid w:val="001C4280"/>
    <w:rsid w:val="001C43CB"/>
    <w:rsid w:val="001C5111"/>
    <w:rsid w:val="001C552A"/>
    <w:rsid w:val="001C55EC"/>
    <w:rsid w:val="001C5889"/>
    <w:rsid w:val="001C5AE2"/>
    <w:rsid w:val="001C60DC"/>
    <w:rsid w:val="001C74B4"/>
    <w:rsid w:val="001C758A"/>
    <w:rsid w:val="001C7F02"/>
    <w:rsid w:val="001D326E"/>
    <w:rsid w:val="001D3B8C"/>
    <w:rsid w:val="001D3EC9"/>
    <w:rsid w:val="001D495C"/>
    <w:rsid w:val="001D50A2"/>
    <w:rsid w:val="001D5540"/>
    <w:rsid w:val="001D5835"/>
    <w:rsid w:val="001D5C67"/>
    <w:rsid w:val="001D6089"/>
    <w:rsid w:val="001D7009"/>
    <w:rsid w:val="001D73E8"/>
    <w:rsid w:val="001E0061"/>
    <w:rsid w:val="001E050F"/>
    <w:rsid w:val="001E12D1"/>
    <w:rsid w:val="001E17D8"/>
    <w:rsid w:val="001E35E3"/>
    <w:rsid w:val="001E3C97"/>
    <w:rsid w:val="001E4D46"/>
    <w:rsid w:val="001E51CB"/>
    <w:rsid w:val="001E520B"/>
    <w:rsid w:val="001E5B64"/>
    <w:rsid w:val="001E5E45"/>
    <w:rsid w:val="001E5ECE"/>
    <w:rsid w:val="001E7BE8"/>
    <w:rsid w:val="001E7C27"/>
    <w:rsid w:val="001F0248"/>
    <w:rsid w:val="001F02EF"/>
    <w:rsid w:val="001F1099"/>
    <w:rsid w:val="001F122E"/>
    <w:rsid w:val="001F1FD3"/>
    <w:rsid w:val="001F2137"/>
    <w:rsid w:val="001F2559"/>
    <w:rsid w:val="001F29FF"/>
    <w:rsid w:val="001F2E0A"/>
    <w:rsid w:val="001F311E"/>
    <w:rsid w:val="001F32A5"/>
    <w:rsid w:val="001F360A"/>
    <w:rsid w:val="001F373A"/>
    <w:rsid w:val="001F3EB3"/>
    <w:rsid w:val="001F4A28"/>
    <w:rsid w:val="001F4A71"/>
    <w:rsid w:val="001F4F86"/>
    <w:rsid w:val="001F578E"/>
    <w:rsid w:val="001F5D3C"/>
    <w:rsid w:val="001F6135"/>
    <w:rsid w:val="001F62E2"/>
    <w:rsid w:val="001F6DDC"/>
    <w:rsid w:val="001F768F"/>
    <w:rsid w:val="001F79BC"/>
    <w:rsid w:val="002003CF"/>
    <w:rsid w:val="002018C8"/>
    <w:rsid w:val="00202138"/>
    <w:rsid w:val="00202521"/>
    <w:rsid w:val="00202C2C"/>
    <w:rsid w:val="00203050"/>
    <w:rsid w:val="00203A52"/>
    <w:rsid w:val="00203CFA"/>
    <w:rsid w:val="0020464C"/>
    <w:rsid w:val="00205310"/>
    <w:rsid w:val="00205405"/>
    <w:rsid w:val="0020655F"/>
    <w:rsid w:val="00206A55"/>
    <w:rsid w:val="00206B7C"/>
    <w:rsid w:val="00206B86"/>
    <w:rsid w:val="00206D55"/>
    <w:rsid w:val="002101CB"/>
    <w:rsid w:val="00211E62"/>
    <w:rsid w:val="00212863"/>
    <w:rsid w:val="002135AB"/>
    <w:rsid w:val="002144BE"/>
    <w:rsid w:val="00214521"/>
    <w:rsid w:val="00214E0C"/>
    <w:rsid w:val="00215147"/>
    <w:rsid w:val="002152BD"/>
    <w:rsid w:val="00215B19"/>
    <w:rsid w:val="00216247"/>
    <w:rsid w:val="002178FF"/>
    <w:rsid w:val="00220C1B"/>
    <w:rsid w:val="00221310"/>
    <w:rsid w:val="0022199B"/>
    <w:rsid w:val="00221C29"/>
    <w:rsid w:val="00223A03"/>
    <w:rsid w:val="00223A68"/>
    <w:rsid w:val="00223C95"/>
    <w:rsid w:val="00223EFC"/>
    <w:rsid w:val="002244B8"/>
    <w:rsid w:val="002247CB"/>
    <w:rsid w:val="00224B87"/>
    <w:rsid w:val="0022604A"/>
    <w:rsid w:val="002271A7"/>
    <w:rsid w:val="002308E9"/>
    <w:rsid w:val="002319B2"/>
    <w:rsid w:val="002320B8"/>
    <w:rsid w:val="0023256A"/>
    <w:rsid w:val="002330C7"/>
    <w:rsid w:val="0023377D"/>
    <w:rsid w:val="00233901"/>
    <w:rsid w:val="00233F3C"/>
    <w:rsid w:val="002345B5"/>
    <w:rsid w:val="0023471D"/>
    <w:rsid w:val="00234CE7"/>
    <w:rsid w:val="00234F5D"/>
    <w:rsid w:val="0023528C"/>
    <w:rsid w:val="002355E7"/>
    <w:rsid w:val="002358BA"/>
    <w:rsid w:val="0023590D"/>
    <w:rsid w:val="00235D4A"/>
    <w:rsid w:val="00236400"/>
    <w:rsid w:val="0024050A"/>
    <w:rsid w:val="002414F9"/>
    <w:rsid w:val="002418C0"/>
    <w:rsid w:val="00241FC1"/>
    <w:rsid w:val="00242279"/>
    <w:rsid w:val="00242460"/>
    <w:rsid w:val="00242D71"/>
    <w:rsid w:val="0024354A"/>
    <w:rsid w:val="00243571"/>
    <w:rsid w:val="00243997"/>
    <w:rsid w:val="0024472B"/>
    <w:rsid w:val="002450FF"/>
    <w:rsid w:val="0024516C"/>
    <w:rsid w:val="00245771"/>
    <w:rsid w:val="00245AB1"/>
    <w:rsid w:val="00245C82"/>
    <w:rsid w:val="00245E91"/>
    <w:rsid w:val="00246925"/>
    <w:rsid w:val="00246966"/>
    <w:rsid w:val="00246BD3"/>
    <w:rsid w:val="00246DD6"/>
    <w:rsid w:val="00246F7D"/>
    <w:rsid w:val="002470EE"/>
    <w:rsid w:val="00247D2B"/>
    <w:rsid w:val="00247D72"/>
    <w:rsid w:val="00250A40"/>
    <w:rsid w:val="00250C3C"/>
    <w:rsid w:val="0025133D"/>
    <w:rsid w:val="0025197E"/>
    <w:rsid w:val="00252A85"/>
    <w:rsid w:val="00253CD1"/>
    <w:rsid w:val="00254048"/>
    <w:rsid w:val="002543E1"/>
    <w:rsid w:val="002546AB"/>
    <w:rsid w:val="00254A1A"/>
    <w:rsid w:val="0025538F"/>
    <w:rsid w:val="00255A5D"/>
    <w:rsid w:val="00255F0D"/>
    <w:rsid w:val="00256165"/>
    <w:rsid w:val="00256671"/>
    <w:rsid w:val="002570B9"/>
    <w:rsid w:val="002574AC"/>
    <w:rsid w:val="00257B43"/>
    <w:rsid w:val="0026092B"/>
    <w:rsid w:val="0026095A"/>
    <w:rsid w:val="00260E3D"/>
    <w:rsid w:val="00261407"/>
    <w:rsid w:val="00261F2C"/>
    <w:rsid w:val="0026209B"/>
    <w:rsid w:val="002621AC"/>
    <w:rsid w:val="002621AE"/>
    <w:rsid w:val="0026261C"/>
    <w:rsid w:val="002634D4"/>
    <w:rsid w:val="002639F5"/>
    <w:rsid w:val="0026493A"/>
    <w:rsid w:val="00264BAB"/>
    <w:rsid w:val="0026564E"/>
    <w:rsid w:val="00265C87"/>
    <w:rsid w:val="0026666F"/>
    <w:rsid w:val="00266B8E"/>
    <w:rsid w:val="00267D84"/>
    <w:rsid w:val="00270CFA"/>
    <w:rsid w:val="0027222D"/>
    <w:rsid w:val="002724BA"/>
    <w:rsid w:val="00272A4E"/>
    <w:rsid w:val="00272E31"/>
    <w:rsid w:val="00272FC2"/>
    <w:rsid w:val="00273EAF"/>
    <w:rsid w:val="0027415B"/>
    <w:rsid w:val="00276145"/>
    <w:rsid w:val="00276479"/>
    <w:rsid w:val="00276BE9"/>
    <w:rsid w:val="00277094"/>
    <w:rsid w:val="002805DD"/>
    <w:rsid w:val="002809AE"/>
    <w:rsid w:val="00280BC2"/>
    <w:rsid w:val="00281249"/>
    <w:rsid w:val="00281614"/>
    <w:rsid w:val="0028180D"/>
    <w:rsid w:val="00281AD9"/>
    <w:rsid w:val="0028212C"/>
    <w:rsid w:val="00282A3A"/>
    <w:rsid w:val="00282CF3"/>
    <w:rsid w:val="00282DAE"/>
    <w:rsid w:val="002831E8"/>
    <w:rsid w:val="00283612"/>
    <w:rsid w:val="00283802"/>
    <w:rsid w:val="00283A80"/>
    <w:rsid w:val="00283E7A"/>
    <w:rsid w:val="00284264"/>
    <w:rsid w:val="00285A6F"/>
    <w:rsid w:val="00285E50"/>
    <w:rsid w:val="002860BB"/>
    <w:rsid w:val="00286725"/>
    <w:rsid w:val="00286CDF"/>
    <w:rsid w:val="00286D11"/>
    <w:rsid w:val="00286FA0"/>
    <w:rsid w:val="00287281"/>
    <w:rsid w:val="00290791"/>
    <w:rsid w:val="002909DB"/>
    <w:rsid w:val="00290DE8"/>
    <w:rsid w:val="00290F6A"/>
    <w:rsid w:val="0029165A"/>
    <w:rsid w:val="002919FF"/>
    <w:rsid w:val="00291B24"/>
    <w:rsid w:val="00291B40"/>
    <w:rsid w:val="00292F6D"/>
    <w:rsid w:val="0029343F"/>
    <w:rsid w:val="0029345A"/>
    <w:rsid w:val="002941B8"/>
    <w:rsid w:val="00294506"/>
    <w:rsid w:val="002946F9"/>
    <w:rsid w:val="00294D51"/>
    <w:rsid w:val="00295DDB"/>
    <w:rsid w:val="00295DE0"/>
    <w:rsid w:val="002968B5"/>
    <w:rsid w:val="00296DD9"/>
    <w:rsid w:val="00297B27"/>
    <w:rsid w:val="002A029E"/>
    <w:rsid w:val="002A037D"/>
    <w:rsid w:val="002A19DF"/>
    <w:rsid w:val="002A2156"/>
    <w:rsid w:val="002A2306"/>
    <w:rsid w:val="002A2AAB"/>
    <w:rsid w:val="002A2F84"/>
    <w:rsid w:val="002A3104"/>
    <w:rsid w:val="002A338C"/>
    <w:rsid w:val="002A33A5"/>
    <w:rsid w:val="002A427D"/>
    <w:rsid w:val="002A5080"/>
    <w:rsid w:val="002A50BE"/>
    <w:rsid w:val="002A539C"/>
    <w:rsid w:val="002A62D2"/>
    <w:rsid w:val="002A6632"/>
    <w:rsid w:val="002A6836"/>
    <w:rsid w:val="002A698F"/>
    <w:rsid w:val="002A6BEB"/>
    <w:rsid w:val="002A7407"/>
    <w:rsid w:val="002B0D04"/>
    <w:rsid w:val="002B1490"/>
    <w:rsid w:val="002B181E"/>
    <w:rsid w:val="002B19B1"/>
    <w:rsid w:val="002B2A1F"/>
    <w:rsid w:val="002B3076"/>
    <w:rsid w:val="002B324F"/>
    <w:rsid w:val="002B3674"/>
    <w:rsid w:val="002B4008"/>
    <w:rsid w:val="002B42B5"/>
    <w:rsid w:val="002B4DC7"/>
    <w:rsid w:val="002B63AC"/>
    <w:rsid w:val="002B645F"/>
    <w:rsid w:val="002B65BA"/>
    <w:rsid w:val="002B6726"/>
    <w:rsid w:val="002B6766"/>
    <w:rsid w:val="002C0847"/>
    <w:rsid w:val="002C12BA"/>
    <w:rsid w:val="002C1332"/>
    <w:rsid w:val="002C166E"/>
    <w:rsid w:val="002C1FFC"/>
    <w:rsid w:val="002C21E9"/>
    <w:rsid w:val="002C236B"/>
    <w:rsid w:val="002C3DDD"/>
    <w:rsid w:val="002C4148"/>
    <w:rsid w:val="002C41BA"/>
    <w:rsid w:val="002C439F"/>
    <w:rsid w:val="002C4630"/>
    <w:rsid w:val="002C5A8C"/>
    <w:rsid w:val="002C5B6C"/>
    <w:rsid w:val="002C5F27"/>
    <w:rsid w:val="002C61A6"/>
    <w:rsid w:val="002C6431"/>
    <w:rsid w:val="002C69FD"/>
    <w:rsid w:val="002C6BBC"/>
    <w:rsid w:val="002C71C1"/>
    <w:rsid w:val="002D080C"/>
    <w:rsid w:val="002D0C42"/>
    <w:rsid w:val="002D0E8E"/>
    <w:rsid w:val="002D18D2"/>
    <w:rsid w:val="002D1951"/>
    <w:rsid w:val="002D1CB1"/>
    <w:rsid w:val="002D24B0"/>
    <w:rsid w:val="002D25FC"/>
    <w:rsid w:val="002D2682"/>
    <w:rsid w:val="002D2740"/>
    <w:rsid w:val="002D2CFA"/>
    <w:rsid w:val="002D2DAF"/>
    <w:rsid w:val="002D3635"/>
    <w:rsid w:val="002D40D5"/>
    <w:rsid w:val="002D43F9"/>
    <w:rsid w:val="002D4504"/>
    <w:rsid w:val="002D47FC"/>
    <w:rsid w:val="002D502A"/>
    <w:rsid w:val="002D5428"/>
    <w:rsid w:val="002D5817"/>
    <w:rsid w:val="002D5885"/>
    <w:rsid w:val="002D5A22"/>
    <w:rsid w:val="002D75A2"/>
    <w:rsid w:val="002D7965"/>
    <w:rsid w:val="002E0446"/>
    <w:rsid w:val="002E13B7"/>
    <w:rsid w:val="002E2C12"/>
    <w:rsid w:val="002E4954"/>
    <w:rsid w:val="002E5AED"/>
    <w:rsid w:val="002E61D9"/>
    <w:rsid w:val="002E63D9"/>
    <w:rsid w:val="002E655A"/>
    <w:rsid w:val="002E688D"/>
    <w:rsid w:val="002E71EE"/>
    <w:rsid w:val="002E7DE8"/>
    <w:rsid w:val="002E7E33"/>
    <w:rsid w:val="002F0F5E"/>
    <w:rsid w:val="002F1BD9"/>
    <w:rsid w:val="002F2571"/>
    <w:rsid w:val="002F28D9"/>
    <w:rsid w:val="002F3199"/>
    <w:rsid w:val="002F3516"/>
    <w:rsid w:val="002F4031"/>
    <w:rsid w:val="002F5DA5"/>
    <w:rsid w:val="002F6316"/>
    <w:rsid w:val="00300059"/>
    <w:rsid w:val="00300400"/>
    <w:rsid w:val="00301189"/>
    <w:rsid w:val="00301C0E"/>
    <w:rsid w:val="00301E4A"/>
    <w:rsid w:val="00302FCC"/>
    <w:rsid w:val="003032DE"/>
    <w:rsid w:val="00303432"/>
    <w:rsid w:val="00303D4C"/>
    <w:rsid w:val="003047D5"/>
    <w:rsid w:val="0030487D"/>
    <w:rsid w:val="00304A17"/>
    <w:rsid w:val="00305E00"/>
    <w:rsid w:val="00306AB7"/>
    <w:rsid w:val="00306B7D"/>
    <w:rsid w:val="00307032"/>
    <w:rsid w:val="00307CFB"/>
    <w:rsid w:val="00307EE6"/>
    <w:rsid w:val="00310D51"/>
    <w:rsid w:val="00310F72"/>
    <w:rsid w:val="003112F1"/>
    <w:rsid w:val="0031146A"/>
    <w:rsid w:val="00311C91"/>
    <w:rsid w:val="0031215B"/>
    <w:rsid w:val="00312A38"/>
    <w:rsid w:val="00312F53"/>
    <w:rsid w:val="00313B13"/>
    <w:rsid w:val="00313DA1"/>
    <w:rsid w:val="00314B10"/>
    <w:rsid w:val="003150B7"/>
    <w:rsid w:val="00315971"/>
    <w:rsid w:val="0031642D"/>
    <w:rsid w:val="003166F8"/>
    <w:rsid w:val="003168B8"/>
    <w:rsid w:val="00316B80"/>
    <w:rsid w:val="0031707C"/>
    <w:rsid w:val="003202C3"/>
    <w:rsid w:val="00320C44"/>
    <w:rsid w:val="00321A3B"/>
    <w:rsid w:val="00321B17"/>
    <w:rsid w:val="00322402"/>
    <w:rsid w:val="00322D64"/>
    <w:rsid w:val="00323400"/>
    <w:rsid w:val="00323E09"/>
    <w:rsid w:val="00323F12"/>
    <w:rsid w:val="003240C5"/>
    <w:rsid w:val="0032477B"/>
    <w:rsid w:val="00324A66"/>
    <w:rsid w:val="00324BFB"/>
    <w:rsid w:val="00325125"/>
    <w:rsid w:val="0032542D"/>
    <w:rsid w:val="00325BFD"/>
    <w:rsid w:val="0032646A"/>
    <w:rsid w:val="00326A13"/>
    <w:rsid w:val="003329E8"/>
    <w:rsid w:val="003334D6"/>
    <w:rsid w:val="003337A7"/>
    <w:rsid w:val="00333932"/>
    <w:rsid w:val="00333D15"/>
    <w:rsid w:val="003348F5"/>
    <w:rsid w:val="00334D97"/>
    <w:rsid w:val="00335235"/>
    <w:rsid w:val="00335E95"/>
    <w:rsid w:val="003362E5"/>
    <w:rsid w:val="00336724"/>
    <w:rsid w:val="00336827"/>
    <w:rsid w:val="00337ED4"/>
    <w:rsid w:val="003400B5"/>
    <w:rsid w:val="00340AED"/>
    <w:rsid w:val="00342027"/>
    <w:rsid w:val="0034222D"/>
    <w:rsid w:val="0034223A"/>
    <w:rsid w:val="003430AF"/>
    <w:rsid w:val="00343118"/>
    <w:rsid w:val="00343AC5"/>
    <w:rsid w:val="00345E30"/>
    <w:rsid w:val="00346026"/>
    <w:rsid w:val="00346BD9"/>
    <w:rsid w:val="003475FE"/>
    <w:rsid w:val="003476A2"/>
    <w:rsid w:val="003518AA"/>
    <w:rsid w:val="00351B4A"/>
    <w:rsid w:val="00352165"/>
    <w:rsid w:val="00352632"/>
    <w:rsid w:val="00352D95"/>
    <w:rsid w:val="00353182"/>
    <w:rsid w:val="00353A3F"/>
    <w:rsid w:val="00353EED"/>
    <w:rsid w:val="003543C9"/>
    <w:rsid w:val="003553DE"/>
    <w:rsid w:val="0035541D"/>
    <w:rsid w:val="00355835"/>
    <w:rsid w:val="00355DAA"/>
    <w:rsid w:val="00356084"/>
    <w:rsid w:val="003564B9"/>
    <w:rsid w:val="003565D9"/>
    <w:rsid w:val="0035662A"/>
    <w:rsid w:val="00356AB5"/>
    <w:rsid w:val="00357647"/>
    <w:rsid w:val="00357E56"/>
    <w:rsid w:val="003602E1"/>
    <w:rsid w:val="003603F7"/>
    <w:rsid w:val="00360ABF"/>
    <w:rsid w:val="0036129A"/>
    <w:rsid w:val="00361585"/>
    <w:rsid w:val="00361B60"/>
    <w:rsid w:val="00361E5F"/>
    <w:rsid w:val="00362A17"/>
    <w:rsid w:val="003649DD"/>
    <w:rsid w:val="00365F2D"/>
    <w:rsid w:val="0036631A"/>
    <w:rsid w:val="00366704"/>
    <w:rsid w:val="003676A9"/>
    <w:rsid w:val="00367D3A"/>
    <w:rsid w:val="003700FA"/>
    <w:rsid w:val="0037026F"/>
    <w:rsid w:val="003704B3"/>
    <w:rsid w:val="00370561"/>
    <w:rsid w:val="00370974"/>
    <w:rsid w:val="00370B0A"/>
    <w:rsid w:val="00370B0D"/>
    <w:rsid w:val="00371240"/>
    <w:rsid w:val="0037161C"/>
    <w:rsid w:val="00371C17"/>
    <w:rsid w:val="00373441"/>
    <w:rsid w:val="00374044"/>
    <w:rsid w:val="00374062"/>
    <w:rsid w:val="00374731"/>
    <w:rsid w:val="003749FC"/>
    <w:rsid w:val="0037511A"/>
    <w:rsid w:val="0037517E"/>
    <w:rsid w:val="00375362"/>
    <w:rsid w:val="003755E8"/>
    <w:rsid w:val="0037575C"/>
    <w:rsid w:val="00376898"/>
    <w:rsid w:val="00376E59"/>
    <w:rsid w:val="00376EC9"/>
    <w:rsid w:val="0037713C"/>
    <w:rsid w:val="00377777"/>
    <w:rsid w:val="00377C67"/>
    <w:rsid w:val="00377EC1"/>
    <w:rsid w:val="0038004D"/>
    <w:rsid w:val="003802A8"/>
    <w:rsid w:val="00380340"/>
    <w:rsid w:val="00380FA8"/>
    <w:rsid w:val="003819BF"/>
    <w:rsid w:val="003840CA"/>
    <w:rsid w:val="00384277"/>
    <w:rsid w:val="003853BE"/>
    <w:rsid w:val="00386206"/>
    <w:rsid w:val="003866DF"/>
    <w:rsid w:val="00386F6E"/>
    <w:rsid w:val="00387023"/>
    <w:rsid w:val="00387272"/>
    <w:rsid w:val="00387421"/>
    <w:rsid w:val="003876BA"/>
    <w:rsid w:val="00387F94"/>
    <w:rsid w:val="00390734"/>
    <w:rsid w:val="00391192"/>
    <w:rsid w:val="003919F9"/>
    <w:rsid w:val="00391E70"/>
    <w:rsid w:val="003920CF"/>
    <w:rsid w:val="0039264D"/>
    <w:rsid w:val="0039340D"/>
    <w:rsid w:val="00393B37"/>
    <w:rsid w:val="00393F6A"/>
    <w:rsid w:val="0039432B"/>
    <w:rsid w:val="00395AE0"/>
    <w:rsid w:val="00395D1D"/>
    <w:rsid w:val="00396915"/>
    <w:rsid w:val="00396C92"/>
    <w:rsid w:val="003970FC"/>
    <w:rsid w:val="003973EB"/>
    <w:rsid w:val="003A0078"/>
    <w:rsid w:val="003A043A"/>
    <w:rsid w:val="003A0BCB"/>
    <w:rsid w:val="003A22C2"/>
    <w:rsid w:val="003A30CA"/>
    <w:rsid w:val="003A3B23"/>
    <w:rsid w:val="003A4A92"/>
    <w:rsid w:val="003A4D8F"/>
    <w:rsid w:val="003A4E37"/>
    <w:rsid w:val="003A53FA"/>
    <w:rsid w:val="003A58E8"/>
    <w:rsid w:val="003A6418"/>
    <w:rsid w:val="003A6554"/>
    <w:rsid w:val="003A679F"/>
    <w:rsid w:val="003A7187"/>
    <w:rsid w:val="003A739F"/>
    <w:rsid w:val="003B0890"/>
    <w:rsid w:val="003B0BEA"/>
    <w:rsid w:val="003B0D76"/>
    <w:rsid w:val="003B1E86"/>
    <w:rsid w:val="003B23C2"/>
    <w:rsid w:val="003B26B8"/>
    <w:rsid w:val="003B2CCF"/>
    <w:rsid w:val="003B322F"/>
    <w:rsid w:val="003B3504"/>
    <w:rsid w:val="003B3683"/>
    <w:rsid w:val="003B442F"/>
    <w:rsid w:val="003B45B7"/>
    <w:rsid w:val="003B465C"/>
    <w:rsid w:val="003B524B"/>
    <w:rsid w:val="003B52C8"/>
    <w:rsid w:val="003B55FB"/>
    <w:rsid w:val="003B5A85"/>
    <w:rsid w:val="003B5D20"/>
    <w:rsid w:val="003B62CB"/>
    <w:rsid w:val="003B66FD"/>
    <w:rsid w:val="003B6B70"/>
    <w:rsid w:val="003B6C3A"/>
    <w:rsid w:val="003B7373"/>
    <w:rsid w:val="003B79A0"/>
    <w:rsid w:val="003B7F70"/>
    <w:rsid w:val="003C2BC9"/>
    <w:rsid w:val="003C3294"/>
    <w:rsid w:val="003C3781"/>
    <w:rsid w:val="003C38B5"/>
    <w:rsid w:val="003C3AB7"/>
    <w:rsid w:val="003C4011"/>
    <w:rsid w:val="003C4D5D"/>
    <w:rsid w:val="003C5335"/>
    <w:rsid w:val="003C5D99"/>
    <w:rsid w:val="003C6652"/>
    <w:rsid w:val="003C66E3"/>
    <w:rsid w:val="003C6D01"/>
    <w:rsid w:val="003C7AF5"/>
    <w:rsid w:val="003C7B2E"/>
    <w:rsid w:val="003C7F47"/>
    <w:rsid w:val="003D1087"/>
    <w:rsid w:val="003D13BD"/>
    <w:rsid w:val="003D13CE"/>
    <w:rsid w:val="003D18AE"/>
    <w:rsid w:val="003D1B5B"/>
    <w:rsid w:val="003D323B"/>
    <w:rsid w:val="003D3E54"/>
    <w:rsid w:val="003D44B2"/>
    <w:rsid w:val="003D58A3"/>
    <w:rsid w:val="003D5CD0"/>
    <w:rsid w:val="003D648B"/>
    <w:rsid w:val="003D6F0C"/>
    <w:rsid w:val="003D74AD"/>
    <w:rsid w:val="003D7AFD"/>
    <w:rsid w:val="003E0505"/>
    <w:rsid w:val="003E0558"/>
    <w:rsid w:val="003E0D6F"/>
    <w:rsid w:val="003E0EF5"/>
    <w:rsid w:val="003E1270"/>
    <w:rsid w:val="003E1898"/>
    <w:rsid w:val="003E28CC"/>
    <w:rsid w:val="003E29A8"/>
    <w:rsid w:val="003E2F59"/>
    <w:rsid w:val="003E3566"/>
    <w:rsid w:val="003E3A87"/>
    <w:rsid w:val="003E4668"/>
    <w:rsid w:val="003E48DD"/>
    <w:rsid w:val="003E49F9"/>
    <w:rsid w:val="003E50D2"/>
    <w:rsid w:val="003E6581"/>
    <w:rsid w:val="003E6FA1"/>
    <w:rsid w:val="003E746B"/>
    <w:rsid w:val="003E7839"/>
    <w:rsid w:val="003E7E8D"/>
    <w:rsid w:val="003F0109"/>
    <w:rsid w:val="003F02E8"/>
    <w:rsid w:val="003F06B7"/>
    <w:rsid w:val="003F0789"/>
    <w:rsid w:val="003F08B8"/>
    <w:rsid w:val="003F0F10"/>
    <w:rsid w:val="003F189C"/>
    <w:rsid w:val="003F2859"/>
    <w:rsid w:val="003F2929"/>
    <w:rsid w:val="003F382E"/>
    <w:rsid w:val="003F3BA0"/>
    <w:rsid w:val="003F4567"/>
    <w:rsid w:val="003F469E"/>
    <w:rsid w:val="003F4833"/>
    <w:rsid w:val="003F5754"/>
    <w:rsid w:val="003F5805"/>
    <w:rsid w:val="003F58D1"/>
    <w:rsid w:val="003F5B0C"/>
    <w:rsid w:val="003F6DA2"/>
    <w:rsid w:val="003F6E9B"/>
    <w:rsid w:val="003F74CD"/>
    <w:rsid w:val="003F7930"/>
    <w:rsid w:val="00400384"/>
    <w:rsid w:val="00400E87"/>
    <w:rsid w:val="00401882"/>
    <w:rsid w:val="004026CA"/>
    <w:rsid w:val="00403723"/>
    <w:rsid w:val="00404262"/>
    <w:rsid w:val="00404683"/>
    <w:rsid w:val="0040478B"/>
    <w:rsid w:val="004054FD"/>
    <w:rsid w:val="00406B30"/>
    <w:rsid w:val="00407B45"/>
    <w:rsid w:val="00407BCF"/>
    <w:rsid w:val="00410092"/>
    <w:rsid w:val="004100C8"/>
    <w:rsid w:val="00411BEC"/>
    <w:rsid w:val="00411DBD"/>
    <w:rsid w:val="004123C9"/>
    <w:rsid w:val="004129C0"/>
    <w:rsid w:val="00412ACE"/>
    <w:rsid w:val="00412B48"/>
    <w:rsid w:val="00412C6E"/>
    <w:rsid w:val="00413029"/>
    <w:rsid w:val="00413165"/>
    <w:rsid w:val="00413DDD"/>
    <w:rsid w:val="00414126"/>
    <w:rsid w:val="004145D2"/>
    <w:rsid w:val="0041497E"/>
    <w:rsid w:val="004152E7"/>
    <w:rsid w:val="0041542B"/>
    <w:rsid w:val="00415435"/>
    <w:rsid w:val="0041662E"/>
    <w:rsid w:val="00417651"/>
    <w:rsid w:val="00420236"/>
    <w:rsid w:val="0042070C"/>
    <w:rsid w:val="00420A8F"/>
    <w:rsid w:val="00420D70"/>
    <w:rsid w:val="00420D92"/>
    <w:rsid w:val="0042154B"/>
    <w:rsid w:val="00421CB2"/>
    <w:rsid w:val="00421E87"/>
    <w:rsid w:val="00422682"/>
    <w:rsid w:val="00423002"/>
    <w:rsid w:val="00423042"/>
    <w:rsid w:val="00424349"/>
    <w:rsid w:val="0042435F"/>
    <w:rsid w:val="004247B7"/>
    <w:rsid w:val="00425128"/>
    <w:rsid w:val="00425546"/>
    <w:rsid w:val="00425783"/>
    <w:rsid w:val="004257D6"/>
    <w:rsid w:val="00425A2D"/>
    <w:rsid w:val="00425B0C"/>
    <w:rsid w:val="004262A8"/>
    <w:rsid w:val="004267BB"/>
    <w:rsid w:val="00426CB4"/>
    <w:rsid w:val="00426ECD"/>
    <w:rsid w:val="00427201"/>
    <w:rsid w:val="004279B3"/>
    <w:rsid w:val="00427DC3"/>
    <w:rsid w:val="0043013C"/>
    <w:rsid w:val="00430DB9"/>
    <w:rsid w:val="00430FFC"/>
    <w:rsid w:val="004310D0"/>
    <w:rsid w:val="00431249"/>
    <w:rsid w:val="004313BB"/>
    <w:rsid w:val="004314D9"/>
    <w:rsid w:val="00431EF1"/>
    <w:rsid w:val="004324ED"/>
    <w:rsid w:val="00432F05"/>
    <w:rsid w:val="004335E2"/>
    <w:rsid w:val="00433C4D"/>
    <w:rsid w:val="004342FB"/>
    <w:rsid w:val="00434631"/>
    <w:rsid w:val="0043476C"/>
    <w:rsid w:val="00434C19"/>
    <w:rsid w:val="00434E62"/>
    <w:rsid w:val="004350D9"/>
    <w:rsid w:val="004354BC"/>
    <w:rsid w:val="00435569"/>
    <w:rsid w:val="00435A00"/>
    <w:rsid w:val="00436707"/>
    <w:rsid w:val="00437519"/>
    <w:rsid w:val="00437A6D"/>
    <w:rsid w:val="00440279"/>
    <w:rsid w:val="00442357"/>
    <w:rsid w:val="0044236F"/>
    <w:rsid w:val="00442BDC"/>
    <w:rsid w:val="00442DFC"/>
    <w:rsid w:val="0044318D"/>
    <w:rsid w:val="0044325D"/>
    <w:rsid w:val="00443355"/>
    <w:rsid w:val="004436EC"/>
    <w:rsid w:val="00443F84"/>
    <w:rsid w:val="0044434B"/>
    <w:rsid w:val="004453C4"/>
    <w:rsid w:val="00445413"/>
    <w:rsid w:val="00445B52"/>
    <w:rsid w:val="00446070"/>
    <w:rsid w:val="004464EF"/>
    <w:rsid w:val="00446707"/>
    <w:rsid w:val="004474B1"/>
    <w:rsid w:val="0044750E"/>
    <w:rsid w:val="00450110"/>
    <w:rsid w:val="0045078D"/>
    <w:rsid w:val="00450810"/>
    <w:rsid w:val="00451D05"/>
    <w:rsid w:val="00451EFC"/>
    <w:rsid w:val="00452205"/>
    <w:rsid w:val="00452526"/>
    <w:rsid w:val="00452601"/>
    <w:rsid w:val="00452C86"/>
    <w:rsid w:val="004530F3"/>
    <w:rsid w:val="004533AC"/>
    <w:rsid w:val="0045559F"/>
    <w:rsid w:val="004559FC"/>
    <w:rsid w:val="00456012"/>
    <w:rsid w:val="004569B0"/>
    <w:rsid w:val="00456F5A"/>
    <w:rsid w:val="00457063"/>
    <w:rsid w:val="004572D2"/>
    <w:rsid w:val="00457DF6"/>
    <w:rsid w:val="00457FCB"/>
    <w:rsid w:val="00460F20"/>
    <w:rsid w:val="00461AB4"/>
    <w:rsid w:val="00462160"/>
    <w:rsid w:val="004625BB"/>
    <w:rsid w:val="004625BF"/>
    <w:rsid w:val="00462C59"/>
    <w:rsid w:val="004632B1"/>
    <w:rsid w:val="00463E1E"/>
    <w:rsid w:val="00463F89"/>
    <w:rsid w:val="004649F0"/>
    <w:rsid w:val="0046570E"/>
    <w:rsid w:val="00465735"/>
    <w:rsid w:val="00465A15"/>
    <w:rsid w:val="00465B39"/>
    <w:rsid w:val="00465CA5"/>
    <w:rsid w:val="00466480"/>
    <w:rsid w:val="004676DE"/>
    <w:rsid w:val="00470737"/>
    <w:rsid w:val="00470C8E"/>
    <w:rsid w:val="00473139"/>
    <w:rsid w:val="00473F54"/>
    <w:rsid w:val="00474890"/>
    <w:rsid w:val="00474945"/>
    <w:rsid w:val="00475105"/>
    <w:rsid w:val="00475242"/>
    <w:rsid w:val="00475BDC"/>
    <w:rsid w:val="00476A53"/>
    <w:rsid w:val="00476E9D"/>
    <w:rsid w:val="004770AF"/>
    <w:rsid w:val="00477144"/>
    <w:rsid w:val="0047784C"/>
    <w:rsid w:val="00477F2D"/>
    <w:rsid w:val="00480A11"/>
    <w:rsid w:val="00480B13"/>
    <w:rsid w:val="00480CD7"/>
    <w:rsid w:val="00480E74"/>
    <w:rsid w:val="00481079"/>
    <w:rsid w:val="00481996"/>
    <w:rsid w:val="0048201C"/>
    <w:rsid w:val="00482293"/>
    <w:rsid w:val="004822F4"/>
    <w:rsid w:val="004833CA"/>
    <w:rsid w:val="00484AF5"/>
    <w:rsid w:val="00485544"/>
    <w:rsid w:val="00485C5E"/>
    <w:rsid w:val="004867D8"/>
    <w:rsid w:val="0048768D"/>
    <w:rsid w:val="00487993"/>
    <w:rsid w:val="00487E37"/>
    <w:rsid w:val="004902FB"/>
    <w:rsid w:val="00490486"/>
    <w:rsid w:val="004906CD"/>
    <w:rsid w:val="00491380"/>
    <w:rsid w:val="0049309E"/>
    <w:rsid w:val="0049349C"/>
    <w:rsid w:val="00493BBB"/>
    <w:rsid w:val="00493DE8"/>
    <w:rsid w:val="004942C5"/>
    <w:rsid w:val="004943CD"/>
    <w:rsid w:val="0049459F"/>
    <w:rsid w:val="0049574E"/>
    <w:rsid w:val="00495EE5"/>
    <w:rsid w:val="00495F0A"/>
    <w:rsid w:val="00497095"/>
    <w:rsid w:val="00497097"/>
    <w:rsid w:val="00497BAA"/>
    <w:rsid w:val="004A0110"/>
    <w:rsid w:val="004A0EC5"/>
    <w:rsid w:val="004A11CF"/>
    <w:rsid w:val="004A17D1"/>
    <w:rsid w:val="004A1D64"/>
    <w:rsid w:val="004A2A42"/>
    <w:rsid w:val="004A2C4D"/>
    <w:rsid w:val="004A2E16"/>
    <w:rsid w:val="004A308E"/>
    <w:rsid w:val="004A38DD"/>
    <w:rsid w:val="004A40C9"/>
    <w:rsid w:val="004A4291"/>
    <w:rsid w:val="004A4E63"/>
    <w:rsid w:val="004A523F"/>
    <w:rsid w:val="004A5680"/>
    <w:rsid w:val="004A57B7"/>
    <w:rsid w:val="004A696C"/>
    <w:rsid w:val="004A6A5D"/>
    <w:rsid w:val="004A6F6B"/>
    <w:rsid w:val="004A7493"/>
    <w:rsid w:val="004A7A4F"/>
    <w:rsid w:val="004A7D49"/>
    <w:rsid w:val="004A7E32"/>
    <w:rsid w:val="004B03E6"/>
    <w:rsid w:val="004B0D08"/>
    <w:rsid w:val="004B1484"/>
    <w:rsid w:val="004B192A"/>
    <w:rsid w:val="004B2BE5"/>
    <w:rsid w:val="004B2C44"/>
    <w:rsid w:val="004B2D3F"/>
    <w:rsid w:val="004B4395"/>
    <w:rsid w:val="004B43AE"/>
    <w:rsid w:val="004B4AA0"/>
    <w:rsid w:val="004B4AC2"/>
    <w:rsid w:val="004B4C6C"/>
    <w:rsid w:val="004B4F0D"/>
    <w:rsid w:val="004B5009"/>
    <w:rsid w:val="004B5D8F"/>
    <w:rsid w:val="004B613D"/>
    <w:rsid w:val="004B6284"/>
    <w:rsid w:val="004B64EB"/>
    <w:rsid w:val="004B657C"/>
    <w:rsid w:val="004B6D39"/>
    <w:rsid w:val="004C10FD"/>
    <w:rsid w:val="004C14AF"/>
    <w:rsid w:val="004C164C"/>
    <w:rsid w:val="004C17E2"/>
    <w:rsid w:val="004C1EB6"/>
    <w:rsid w:val="004C2CEB"/>
    <w:rsid w:val="004C30ED"/>
    <w:rsid w:val="004C336B"/>
    <w:rsid w:val="004C3E5B"/>
    <w:rsid w:val="004C45ED"/>
    <w:rsid w:val="004C4895"/>
    <w:rsid w:val="004C623B"/>
    <w:rsid w:val="004C6967"/>
    <w:rsid w:val="004D0000"/>
    <w:rsid w:val="004D0214"/>
    <w:rsid w:val="004D0B47"/>
    <w:rsid w:val="004D0DE3"/>
    <w:rsid w:val="004D1435"/>
    <w:rsid w:val="004D1863"/>
    <w:rsid w:val="004D1B37"/>
    <w:rsid w:val="004D4047"/>
    <w:rsid w:val="004D46A1"/>
    <w:rsid w:val="004D47F4"/>
    <w:rsid w:val="004D4812"/>
    <w:rsid w:val="004D48A7"/>
    <w:rsid w:val="004D5675"/>
    <w:rsid w:val="004D58C5"/>
    <w:rsid w:val="004D5928"/>
    <w:rsid w:val="004D59DB"/>
    <w:rsid w:val="004D7742"/>
    <w:rsid w:val="004D7976"/>
    <w:rsid w:val="004D7B10"/>
    <w:rsid w:val="004E01D7"/>
    <w:rsid w:val="004E0225"/>
    <w:rsid w:val="004E0436"/>
    <w:rsid w:val="004E0E26"/>
    <w:rsid w:val="004E1415"/>
    <w:rsid w:val="004E1871"/>
    <w:rsid w:val="004E2565"/>
    <w:rsid w:val="004E2E06"/>
    <w:rsid w:val="004E2E11"/>
    <w:rsid w:val="004E3B92"/>
    <w:rsid w:val="004E3C1B"/>
    <w:rsid w:val="004E4253"/>
    <w:rsid w:val="004E43A4"/>
    <w:rsid w:val="004E5097"/>
    <w:rsid w:val="004E62FD"/>
    <w:rsid w:val="004E7718"/>
    <w:rsid w:val="004E7B91"/>
    <w:rsid w:val="004F00C2"/>
    <w:rsid w:val="004F0FCC"/>
    <w:rsid w:val="004F128A"/>
    <w:rsid w:val="004F1866"/>
    <w:rsid w:val="004F1978"/>
    <w:rsid w:val="004F19A4"/>
    <w:rsid w:val="004F1F19"/>
    <w:rsid w:val="004F21F0"/>
    <w:rsid w:val="004F3A86"/>
    <w:rsid w:val="004F580B"/>
    <w:rsid w:val="004F6834"/>
    <w:rsid w:val="004F70AB"/>
    <w:rsid w:val="004F7CDC"/>
    <w:rsid w:val="00500902"/>
    <w:rsid w:val="00500951"/>
    <w:rsid w:val="00500BDD"/>
    <w:rsid w:val="00501588"/>
    <w:rsid w:val="0050195A"/>
    <w:rsid w:val="0050195E"/>
    <w:rsid w:val="005023F0"/>
    <w:rsid w:val="00502DC2"/>
    <w:rsid w:val="00503B30"/>
    <w:rsid w:val="00504A3A"/>
    <w:rsid w:val="005050D3"/>
    <w:rsid w:val="005061A2"/>
    <w:rsid w:val="005074A4"/>
    <w:rsid w:val="005075A1"/>
    <w:rsid w:val="00507631"/>
    <w:rsid w:val="005078B5"/>
    <w:rsid w:val="00510D8C"/>
    <w:rsid w:val="0051199A"/>
    <w:rsid w:val="00511D8D"/>
    <w:rsid w:val="00512BAB"/>
    <w:rsid w:val="00512CFC"/>
    <w:rsid w:val="00512D76"/>
    <w:rsid w:val="00512FC5"/>
    <w:rsid w:val="0051306E"/>
    <w:rsid w:val="0051426B"/>
    <w:rsid w:val="00514540"/>
    <w:rsid w:val="0051466B"/>
    <w:rsid w:val="00515453"/>
    <w:rsid w:val="00515D65"/>
    <w:rsid w:val="005166A3"/>
    <w:rsid w:val="005166C9"/>
    <w:rsid w:val="00516B0E"/>
    <w:rsid w:val="00517223"/>
    <w:rsid w:val="00517795"/>
    <w:rsid w:val="00520063"/>
    <w:rsid w:val="00520D2B"/>
    <w:rsid w:val="00520E40"/>
    <w:rsid w:val="005219AB"/>
    <w:rsid w:val="005226AB"/>
    <w:rsid w:val="00522A29"/>
    <w:rsid w:val="00523639"/>
    <w:rsid w:val="00524115"/>
    <w:rsid w:val="0052484A"/>
    <w:rsid w:val="00524C86"/>
    <w:rsid w:val="0052560D"/>
    <w:rsid w:val="005256F5"/>
    <w:rsid w:val="005257A8"/>
    <w:rsid w:val="00525AC7"/>
    <w:rsid w:val="00525B38"/>
    <w:rsid w:val="00525C62"/>
    <w:rsid w:val="00525DEC"/>
    <w:rsid w:val="00526391"/>
    <w:rsid w:val="005275AF"/>
    <w:rsid w:val="00527F8E"/>
    <w:rsid w:val="00530323"/>
    <w:rsid w:val="0053192D"/>
    <w:rsid w:val="00531C38"/>
    <w:rsid w:val="00531DAA"/>
    <w:rsid w:val="00531FE5"/>
    <w:rsid w:val="00532E76"/>
    <w:rsid w:val="00534E1A"/>
    <w:rsid w:val="00534E29"/>
    <w:rsid w:val="00534EB4"/>
    <w:rsid w:val="00535C34"/>
    <w:rsid w:val="00535E85"/>
    <w:rsid w:val="005364B8"/>
    <w:rsid w:val="00536FD3"/>
    <w:rsid w:val="00537F4B"/>
    <w:rsid w:val="00540098"/>
    <w:rsid w:val="005402FA"/>
    <w:rsid w:val="00540D9B"/>
    <w:rsid w:val="0054138E"/>
    <w:rsid w:val="00541461"/>
    <w:rsid w:val="00541703"/>
    <w:rsid w:val="00541795"/>
    <w:rsid w:val="00541E1A"/>
    <w:rsid w:val="005425E5"/>
    <w:rsid w:val="0054287F"/>
    <w:rsid w:val="00542C59"/>
    <w:rsid w:val="00542F50"/>
    <w:rsid w:val="0054378F"/>
    <w:rsid w:val="005459D7"/>
    <w:rsid w:val="00545ABD"/>
    <w:rsid w:val="00545BA6"/>
    <w:rsid w:val="0054636A"/>
    <w:rsid w:val="005471C5"/>
    <w:rsid w:val="00547BBE"/>
    <w:rsid w:val="00547CAA"/>
    <w:rsid w:val="00550200"/>
    <w:rsid w:val="0055049F"/>
    <w:rsid w:val="005504A7"/>
    <w:rsid w:val="00550886"/>
    <w:rsid w:val="00550D33"/>
    <w:rsid w:val="00553803"/>
    <w:rsid w:val="00553841"/>
    <w:rsid w:val="0055448D"/>
    <w:rsid w:val="005544EB"/>
    <w:rsid w:val="005548D8"/>
    <w:rsid w:val="005548DD"/>
    <w:rsid w:val="00554A65"/>
    <w:rsid w:val="00554E0D"/>
    <w:rsid w:val="00555079"/>
    <w:rsid w:val="0055510A"/>
    <w:rsid w:val="00556474"/>
    <w:rsid w:val="00556A33"/>
    <w:rsid w:val="00557108"/>
    <w:rsid w:val="005578DE"/>
    <w:rsid w:val="00557FBA"/>
    <w:rsid w:val="00560857"/>
    <w:rsid w:val="00560A82"/>
    <w:rsid w:val="00561A2D"/>
    <w:rsid w:val="005625A2"/>
    <w:rsid w:val="005629D8"/>
    <w:rsid w:val="0056324C"/>
    <w:rsid w:val="005632DE"/>
    <w:rsid w:val="00563BF1"/>
    <w:rsid w:val="00563CBE"/>
    <w:rsid w:val="0056428B"/>
    <w:rsid w:val="0056430A"/>
    <w:rsid w:val="005661A6"/>
    <w:rsid w:val="00566D8C"/>
    <w:rsid w:val="00567B93"/>
    <w:rsid w:val="005703F0"/>
    <w:rsid w:val="005708D2"/>
    <w:rsid w:val="00571138"/>
    <w:rsid w:val="00571727"/>
    <w:rsid w:val="00572964"/>
    <w:rsid w:val="005729BD"/>
    <w:rsid w:val="0057311D"/>
    <w:rsid w:val="00573437"/>
    <w:rsid w:val="00573AEE"/>
    <w:rsid w:val="00573BE3"/>
    <w:rsid w:val="0057406E"/>
    <w:rsid w:val="005748B3"/>
    <w:rsid w:val="00574BAA"/>
    <w:rsid w:val="00574CB5"/>
    <w:rsid w:val="00575B0D"/>
    <w:rsid w:val="00576346"/>
    <w:rsid w:val="00576FE1"/>
    <w:rsid w:val="00577230"/>
    <w:rsid w:val="00580154"/>
    <w:rsid w:val="00580EC8"/>
    <w:rsid w:val="005812B2"/>
    <w:rsid w:val="0058325F"/>
    <w:rsid w:val="00583B0E"/>
    <w:rsid w:val="00583C0D"/>
    <w:rsid w:val="00583C39"/>
    <w:rsid w:val="0058447E"/>
    <w:rsid w:val="005845DB"/>
    <w:rsid w:val="00584FF1"/>
    <w:rsid w:val="00586A90"/>
    <w:rsid w:val="00586B41"/>
    <w:rsid w:val="00587F28"/>
    <w:rsid w:val="005909CF"/>
    <w:rsid w:val="0059126A"/>
    <w:rsid w:val="00591498"/>
    <w:rsid w:val="00591E71"/>
    <w:rsid w:val="00591EEF"/>
    <w:rsid w:val="00591FDF"/>
    <w:rsid w:val="00592169"/>
    <w:rsid w:val="0059265C"/>
    <w:rsid w:val="005929D4"/>
    <w:rsid w:val="00592E51"/>
    <w:rsid w:val="00594987"/>
    <w:rsid w:val="00594A81"/>
    <w:rsid w:val="00594D20"/>
    <w:rsid w:val="00594F40"/>
    <w:rsid w:val="0059537F"/>
    <w:rsid w:val="00597097"/>
    <w:rsid w:val="00597170"/>
    <w:rsid w:val="005A057A"/>
    <w:rsid w:val="005A0D41"/>
    <w:rsid w:val="005A0E8D"/>
    <w:rsid w:val="005A106E"/>
    <w:rsid w:val="005A13A0"/>
    <w:rsid w:val="005A14B0"/>
    <w:rsid w:val="005A1CAD"/>
    <w:rsid w:val="005A21B8"/>
    <w:rsid w:val="005A2465"/>
    <w:rsid w:val="005A252F"/>
    <w:rsid w:val="005A273E"/>
    <w:rsid w:val="005A2C02"/>
    <w:rsid w:val="005A3378"/>
    <w:rsid w:val="005A4066"/>
    <w:rsid w:val="005A4772"/>
    <w:rsid w:val="005A595F"/>
    <w:rsid w:val="005A68CA"/>
    <w:rsid w:val="005A6CCA"/>
    <w:rsid w:val="005A771A"/>
    <w:rsid w:val="005A78C6"/>
    <w:rsid w:val="005A7D81"/>
    <w:rsid w:val="005B0420"/>
    <w:rsid w:val="005B14BD"/>
    <w:rsid w:val="005B26AF"/>
    <w:rsid w:val="005B3EB2"/>
    <w:rsid w:val="005B41B8"/>
    <w:rsid w:val="005B45A6"/>
    <w:rsid w:val="005B58DB"/>
    <w:rsid w:val="005B5B9E"/>
    <w:rsid w:val="005B61FD"/>
    <w:rsid w:val="005B6EDB"/>
    <w:rsid w:val="005B7188"/>
    <w:rsid w:val="005B79EB"/>
    <w:rsid w:val="005B7E7E"/>
    <w:rsid w:val="005B7F22"/>
    <w:rsid w:val="005C005B"/>
    <w:rsid w:val="005C0291"/>
    <w:rsid w:val="005C0C10"/>
    <w:rsid w:val="005C1936"/>
    <w:rsid w:val="005C1C60"/>
    <w:rsid w:val="005C1F54"/>
    <w:rsid w:val="005C25B7"/>
    <w:rsid w:val="005C26E1"/>
    <w:rsid w:val="005C40BA"/>
    <w:rsid w:val="005C4E99"/>
    <w:rsid w:val="005C6BAF"/>
    <w:rsid w:val="005C7C24"/>
    <w:rsid w:val="005D1070"/>
    <w:rsid w:val="005D10C8"/>
    <w:rsid w:val="005D127D"/>
    <w:rsid w:val="005D16B4"/>
    <w:rsid w:val="005D1970"/>
    <w:rsid w:val="005D1B41"/>
    <w:rsid w:val="005D1E9F"/>
    <w:rsid w:val="005D2942"/>
    <w:rsid w:val="005D296C"/>
    <w:rsid w:val="005D2AC1"/>
    <w:rsid w:val="005D2FB8"/>
    <w:rsid w:val="005D329F"/>
    <w:rsid w:val="005D351E"/>
    <w:rsid w:val="005D3DD4"/>
    <w:rsid w:val="005D4E0A"/>
    <w:rsid w:val="005D4FF5"/>
    <w:rsid w:val="005D52AE"/>
    <w:rsid w:val="005D6038"/>
    <w:rsid w:val="005D67C3"/>
    <w:rsid w:val="005D72CA"/>
    <w:rsid w:val="005D76E8"/>
    <w:rsid w:val="005D7831"/>
    <w:rsid w:val="005D7C76"/>
    <w:rsid w:val="005D7DDB"/>
    <w:rsid w:val="005D7DFC"/>
    <w:rsid w:val="005E04DD"/>
    <w:rsid w:val="005E0E2B"/>
    <w:rsid w:val="005E138E"/>
    <w:rsid w:val="005E1650"/>
    <w:rsid w:val="005E1660"/>
    <w:rsid w:val="005E1DB0"/>
    <w:rsid w:val="005E22CA"/>
    <w:rsid w:val="005E2C70"/>
    <w:rsid w:val="005E32D8"/>
    <w:rsid w:val="005E514E"/>
    <w:rsid w:val="005E5739"/>
    <w:rsid w:val="005E5B7D"/>
    <w:rsid w:val="005E67B8"/>
    <w:rsid w:val="005E73ED"/>
    <w:rsid w:val="005E767A"/>
    <w:rsid w:val="005E7827"/>
    <w:rsid w:val="005F0BCA"/>
    <w:rsid w:val="005F0CC2"/>
    <w:rsid w:val="005F20AF"/>
    <w:rsid w:val="005F3B52"/>
    <w:rsid w:val="005F3D78"/>
    <w:rsid w:val="005F48ED"/>
    <w:rsid w:val="005F4A74"/>
    <w:rsid w:val="005F5E73"/>
    <w:rsid w:val="005F5F05"/>
    <w:rsid w:val="005F75B1"/>
    <w:rsid w:val="00603027"/>
    <w:rsid w:val="00603C9A"/>
    <w:rsid w:val="00603DF7"/>
    <w:rsid w:val="0060424E"/>
    <w:rsid w:val="00604A10"/>
    <w:rsid w:val="00604CD0"/>
    <w:rsid w:val="0060574B"/>
    <w:rsid w:val="00606939"/>
    <w:rsid w:val="00606D4A"/>
    <w:rsid w:val="00606E78"/>
    <w:rsid w:val="00607BF1"/>
    <w:rsid w:val="00607E80"/>
    <w:rsid w:val="00610BEF"/>
    <w:rsid w:val="00610EA3"/>
    <w:rsid w:val="00610FD4"/>
    <w:rsid w:val="00612D46"/>
    <w:rsid w:val="0061410A"/>
    <w:rsid w:val="006144B7"/>
    <w:rsid w:val="00614697"/>
    <w:rsid w:val="00614EFE"/>
    <w:rsid w:val="00614F5A"/>
    <w:rsid w:val="006150D9"/>
    <w:rsid w:val="006156CC"/>
    <w:rsid w:val="00616F53"/>
    <w:rsid w:val="0061751F"/>
    <w:rsid w:val="0061756F"/>
    <w:rsid w:val="00617AC6"/>
    <w:rsid w:val="00617BBD"/>
    <w:rsid w:val="006209EF"/>
    <w:rsid w:val="00621001"/>
    <w:rsid w:val="00621367"/>
    <w:rsid w:val="00621400"/>
    <w:rsid w:val="00621471"/>
    <w:rsid w:val="00621D6F"/>
    <w:rsid w:val="006224CA"/>
    <w:rsid w:val="00622E98"/>
    <w:rsid w:val="006247AD"/>
    <w:rsid w:val="006247E1"/>
    <w:rsid w:val="00624D88"/>
    <w:rsid w:val="006252AA"/>
    <w:rsid w:val="00625CEE"/>
    <w:rsid w:val="00626320"/>
    <w:rsid w:val="00626615"/>
    <w:rsid w:val="00627141"/>
    <w:rsid w:val="006273C5"/>
    <w:rsid w:val="006279ED"/>
    <w:rsid w:val="00627D36"/>
    <w:rsid w:val="00627DD7"/>
    <w:rsid w:val="00627E82"/>
    <w:rsid w:val="00630D4D"/>
    <w:rsid w:val="00631188"/>
    <w:rsid w:val="0063136E"/>
    <w:rsid w:val="00631C93"/>
    <w:rsid w:val="00632A74"/>
    <w:rsid w:val="00632D0D"/>
    <w:rsid w:val="006330DE"/>
    <w:rsid w:val="00633DF8"/>
    <w:rsid w:val="00634228"/>
    <w:rsid w:val="00634F40"/>
    <w:rsid w:val="006352F5"/>
    <w:rsid w:val="0063647C"/>
    <w:rsid w:val="00637374"/>
    <w:rsid w:val="00637AA7"/>
    <w:rsid w:val="00637EEA"/>
    <w:rsid w:val="00640D5D"/>
    <w:rsid w:val="00641C71"/>
    <w:rsid w:val="006420C3"/>
    <w:rsid w:val="00642996"/>
    <w:rsid w:val="0064413C"/>
    <w:rsid w:val="00644689"/>
    <w:rsid w:val="0064471C"/>
    <w:rsid w:val="00644A03"/>
    <w:rsid w:val="00645195"/>
    <w:rsid w:val="0064617D"/>
    <w:rsid w:val="006464A4"/>
    <w:rsid w:val="006464C9"/>
    <w:rsid w:val="0064667B"/>
    <w:rsid w:val="006467D8"/>
    <w:rsid w:val="0064682C"/>
    <w:rsid w:val="00647653"/>
    <w:rsid w:val="0064784A"/>
    <w:rsid w:val="00647F3A"/>
    <w:rsid w:val="00651E4E"/>
    <w:rsid w:val="006521D7"/>
    <w:rsid w:val="00652CE0"/>
    <w:rsid w:val="00653232"/>
    <w:rsid w:val="00653AE6"/>
    <w:rsid w:val="00653F0C"/>
    <w:rsid w:val="006547C0"/>
    <w:rsid w:val="00654B40"/>
    <w:rsid w:val="00654D42"/>
    <w:rsid w:val="00654EAA"/>
    <w:rsid w:val="00655B50"/>
    <w:rsid w:val="00655FF4"/>
    <w:rsid w:val="00656B96"/>
    <w:rsid w:val="00657C12"/>
    <w:rsid w:val="00657CF7"/>
    <w:rsid w:val="00660004"/>
    <w:rsid w:val="00660953"/>
    <w:rsid w:val="00660AAC"/>
    <w:rsid w:val="00660AC7"/>
    <w:rsid w:val="006613C3"/>
    <w:rsid w:val="006614BA"/>
    <w:rsid w:val="006622BB"/>
    <w:rsid w:val="00662819"/>
    <w:rsid w:val="00662C6F"/>
    <w:rsid w:val="00662CC2"/>
    <w:rsid w:val="00663EEB"/>
    <w:rsid w:val="006654D1"/>
    <w:rsid w:val="0066559F"/>
    <w:rsid w:val="0066587B"/>
    <w:rsid w:val="00665BC1"/>
    <w:rsid w:val="00665F30"/>
    <w:rsid w:val="006666C0"/>
    <w:rsid w:val="00666E02"/>
    <w:rsid w:val="00667AA4"/>
    <w:rsid w:val="006702CC"/>
    <w:rsid w:val="00671E98"/>
    <w:rsid w:val="00672D37"/>
    <w:rsid w:val="006731D7"/>
    <w:rsid w:val="00673782"/>
    <w:rsid w:val="0067573A"/>
    <w:rsid w:val="006757EC"/>
    <w:rsid w:val="006765A5"/>
    <w:rsid w:val="00677184"/>
    <w:rsid w:val="0067744E"/>
    <w:rsid w:val="00677804"/>
    <w:rsid w:val="00680DB4"/>
    <w:rsid w:val="00680F02"/>
    <w:rsid w:val="0068132B"/>
    <w:rsid w:val="00681409"/>
    <w:rsid w:val="00681E92"/>
    <w:rsid w:val="00682202"/>
    <w:rsid w:val="0068280B"/>
    <w:rsid w:val="00683037"/>
    <w:rsid w:val="006841F4"/>
    <w:rsid w:val="006857F5"/>
    <w:rsid w:val="0068640F"/>
    <w:rsid w:val="006867B4"/>
    <w:rsid w:val="00686828"/>
    <w:rsid w:val="00686E0A"/>
    <w:rsid w:val="00687063"/>
    <w:rsid w:val="0068707E"/>
    <w:rsid w:val="00687ECA"/>
    <w:rsid w:val="006904BB"/>
    <w:rsid w:val="006914BF"/>
    <w:rsid w:val="0069184F"/>
    <w:rsid w:val="006920D7"/>
    <w:rsid w:val="0069321B"/>
    <w:rsid w:val="006934A8"/>
    <w:rsid w:val="006946E2"/>
    <w:rsid w:val="00694F48"/>
    <w:rsid w:val="006955A5"/>
    <w:rsid w:val="00695CD1"/>
    <w:rsid w:val="00695FCC"/>
    <w:rsid w:val="006961EA"/>
    <w:rsid w:val="00696965"/>
    <w:rsid w:val="00696DB8"/>
    <w:rsid w:val="006A054B"/>
    <w:rsid w:val="006A06FE"/>
    <w:rsid w:val="006A0976"/>
    <w:rsid w:val="006A0EB3"/>
    <w:rsid w:val="006A0F86"/>
    <w:rsid w:val="006A17F2"/>
    <w:rsid w:val="006A23D4"/>
    <w:rsid w:val="006A23DC"/>
    <w:rsid w:val="006A2EF6"/>
    <w:rsid w:val="006A41B2"/>
    <w:rsid w:val="006A4655"/>
    <w:rsid w:val="006A4FF9"/>
    <w:rsid w:val="006A55FE"/>
    <w:rsid w:val="006A5939"/>
    <w:rsid w:val="006A5A1B"/>
    <w:rsid w:val="006A636D"/>
    <w:rsid w:val="006A7758"/>
    <w:rsid w:val="006A7A3E"/>
    <w:rsid w:val="006B0956"/>
    <w:rsid w:val="006B0BAC"/>
    <w:rsid w:val="006B21D4"/>
    <w:rsid w:val="006B246A"/>
    <w:rsid w:val="006B2705"/>
    <w:rsid w:val="006B2904"/>
    <w:rsid w:val="006B2B3C"/>
    <w:rsid w:val="006B30CB"/>
    <w:rsid w:val="006B5753"/>
    <w:rsid w:val="006B59FE"/>
    <w:rsid w:val="006B5C29"/>
    <w:rsid w:val="006B5C3B"/>
    <w:rsid w:val="006B75F9"/>
    <w:rsid w:val="006C000B"/>
    <w:rsid w:val="006C0456"/>
    <w:rsid w:val="006C0C48"/>
    <w:rsid w:val="006C15AC"/>
    <w:rsid w:val="006C1D81"/>
    <w:rsid w:val="006C2912"/>
    <w:rsid w:val="006C29F8"/>
    <w:rsid w:val="006C2F8E"/>
    <w:rsid w:val="006C3670"/>
    <w:rsid w:val="006C3FD0"/>
    <w:rsid w:val="006C4469"/>
    <w:rsid w:val="006C4657"/>
    <w:rsid w:val="006C4A2B"/>
    <w:rsid w:val="006C4E35"/>
    <w:rsid w:val="006C5728"/>
    <w:rsid w:val="006C5D6D"/>
    <w:rsid w:val="006C6809"/>
    <w:rsid w:val="006C6888"/>
    <w:rsid w:val="006C6971"/>
    <w:rsid w:val="006C7038"/>
    <w:rsid w:val="006C74B4"/>
    <w:rsid w:val="006C7C9D"/>
    <w:rsid w:val="006D1154"/>
    <w:rsid w:val="006D14B5"/>
    <w:rsid w:val="006D25D1"/>
    <w:rsid w:val="006D2661"/>
    <w:rsid w:val="006D3537"/>
    <w:rsid w:val="006D41B5"/>
    <w:rsid w:val="006D46AD"/>
    <w:rsid w:val="006D4851"/>
    <w:rsid w:val="006D4A57"/>
    <w:rsid w:val="006D574A"/>
    <w:rsid w:val="006D588D"/>
    <w:rsid w:val="006D58C7"/>
    <w:rsid w:val="006D6038"/>
    <w:rsid w:val="006D7032"/>
    <w:rsid w:val="006D7308"/>
    <w:rsid w:val="006D767D"/>
    <w:rsid w:val="006E00C2"/>
    <w:rsid w:val="006E14C3"/>
    <w:rsid w:val="006E16C2"/>
    <w:rsid w:val="006E1DB1"/>
    <w:rsid w:val="006E26D5"/>
    <w:rsid w:val="006E3BA5"/>
    <w:rsid w:val="006E3C2C"/>
    <w:rsid w:val="006E3EE2"/>
    <w:rsid w:val="006E41CC"/>
    <w:rsid w:val="006E4EE6"/>
    <w:rsid w:val="006E6DB5"/>
    <w:rsid w:val="006E7012"/>
    <w:rsid w:val="006E73EF"/>
    <w:rsid w:val="006F0ABF"/>
    <w:rsid w:val="006F0AE1"/>
    <w:rsid w:val="006F0C56"/>
    <w:rsid w:val="006F1133"/>
    <w:rsid w:val="006F2CE0"/>
    <w:rsid w:val="006F306B"/>
    <w:rsid w:val="006F390A"/>
    <w:rsid w:val="006F40F7"/>
    <w:rsid w:val="006F691C"/>
    <w:rsid w:val="006F6CDA"/>
    <w:rsid w:val="006F7BFF"/>
    <w:rsid w:val="007001E4"/>
    <w:rsid w:val="00700946"/>
    <w:rsid w:val="00701542"/>
    <w:rsid w:val="007017CF"/>
    <w:rsid w:val="00701812"/>
    <w:rsid w:val="00701F69"/>
    <w:rsid w:val="007027B6"/>
    <w:rsid w:val="00703687"/>
    <w:rsid w:val="007042C1"/>
    <w:rsid w:val="007045AE"/>
    <w:rsid w:val="00704BBF"/>
    <w:rsid w:val="00704D68"/>
    <w:rsid w:val="007055EE"/>
    <w:rsid w:val="00705EAE"/>
    <w:rsid w:val="00706B7F"/>
    <w:rsid w:val="007079C9"/>
    <w:rsid w:val="00707C5F"/>
    <w:rsid w:val="00711900"/>
    <w:rsid w:val="007123CC"/>
    <w:rsid w:val="0071282A"/>
    <w:rsid w:val="00712905"/>
    <w:rsid w:val="00712910"/>
    <w:rsid w:val="00713027"/>
    <w:rsid w:val="00713239"/>
    <w:rsid w:val="00713437"/>
    <w:rsid w:val="0071345E"/>
    <w:rsid w:val="007136F3"/>
    <w:rsid w:val="007144B0"/>
    <w:rsid w:val="00714D4D"/>
    <w:rsid w:val="007150C1"/>
    <w:rsid w:val="007153B3"/>
    <w:rsid w:val="00716852"/>
    <w:rsid w:val="00716F63"/>
    <w:rsid w:val="00717607"/>
    <w:rsid w:val="007202AE"/>
    <w:rsid w:val="00720E13"/>
    <w:rsid w:val="007216A4"/>
    <w:rsid w:val="007216A8"/>
    <w:rsid w:val="00722761"/>
    <w:rsid w:val="007227C5"/>
    <w:rsid w:val="00722A0E"/>
    <w:rsid w:val="00722AED"/>
    <w:rsid w:val="00723DE8"/>
    <w:rsid w:val="0072418B"/>
    <w:rsid w:val="0072460E"/>
    <w:rsid w:val="00724815"/>
    <w:rsid w:val="00725ABF"/>
    <w:rsid w:val="0072625C"/>
    <w:rsid w:val="00726346"/>
    <w:rsid w:val="00726615"/>
    <w:rsid w:val="007266D3"/>
    <w:rsid w:val="007267F5"/>
    <w:rsid w:val="00726CA8"/>
    <w:rsid w:val="00731B19"/>
    <w:rsid w:val="00731C20"/>
    <w:rsid w:val="00731CC9"/>
    <w:rsid w:val="00732029"/>
    <w:rsid w:val="0073205B"/>
    <w:rsid w:val="0073349F"/>
    <w:rsid w:val="007338BB"/>
    <w:rsid w:val="00733C07"/>
    <w:rsid w:val="00733D78"/>
    <w:rsid w:val="00733DA7"/>
    <w:rsid w:val="00734428"/>
    <w:rsid w:val="00734764"/>
    <w:rsid w:val="00735163"/>
    <w:rsid w:val="007355F3"/>
    <w:rsid w:val="00735719"/>
    <w:rsid w:val="0073630A"/>
    <w:rsid w:val="007367E9"/>
    <w:rsid w:val="00736EF0"/>
    <w:rsid w:val="0073702A"/>
    <w:rsid w:val="0073762D"/>
    <w:rsid w:val="00737E91"/>
    <w:rsid w:val="00740107"/>
    <w:rsid w:val="0074092D"/>
    <w:rsid w:val="00741927"/>
    <w:rsid w:val="00741A7B"/>
    <w:rsid w:val="00741B8E"/>
    <w:rsid w:val="00741BCB"/>
    <w:rsid w:val="007423E0"/>
    <w:rsid w:val="0074261E"/>
    <w:rsid w:val="00742859"/>
    <w:rsid w:val="00743990"/>
    <w:rsid w:val="0074436A"/>
    <w:rsid w:val="007444A5"/>
    <w:rsid w:val="0074471D"/>
    <w:rsid w:val="00744AB6"/>
    <w:rsid w:val="007454FB"/>
    <w:rsid w:val="00745772"/>
    <w:rsid w:val="007459C6"/>
    <w:rsid w:val="0074606E"/>
    <w:rsid w:val="00746655"/>
    <w:rsid w:val="00746F0F"/>
    <w:rsid w:val="007475BE"/>
    <w:rsid w:val="007478E1"/>
    <w:rsid w:val="00747CFB"/>
    <w:rsid w:val="00750296"/>
    <w:rsid w:val="007503EF"/>
    <w:rsid w:val="007504D7"/>
    <w:rsid w:val="007508B4"/>
    <w:rsid w:val="00751395"/>
    <w:rsid w:val="00751CE8"/>
    <w:rsid w:val="007523B3"/>
    <w:rsid w:val="00753088"/>
    <w:rsid w:val="00753712"/>
    <w:rsid w:val="00754D0C"/>
    <w:rsid w:val="00755BE7"/>
    <w:rsid w:val="00755FBA"/>
    <w:rsid w:val="00756362"/>
    <w:rsid w:val="00756845"/>
    <w:rsid w:val="007573BD"/>
    <w:rsid w:val="00757B13"/>
    <w:rsid w:val="00757B73"/>
    <w:rsid w:val="00757ED0"/>
    <w:rsid w:val="00760340"/>
    <w:rsid w:val="007604BB"/>
    <w:rsid w:val="00760C58"/>
    <w:rsid w:val="00760D7F"/>
    <w:rsid w:val="00760ED1"/>
    <w:rsid w:val="00761E39"/>
    <w:rsid w:val="0076277F"/>
    <w:rsid w:val="007632A8"/>
    <w:rsid w:val="00764098"/>
    <w:rsid w:val="00764AAE"/>
    <w:rsid w:val="00765E32"/>
    <w:rsid w:val="0076653D"/>
    <w:rsid w:val="00767490"/>
    <w:rsid w:val="00772649"/>
    <w:rsid w:val="00772909"/>
    <w:rsid w:val="00774AFD"/>
    <w:rsid w:val="007757B1"/>
    <w:rsid w:val="00775C90"/>
    <w:rsid w:val="00775D18"/>
    <w:rsid w:val="00775EF6"/>
    <w:rsid w:val="0077703C"/>
    <w:rsid w:val="0077739C"/>
    <w:rsid w:val="007801F8"/>
    <w:rsid w:val="00780D08"/>
    <w:rsid w:val="00780EED"/>
    <w:rsid w:val="00781761"/>
    <w:rsid w:val="0078270A"/>
    <w:rsid w:val="007827F3"/>
    <w:rsid w:val="00784982"/>
    <w:rsid w:val="00785232"/>
    <w:rsid w:val="0078580F"/>
    <w:rsid w:val="00785891"/>
    <w:rsid w:val="00785D84"/>
    <w:rsid w:val="00786195"/>
    <w:rsid w:val="007872E3"/>
    <w:rsid w:val="0078749C"/>
    <w:rsid w:val="00787A66"/>
    <w:rsid w:val="00787BC0"/>
    <w:rsid w:val="00787E47"/>
    <w:rsid w:val="00790950"/>
    <w:rsid w:val="00790BF1"/>
    <w:rsid w:val="0079104F"/>
    <w:rsid w:val="00791951"/>
    <w:rsid w:val="0079202D"/>
    <w:rsid w:val="00792D2D"/>
    <w:rsid w:val="00793ECF"/>
    <w:rsid w:val="00793EFC"/>
    <w:rsid w:val="0079472D"/>
    <w:rsid w:val="00794D58"/>
    <w:rsid w:val="007950B1"/>
    <w:rsid w:val="00796458"/>
    <w:rsid w:val="0079701E"/>
    <w:rsid w:val="0079713E"/>
    <w:rsid w:val="007A01D5"/>
    <w:rsid w:val="007A0417"/>
    <w:rsid w:val="007A2030"/>
    <w:rsid w:val="007A21EB"/>
    <w:rsid w:val="007A23E5"/>
    <w:rsid w:val="007A2D70"/>
    <w:rsid w:val="007A36C4"/>
    <w:rsid w:val="007A5AAB"/>
    <w:rsid w:val="007A5C20"/>
    <w:rsid w:val="007A77E8"/>
    <w:rsid w:val="007A7D25"/>
    <w:rsid w:val="007B0C14"/>
    <w:rsid w:val="007B1207"/>
    <w:rsid w:val="007B13B5"/>
    <w:rsid w:val="007B1410"/>
    <w:rsid w:val="007B16E2"/>
    <w:rsid w:val="007B1A93"/>
    <w:rsid w:val="007B1BB2"/>
    <w:rsid w:val="007B22DE"/>
    <w:rsid w:val="007B2547"/>
    <w:rsid w:val="007B26D4"/>
    <w:rsid w:val="007B29A1"/>
    <w:rsid w:val="007B3089"/>
    <w:rsid w:val="007B3A46"/>
    <w:rsid w:val="007B3BA5"/>
    <w:rsid w:val="007B42F0"/>
    <w:rsid w:val="007B5793"/>
    <w:rsid w:val="007B5E65"/>
    <w:rsid w:val="007B684E"/>
    <w:rsid w:val="007C0DD5"/>
    <w:rsid w:val="007C10FF"/>
    <w:rsid w:val="007C1302"/>
    <w:rsid w:val="007C2091"/>
    <w:rsid w:val="007C2823"/>
    <w:rsid w:val="007C36C9"/>
    <w:rsid w:val="007C3DD8"/>
    <w:rsid w:val="007C4937"/>
    <w:rsid w:val="007C518F"/>
    <w:rsid w:val="007C59F8"/>
    <w:rsid w:val="007C5FBE"/>
    <w:rsid w:val="007C60C8"/>
    <w:rsid w:val="007C695A"/>
    <w:rsid w:val="007C74D1"/>
    <w:rsid w:val="007C7694"/>
    <w:rsid w:val="007D0E85"/>
    <w:rsid w:val="007D1205"/>
    <w:rsid w:val="007D14DE"/>
    <w:rsid w:val="007D255C"/>
    <w:rsid w:val="007D2EB5"/>
    <w:rsid w:val="007D3229"/>
    <w:rsid w:val="007D33E2"/>
    <w:rsid w:val="007D451F"/>
    <w:rsid w:val="007D4C0A"/>
    <w:rsid w:val="007D4F73"/>
    <w:rsid w:val="007D501D"/>
    <w:rsid w:val="007D52C0"/>
    <w:rsid w:val="007D564F"/>
    <w:rsid w:val="007D59F4"/>
    <w:rsid w:val="007D5ADE"/>
    <w:rsid w:val="007D5C63"/>
    <w:rsid w:val="007D62E4"/>
    <w:rsid w:val="007D6401"/>
    <w:rsid w:val="007D67E7"/>
    <w:rsid w:val="007D6801"/>
    <w:rsid w:val="007D6857"/>
    <w:rsid w:val="007D6FA7"/>
    <w:rsid w:val="007D78A1"/>
    <w:rsid w:val="007E01E4"/>
    <w:rsid w:val="007E0AD8"/>
    <w:rsid w:val="007E0BCC"/>
    <w:rsid w:val="007E0CCA"/>
    <w:rsid w:val="007E10A5"/>
    <w:rsid w:val="007E10CB"/>
    <w:rsid w:val="007E16FE"/>
    <w:rsid w:val="007E197B"/>
    <w:rsid w:val="007E2454"/>
    <w:rsid w:val="007E2936"/>
    <w:rsid w:val="007E305C"/>
    <w:rsid w:val="007E3782"/>
    <w:rsid w:val="007E3CDB"/>
    <w:rsid w:val="007E40F4"/>
    <w:rsid w:val="007E41F4"/>
    <w:rsid w:val="007E4C9C"/>
    <w:rsid w:val="007E5E71"/>
    <w:rsid w:val="007E6177"/>
    <w:rsid w:val="007E6573"/>
    <w:rsid w:val="007E6687"/>
    <w:rsid w:val="007E70CA"/>
    <w:rsid w:val="007E7687"/>
    <w:rsid w:val="007E7849"/>
    <w:rsid w:val="007E7899"/>
    <w:rsid w:val="007E7A12"/>
    <w:rsid w:val="007F0B0A"/>
    <w:rsid w:val="007F0EFE"/>
    <w:rsid w:val="007F10DB"/>
    <w:rsid w:val="007F1535"/>
    <w:rsid w:val="007F1750"/>
    <w:rsid w:val="007F17F2"/>
    <w:rsid w:val="007F2079"/>
    <w:rsid w:val="007F29D9"/>
    <w:rsid w:val="007F3462"/>
    <w:rsid w:val="007F52A2"/>
    <w:rsid w:val="007F53CA"/>
    <w:rsid w:val="007F5D53"/>
    <w:rsid w:val="007F5EE1"/>
    <w:rsid w:val="007F7107"/>
    <w:rsid w:val="007F7CED"/>
    <w:rsid w:val="008002EE"/>
    <w:rsid w:val="00800D4C"/>
    <w:rsid w:val="00800EE3"/>
    <w:rsid w:val="00801679"/>
    <w:rsid w:val="00803C72"/>
    <w:rsid w:val="00804759"/>
    <w:rsid w:val="0080501E"/>
    <w:rsid w:val="00805374"/>
    <w:rsid w:val="00805E8A"/>
    <w:rsid w:val="00805FE7"/>
    <w:rsid w:val="00806275"/>
    <w:rsid w:val="00806359"/>
    <w:rsid w:val="00806691"/>
    <w:rsid w:val="008068E8"/>
    <w:rsid w:val="00806AE9"/>
    <w:rsid w:val="00806C5F"/>
    <w:rsid w:val="00806CC8"/>
    <w:rsid w:val="00807D9D"/>
    <w:rsid w:val="00807EA7"/>
    <w:rsid w:val="0081030F"/>
    <w:rsid w:val="008108B4"/>
    <w:rsid w:val="00810BB2"/>
    <w:rsid w:val="00810EF9"/>
    <w:rsid w:val="008114E2"/>
    <w:rsid w:val="008117EA"/>
    <w:rsid w:val="00812F4A"/>
    <w:rsid w:val="0081489F"/>
    <w:rsid w:val="00815B0F"/>
    <w:rsid w:val="00816404"/>
    <w:rsid w:val="00816628"/>
    <w:rsid w:val="00816E0E"/>
    <w:rsid w:val="00816E9E"/>
    <w:rsid w:val="00817034"/>
    <w:rsid w:val="0082007E"/>
    <w:rsid w:val="008201B3"/>
    <w:rsid w:val="00820223"/>
    <w:rsid w:val="008206D0"/>
    <w:rsid w:val="0082087D"/>
    <w:rsid w:val="00821311"/>
    <w:rsid w:val="0082293D"/>
    <w:rsid w:val="0082296A"/>
    <w:rsid w:val="00822AB3"/>
    <w:rsid w:val="0082367A"/>
    <w:rsid w:val="0082428E"/>
    <w:rsid w:val="008245E4"/>
    <w:rsid w:val="00824D98"/>
    <w:rsid w:val="00825525"/>
    <w:rsid w:val="00825AA4"/>
    <w:rsid w:val="00825B43"/>
    <w:rsid w:val="00825D91"/>
    <w:rsid w:val="0082602A"/>
    <w:rsid w:val="0082647D"/>
    <w:rsid w:val="0082658A"/>
    <w:rsid w:val="00826C0A"/>
    <w:rsid w:val="0082733A"/>
    <w:rsid w:val="00827453"/>
    <w:rsid w:val="00827CE5"/>
    <w:rsid w:val="00827E65"/>
    <w:rsid w:val="00827F58"/>
    <w:rsid w:val="00830019"/>
    <w:rsid w:val="00830032"/>
    <w:rsid w:val="00830B22"/>
    <w:rsid w:val="00830C89"/>
    <w:rsid w:val="0083351D"/>
    <w:rsid w:val="0083376C"/>
    <w:rsid w:val="00833A5D"/>
    <w:rsid w:val="00833AAC"/>
    <w:rsid w:val="0083479E"/>
    <w:rsid w:val="00834C2D"/>
    <w:rsid w:val="00834C3C"/>
    <w:rsid w:val="00835771"/>
    <w:rsid w:val="00835855"/>
    <w:rsid w:val="00835E64"/>
    <w:rsid w:val="008360F4"/>
    <w:rsid w:val="00836CC6"/>
    <w:rsid w:val="008370E7"/>
    <w:rsid w:val="00837DAD"/>
    <w:rsid w:val="00837FBC"/>
    <w:rsid w:val="00840967"/>
    <w:rsid w:val="008417BB"/>
    <w:rsid w:val="00841F5B"/>
    <w:rsid w:val="00842506"/>
    <w:rsid w:val="00842933"/>
    <w:rsid w:val="00842A53"/>
    <w:rsid w:val="00842D32"/>
    <w:rsid w:val="0084365C"/>
    <w:rsid w:val="00843AEE"/>
    <w:rsid w:val="0084405A"/>
    <w:rsid w:val="00844A09"/>
    <w:rsid w:val="00845227"/>
    <w:rsid w:val="0084584A"/>
    <w:rsid w:val="00845BAA"/>
    <w:rsid w:val="00846439"/>
    <w:rsid w:val="008471A8"/>
    <w:rsid w:val="00847435"/>
    <w:rsid w:val="00847898"/>
    <w:rsid w:val="00847A03"/>
    <w:rsid w:val="00847D35"/>
    <w:rsid w:val="008506A0"/>
    <w:rsid w:val="00850AF6"/>
    <w:rsid w:val="00850BB1"/>
    <w:rsid w:val="00851961"/>
    <w:rsid w:val="00854488"/>
    <w:rsid w:val="0085461B"/>
    <w:rsid w:val="00854B99"/>
    <w:rsid w:val="00854FE1"/>
    <w:rsid w:val="0085578E"/>
    <w:rsid w:val="008557AE"/>
    <w:rsid w:val="00857EAE"/>
    <w:rsid w:val="0086082C"/>
    <w:rsid w:val="00860D1A"/>
    <w:rsid w:val="008614DD"/>
    <w:rsid w:val="00861B92"/>
    <w:rsid w:val="008624BB"/>
    <w:rsid w:val="008624CD"/>
    <w:rsid w:val="0086357A"/>
    <w:rsid w:val="00863CF0"/>
    <w:rsid w:val="00863DD6"/>
    <w:rsid w:val="00863EDA"/>
    <w:rsid w:val="00863FA5"/>
    <w:rsid w:val="00864A95"/>
    <w:rsid w:val="00864ADC"/>
    <w:rsid w:val="0086540D"/>
    <w:rsid w:val="008655CC"/>
    <w:rsid w:val="008657E7"/>
    <w:rsid w:val="00865A54"/>
    <w:rsid w:val="00866516"/>
    <w:rsid w:val="00866B13"/>
    <w:rsid w:val="00866D64"/>
    <w:rsid w:val="00866D8F"/>
    <w:rsid w:val="00866DB4"/>
    <w:rsid w:val="00867505"/>
    <w:rsid w:val="00867AF1"/>
    <w:rsid w:val="00867F81"/>
    <w:rsid w:val="00870977"/>
    <w:rsid w:val="00870D00"/>
    <w:rsid w:val="00870D3D"/>
    <w:rsid w:val="00870FCF"/>
    <w:rsid w:val="00871929"/>
    <w:rsid w:val="008720C5"/>
    <w:rsid w:val="00872A60"/>
    <w:rsid w:val="008734AF"/>
    <w:rsid w:val="0087405A"/>
    <w:rsid w:val="00874678"/>
    <w:rsid w:val="008747F2"/>
    <w:rsid w:val="00875B4A"/>
    <w:rsid w:val="00876B3F"/>
    <w:rsid w:val="00880153"/>
    <w:rsid w:val="008809C3"/>
    <w:rsid w:val="008809F0"/>
    <w:rsid w:val="00880F97"/>
    <w:rsid w:val="0088133A"/>
    <w:rsid w:val="0088269D"/>
    <w:rsid w:val="008826FE"/>
    <w:rsid w:val="0088308D"/>
    <w:rsid w:val="0088392E"/>
    <w:rsid w:val="0088403E"/>
    <w:rsid w:val="00884963"/>
    <w:rsid w:val="0088539A"/>
    <w:rsid w:val="008853E3"/>
    <w:rsid w:val="008866AE"/>
    <w:rsid w:val="0088692F"/>
    <w:rsid w:val="008870A9"/>
    <w:rsid w:val="00887448"/>
    <w:rsid w:val="00887CA5"/>
    <w:rsid w:val="0089020C"/>
    <w:rsid w:val="0089187F"/>
    <w:rsid w:val="00891B80"/>
    <w:rsid w:val="00891D69"/>
    <w:rsid w:val="0089285E"/>
    <w:rsid w:val="0089436C"/>
    <w:rsid w:val="008959F2"/>
    <w:rsid w:val="00895D3F"/>
    <w:rsid w:val="008A053E"/>
    <w:rsid w:val="008A0687"/>
    <w:rsid w:val="008A0C00"/>
    <w:rsid w:val="008A0E23"/>
    <w:rsid w:val="008A284E"/>
    <w:rsid w:val="008A2B13"/>
    <w:rsid w:val="008A341C"/>
    <w:rsid w:val="008A3E89"/>
    <w:rsid w:val="008A41B8"/>
    <w:rsid w:val="008A4C07"/>
    <w:rsid w:val="008A4F02"/>
    <w:rsid w:val="008A53BE"/>
    <w:rsid w:val="008A5440"/>
    <w:rsid w:val="008A57F3"/>
    <w:rsid w:val="008A5FE4"/>
    <w:rsid w:val="008A67DC"/>
    <w:rsid w:val="008A6E30"/>
    <w:rsid w:val="008A72C7"/>
    <w:rsid w:val="008A7388"/>
    <w:rsid w:val="008A73F2"/>
    <w:rsid w:val="008B2135"/>
    <w:rsid w:val="008B315E"/>
    <w:rsid w:val="008B37AE"/>
    <w:rsid w:val="008B4540"/>
    <w:rsid w:val="008B4D20"/>
    <w:rsid w:val="008B5E7E"/>
    <w:rsid w:val="008B7F96"/>
    <w:rsid w:val="008C018A"/>
    <w:rsid w:val="008C0291"/>
    <w:rsid w:val="008C050B"/>
    <w:rsid w:val="008C0514"/>
    <w:rsid w:val="008C0846"/>
    <w:rsid w:val="008C1387"/>
    <w:rsid w:val="008C19E5"/>
    <w:rsid w:val="008C2196"/>
    <w:rsid w:val="008C28BC"/>
    <w:rsid w:val="008C32C8"/>
    <w:rsid w:val="008C355C"/>
    <w:rsid w:val="008C36D7"/>
    <w:rsid w:val="008C3785"/>
    <w:rsid w:val="008C55FB"/>
    <w:rsid w:val="008C5B51"/>
    <w:rsid w:val="008C7BA5"/>
    <w:rsid w:val="008D1CB0"/>
    <w:rsid w:val="008D1EFA"/>
    <w:rsid w:val="008D287E"/>
    <w:rsid w:val="008D2B28"/>
    <w:rsid w:val="008D365C"/>
    <w:rsid w:val="008D41F3"/>
    <w:rsid w:val="008D42B7"/>
    <w:rsid w:val="008D485C"/>
    <w:rsid w:val="008D6158"/>
    <w:rsid w:val="008D6205"/>
    <w:rsid w:val="008D6E5D"/>
    <w:rsid w:val="008D735D"/>
    <w:rsid w:val="008D7622"/>
    <w:rsid w:val="008E0AE9"/>
    <w:rsid w:val="008E1EEF"/>
    <w:rsid w:val="008E20A7"/>
    <w:rsid w:val="008E23C5"/>
    <w:rsid w:val="008E293B"/>
    <w:rsid w:val="008E2A41"/>
    <w:rsid w:val="008E3D33"/>
    <w:rsid w:val="008E3DFA"/>
    <w:rsid w:val="008E417F"/>
    <w:rsid w:val="008E49B3"/>
    <w:rsid w:val="008E5656"/>
    <w:rsid w:val="008E565A"/>
    <w:rsid w:val="008E5C99"/>
    <w:rsid w:val="008E69F4"/>
    <w:rsid w:val="008E784D"/>
    <w:rsid w:val="008F0130"/>
    <w:rsid w:val="008F0678"/>
    <w:rsid w:val="008F0963"/>
    <w:rsid w:val="008F1EA6"/>
    <w:rsid w:val="008F252F"/>
    <w:rsid w:val="008F297F"/>
    <w:rsid w:val="008F2D81"/>
    <w:rsid w:val="008F30F8"/>
    <w:rsid w:val="008F3D1A"/>
    <w:rsid w:val="008F45A0"/>
    <w:rsid w:val="008F46EC"/>
    <w:rsid w:val="008F4898"/>
    <w:rsid w:val="008F6245"/>
    <w:rsid w:val="008F6BDA"/>
    <w:rsid w:val="008F781A"/>
    <w:rsid w:val="008F794E"/>
    <w:rsid w:val="008F7BD0"/>
    <w:rsid w:val="009000A1"/>
    <w:rsid w:val="009004F4"/>
    <w:rsid w:val="00901A56"/>
    <w:rsid w:val="00901B49"/>
    <w:rsid w:val="009021A6"/>
    <w:rsid w:val="009025F7"/>
    <w:rsid w:val="00902F62"/>
    <w:rsid w:val="009030BF"/>
    <w:rsid w:val="00903723"/>
    <w:rsid w:val="00903B52"/>
    <w:rsid w:val="009043BC"/>
    <w:rsid w:val="00904BFB"/>
    <w:rsid w:val="0090504E"/>
    <w:rsid w:val="00905AF8"/>
    <w:rsid w:val="00906011"/>
    <w:rsid w:val="009064F1"/>
    <w:rsid w:val="00906759"/>
    <w:rsid w:val="00906898"/>
    <w:rsid w:val="00907BB5"/>
    <w:rsid w:val="0091032F"/>
    <w:rsid w:val="009104D0"/>
    <w:rsid w:val="009106EA"/>
    <w:rsid w:val="009114C1"/>
    <w:rsid w:val="009114C6"/>
    <w:rsid w:val="00912748"/>
    <w:rsid w:val="00912BFC"/>
    <w:rsid w:val="00913AC0"/>
    <w:rsid w:val="009140A1"/>
    <w:rsid w:val="00914368"/>
    <w:rsid w:val="00915773"/>
    <w:rsid w:val="009164EC"/>
    <w:rsid w:val="009172A8"/>
    <w:rsid w:val="00917AF3"/>
    <w:rsid w:val="00920160"/>
    <w:rsid w:val="00920857"/>
    <w:rsid w:val="009215DA"/>
    <w:rsid w:val="00921B3F"/>
    <w:rsid w:val="0092221F"/>
    <w:rsid w:val="009225AD"/>
    <w:rsid w:val="0092296C"/>
    <w:rsid w:val="009237C9"/>
    <w:rsid w:val="00924011"/>
    <w:rsid w:val="00924A15"/>
    <w:rsid w:val="00925352"/>
    <w:rsid w:val="00927221"/>
    <w:rsid w:val="00927CA5"/>
    <w:rsid w:val="00927E71"/>
    <w:rsid w:val="00930570"/>
    <w:rsid w:val="009307AA"/>
    <w:rsid w:val="009309EA"/>
    <w:rsid w:val="00931076"/>
    <w:rsid w:val="0093173B"/>
    <w:rsid w:val="009324A8"/>
    <w:rsid w:val="00932B5E"/>
    <w:rsid w:val="00932F96"/>
    <w:rsid w:val="00933D23"/>
    <w:rsid w:val="009345D9"/>
    <w:rsid w:val="0093484D"/>
    <w:rsid w:val="00934B15"/>
    <w:rsid w:val="009351E3"/>
    <w:rsid w:val="00935901"/>
    <w:rsid w:val="0093728C"/>
    <w:rsid w:val="00937881"/>
    <w:rsid w:val="009406EF"/>
    <w:rsid w:val="00940C87"/>
    <w:rsid w:val="00940E2D"/>
    <w:rsid w:val="0094271C"/>
    <w:rsid w:val="00942975"/>
    <w:rsid w:val="009429B4"/>
    <w:rsid w:val="00942B62"/>
    <w:rsid w:val="00943005"/>
    <w:rsid w:val="00943342"/>
    <w:rsid w:val="009436FE"/>
    <w:rsid w:val="00943957"/>
    <w:rsid w:val="00944A33"/>
    <w:rsid w:val="00944BEA"/>
    <w:rsid w:val="0094541E"/>
    <w:rsid w:val="009456DB"/>
    <w:rsid w:val="00945D02"/>
    <w:rsid w:val="00945D5A"/>
    <w:rsid w:val="0094640D"/>
    <w:rsid w:val="00947095"/>
    <w:rsid w:val="00947599"/>
    <w:rsid w:val="009477C3"/>
    <w:rsid w:val="00950530"/>
    <w:rsid w:val="00950AE0"/>
    <w:rsid w:val="00952252"/>
    <w:rsid w:val="00952699"/>
    <w:rsid w:val="0095302D"/>
    <w:rsid w:val="0095323B"/>
    <w:rsid w:val="00954D98"/>
    <w:rsid w:val="009551FF"/>
    <w:rsid w:val="00955223"/>
    <w:rsid w:val="00955796"/>
    <w:rsid w:val="00955883"/>
    <w:rsid w:val="00955C93"/>
    <w:rsid w:val="00955F03"/>
    <w:rsid w:val="00956A0C"/>
    <w:rsid w:val="00956BD9"/>
    <w:rsid w:val="00957735"/>
    <w:rsid w:val="009579FB"/>
    <w:rsid w:val="009608B4"/>
    <w:rsid w:val="00960ADE"/>
    <w:rsid w:val="009621B9"/>
    <w:rsid w:val="00962489"/>
    <w:rsid w:val="0096256B"/>
    <w:rsid w:val="00962BC8"/>
    <w:rsid w:val="009632DD"/>
    <w:rsid w:val="00963E64"/>
    <w:rsid w:val="00963F93"/>
    <w:rsid w:val="009644C2"/>
    <w:rsid w:val="00964D26"/>
    <w:rsid w:val="009651A3"/>
    <w:rsid w:val="00965596"/>
    <w:rsid w:val="00966289"/>
    <w:rsid w:val="00967CD3"/>
    <w:rsid w:val="009701AF"/>
    <w:rsid w:val="0097092F"/>
    <w:rsid w:val="00971A08"/>
    <w:rsid w:val="00972363"/>
    <w:rsid w:val="00972AD6"/>
    <w:rsid w:val="0097309C"/>
    <w:rsid w:val="00973AC1"/>
    <w:rsid w:val="00973E54"/>
    <w:rsid w:val="00974385"/>
    <w:rsid w:val="00974658"/>
    <w:rsid w:val="00975E0A"/>
    <w:rsid w:val="00976265"/>
    <w:rsid w:val="009762B2"/>
    <w:rsid w:val="009774B4"/>
    <w:rsid w:val="00980C3B"/>
    <w:rsid w:val="00980D41"/>
    <w:rsid w:val="00981569"/>
    <w:rsid w:val="00981821"/>
    <w:rsid w:val="00981A32"/>
    <w:rsid w:val="00981D1D"/>
    <w:rsid w:val="00982DAA"/>
    <w:rsid w:val="00982EC1"/>
    <w:rsid w:val="0098305D"/>
    <w:rsid w:val="009841CE"/>
    <w:rsid w:val="0098560F"/>
    <w:rsid w:val="00986147"/>
    <w:rsid w:val="009862BD"/>
    <w:rsid w:val="00986A62"/>
    <w:rsid w:val="009874E0"/>
    <w:rsid w:val="00987677"/>
    <w:rsid w:val="009878C4"/>
    <w:rsid w:val="00987A73"/>
    <w:rsid w:val="0099013B"/>
    <w:rsid w:val="009902ED"/>
    <w:rsid w:val="00990C2C"/>
    <w:rsid w:val="009914F9"/>
    <w:rsid w:val="00991568"/>
    <w:rsid w:val="00991C70"/>
    <w:rsid w:val="0099390A"/>
    <w:rsid w:val="00994CDC"/>
    <w:rsid w:val="009951FE"/>
    <w:rsid w:val="00995CC3"/>
    <w:rsid w:val="00996A47"/>
    <w:rsid w:val="0099735B"/>
    <w:rsid w:val="009973E8"/>
    <w:rsid w:val="00997A3A"/>
    <w:rsid w:val="009A065B"/>
    <w:rsid w:val="009A093C"/>
    <w:rsid w:val="009A0A8A"/>
    <w:rsid w:val="009A193C"/>
    <w:rsid w:val="009A26E1"/>
    <w:rsid w:val="009A28AB"/>
    <w:rsid w:val="009A3E29"/>
    <w:rsid w:val="009A423E"/>
    <w:rsid w:val="009A4BFC"/>
    <w:rsid w:val="009A501F"/>
    <w:rsid w:val="009A5171"/>
    <w:rsid w:val="009A525F"/>
    <w:rsid w:val="009A5B10"/>
    <w:rsid w:val="009A6464"/>
    <w:rsid w:val="009A6B1E"/>
    <w:rsid w:val="009A759A"/>
    <w:rsid w:val="009B059B"/>
    <w:rsid w:val="009B066A"/>
    <w:rsid w:val="009B0842"/>
    <w:rsid w:val="009B0BC6"/>
    <w:rsid w:val="009B1562"/>
    <w:rsid w:val="009B2299"/>
    <w:rsid w:val="009B35E3"/>
    <w:rsid w:val="009B36BC"/>
    <w:rsid w:val="009B5C12"/>
    <w:rsid w:val="009B5E9E"/>
    <w:rsid w:val="009B643C"/>
    <w:rsid w:val="009B64FB"/>
    <w:rsid w:val="009B65DD"/>
    <w:rsid w:val="009B66AB"/>
    <w:rsid w:val="009B7C22"/>
    <w:rsid w:val="009B7E87"/>
    <w:rsid w:val="009C02D3"/>
    <w:rsid w:val="009C03F4"/>
    <w:rsid w:val="009C09A4"/>
    <w:rsid w:val="009C0ED0"/>
    <w:rsid w:val="009C1CA1"/>
    <w:rsid w:val="009C241A"/>
    <w:rsid w:val="009C28E7"/>
    <w:rsid w:val="009C33B9"/>
    <w:rsid w:val="009C5137"/>
    <w:rsid w:val="009C570F"/>
    <w:rsid w:val="009C6688"/>
    <w:rsid w:val="009C6802"/>
    <w:rsid w:val="009C68AD"/>
    <w:rsid w:val="009C6AEA"/>
    <w:rsid w:val="009D014F"/>
    <w:rsid w:val="009D0602"/>
    <w:rsid w:val="009D0E7E"/>
    <w:rsid w:val="009D0EE4"/>
    <w:rsid w:val="009D104D"/>
    <w:rsid w:val="009D182D"/>
    <w:rsid w:val="009D2690"/>
    <w:rsid w:val="009D2C30"/>
    <w:rsid w:val="009D3440"/>
    <w:rsid w:val="009D3BC7"/>
    <w:rsid w:val="009D415A"/>
    <w:rsid w:val="009D4829"/>
    <w:rsid w:val="009D4C3C"/>
    <w:rsid w:val="009D5276"/>
    <w:rsid w:val="009D5767"/>
    <w:rsid w:val="009D5938"/>
    <w:rsid w:val="009D7185"/>
    <w:rsid w:val="009D7647"/>
    <w:rsid w:val="009E000B"/>
    <w:rsid w:val="009E034B"/>
    <w:rsid w:val="009E0631"/>
    <w:rsid w:val="009E0B06"/>
    <w:rsid w:val="009E0D8E"/>
    <w:rsid w:val="009E0FFF"/>
    <w:rsid w:val="009E1756"/>
    <w:rsid w:val="009E1844"/>
    <w:rsid w:val="009E2163"/>
    <w:rsid w:val="009E21C9"/>
    <w:rsid w:val="009E2C87"/>
    <w:rsid w:val="009E4CC4"/>
    <w:rsid w:val="009E54D1"/>
    <w:rsid w:val="009E57A0"/>
    <w:rsid w:val="009E58A2"/>
    <w:rsid w:val="009E5F33"/>
    <w:rsid w:val="009E6E1E"/>
    <w:rsid w:val="009E71BE"/>
    <w:rsid w:val="009F0D1B"/>
    <w:rsid w:val="009F0F21"/>
    <w:rsid w:val="009F2F0C"/>
    <w:rsid w:val="009F2F7D"/>
    <w:rsid w:val="009F39FE"/>
    <w:rsid w:val="009F3CC1"/>
    <w:rsid w:val="009F53DD"/>
    <w:rsid w:val="009F5BBD"/>
    <w:rsid w:val="009F5E15"/>
    <w:rsid w:val="009F6796"/>
    <w:rsid w:val="009F696D"/>
    <w:rsid w:val="009F698D"/>
    <w:rsid w:val="009F6BC6"/>
    <w:rsid w:val="009F6D35"/>
    <w:rsid w:val="009F740E"/>
    <w:rsid w:val="009F74EF"/>
    <w:rsid w:val="009F7706"/>
    <w:rsid w:val="00A0218D"/>
    <w:rsid w:val="00A02551"/>
    <w:rsid w:val="00A0272C"/>
    <w:rsid w:val="00A027BF"/>
    <w:rsid w:val="00A02826"/>
    <w:rsid w:val="00A030FB"/>
    <w:rsid w:val="00A04E57"/>
    <w:rsid w:val="00A04EA3"/>
    <w:rsid w:val="00A04FC1"/>
    <w:rsid w:val="00A05169"/>
    <w:rsid w:val="00A05CE3"/>
    <w:rsid w:val="00A062C0"/>
    <w:rsid w:val="00A0722E"/>
    <w:rsid w:val="00A10BEA"/>
    <w:rsid w:val="00A10E0B"/>
    <w:rsid w:val="00A11834"/>
    <w:rsid w:val="00A11B32"/>
    <w:rsid w:val="00A11C7F"/>
    <w:rsid w:val="00A12ABB"/>
    <w:rsid w:val="00A13094"/>
    <w:rsid w:val="00A15344"/>
    <w:rsid w:val="00A15D5A"/>
    <w:rsid w:val="00A160B8"/>
    <w:rsid w:val="00A16479"/>
    <w:rsid w:val="00A16B7A"/>
    <w:rsid w:val="00A17328"/>
    <w:rsid w:val="00A17945"/>
    <w:rsid w:val="00A205B6"/>
    <w:rsid w:val="00A20843"/>
    <w:rsid w:val="00A2145E"/>
    <w:rsid w:val="00A216ED"/>
    <w:rsid w:val="00A21A5D"/>
    <w:rsid w:val="00A21AFC"/>
    <w:rsid w:val="00A21F5D"/>
    <w:rsid w:val="00A22927"/>
    <w:rsid w:val="00A22C0F"/>
    <w:rsid w:val="00A22EC2"/>
    <w:rsid w:val="00A2314E"/>
    <w:rsid w:val="00A23A20"/>
    <w:rsid w:val="00A24266"/>
    <w:rsid w:val="00A24443"/>
    <w:rsid w:val="00A25DB9"/>
    <w:rsid w:val="00A261E8"/>
    <w:rsid w:val="00A268B9"/>
    <w:rsid w:val="00A26D5F"/>
    <w:rsid w:val="00A26D7A"/>
    <w:rsid w:val="00A2703A"/>
    <w:rsid w:val="00A272C1"/>
    <w:rsid w:val="00A31C14"/>
    <w:rsid w:val="00A31FB5"/>
    <w:rsid w:val="00A32468"/>
    <w:rsid w:val="00A3292C"/>
    <w:rsid w:val="00A33DFF"/>
    <w:rsid w:val="00A34157"/>
    <w:rsid w:val="00A34446"/>
    <w:rsid w:val="00A34D83"/>
    <w:rsid w:val="00A35115"/>
    <w:rsid w:val="00A359EC"/>
    <w:rsid w:val="00A35CD9"/>
    <w:rsid w:val="00A3627B"/>
    <w:rsid w:val="00A36D9A"/>
    <w:rsid w:val="00A37076"/>
    <w:rsid w:val="00A3780A"/>
    <w:rsid w:val="00A40382"/>
    <w:rsid w:val="00A4183D"/>
    <w:rsid w:val="00A4193B"/>
    <w:rsid w:val="00A42C17"/>
    <w:rsid w:val="00A430A3"/>
    <w:rsid w:val="00A43AFC"/>
    <w:rsid w:val="00A43EBB"/>
    <w:rsid w:val="00A4458F"/>
    <w:rsid w:val="00A44DA1"/>
    <w:rsid w:val="00A451DC"/>
    <w:rsid w:val="00A45768"/>
    <w:rsid w:val="00A45F58"/>
    <w:rsid w:val="00A464B5"/>
    <w:rsid w:val="00A4660B"/>
    <w:rsid w:val="00A4757B"/>
    <w:rsid w:val="00A47958"/>
    <w:rsid w:val="00A47E14"/>
    <w:rsid w:val="00A50035"/>
    <w:rsid w:val="00A5019F"/>
    <w:rsid w:val="00A50254"/>
    <w:rsid w:val="00A5067E"/>
    <w:rsid w:val="00A506B7"/>
    <w:rsid w:val="00A50A20"/>
    <w:rsid w:val="00A50B42"/>
    <w:rsid w:val="00A514B9"/>
    <w:rsid w:val="00A520F4"/>
    <w:rsid w:val="00A521C3"/>
    <w:rsid w:val="00A52610"/>
    <w:rsid w:val="00A53B04"/>
    <w:rsid w:val="00A54782"/>
    <w:rsid w:val="00A5494A"/>
    <w:rsid w:val="00A554AB"/>
    <w:rsid w:val="00A556E2"/>
    <w:rsid w:val="00A563C9"/>
    <w:rsid w:val="00A56754"/>
    <w:rsid w:val="00A56E9E"/>
    <w:rsid w:val="00A57062"/>
    <w:rsid w:val="00A573B3"/>
    <w:rsid w:val="00A575CC"/>
    <w:rsid w:val="00A5760E"/>
    <w:rsid w:val="00A602D5"/>
    <w:rsid w:val="00A607B4"/>
    <w:rsid w:val="00A608AE"/>
    <w:rsid w:val="00A60B73"/>
    <w:rsid w:val="00A60F1F"/>
    <w:rsid w:val="00A60F36"/>
    <w:rsid w:val="00A61118"/>
    <w:rsid w:val="00A61716"/>
    <w:rsid w:val="00A633A3"/>
    <w:rsid w:val="00A6356D"/>
    <w:rsid w:val="00A63689"/>
    <w:rsid w:val="00A6384D"/>
    <w:rsid w:val="00A63BAF"/>
    <w:rsid w:val="00A64D11"/>
    <w:rsid w:val="00A64F95"/>
    <w:rsid w:val="00A65371"/>
    <w:rsid w:val="00A66664"/>
    <w:rsid w:val="00A66FA0"/>
    <w:rsid w:val="00A67781"/>
    <w:rsid w:val="00A6781F"/>
    <w:rsid w:val="00A70F22"/>
    <w:rsid w:val="00A710B6"/>
    <w:rsid w:val="00A71224"/>
    <w:rsid w:val="00A7134A"/>
    <w:rsid w:val="00A713F5"/>
    <w:rsid w:val="00A71564"/>
    <w:rsid w:val="00A72989"/>
    <w:rsid w:val="00A729A9"/>
    <w:rsid w:val="00A72E3B"/>
    <w:rsid w:val="00A761F9"/>
    <w:rsid w:val="00A763B0"/>
    <w:rsid w:val="00A76C11"/>
    <w:rsid w:val="00A76DB3"/>
    <w:rsid w:val="00A771C3"/>
    <w:rsid w:val="00A77648"/>
    <w:rsid w:val="00A7765C"/>
    <w:rsid w:val="00A8029C"/>
    <w:rsid w:val="00A805B0"/>
    <w:rsid w:val="00A80A45"/>
    <w:rsid w:val="00A80BF8"/>
    <w:rsid w:val="00A80EBF"/>
    <w:rsid w:val="00A80ECD"/>
    <w:rsid w:val="00A815F4"/>
    <w:rsid w:val="00A81AC4"/>
    <w:rsid w:val="00A826AC"/>
    <w:rsid w:val="00A83167"/>
    <w:rsid w:val="00A833BA"/>
    <w:rsid w:val="00A83485"/>
    <w:rsid w:val="00A8380D"/>
    <w:rsid w:val="00A842F6"/>
    <w:rsid w:val="00A84B24"/>
    <w:rsid w:val="00A85092"/>
    <w:rsid w:val="00A8628E"/>
    <w:rsid w:val="00A86422"/>
    <w:rsid w:val="00A86E24"/>
    <w:rsid w:val="00A87B50"/>
    <w:rsid w:val="00A87F03"/>
    <w:rsid w:val="00A9021A"/>
    <w:rsid w:val="00A903C9"/>
    <w:rsid w:val="00A90F55"/>
    <w:rsid w:val="00A91398"/>
    <w:rsid w:val="00A925B6"/>
    <w:rsid w:val="00A92B53"/>
    <w:rsid w:val="00A92BDF"/>
    <w:rsid w:val="00A92EF1"/>
    <w:rsid w:val="00A939C6"/>
    <w:rsid w:val="00A93AFB"/>
    <w:rsid w:val="00A945DD"/>
    <w:rsid w:val="00A94FA6"/>
    <w:rsid w:val="00A97169"/>
    <w:rsid w:val="00A97C13"/>
    <w:rsid w:val="00A97E12"/>
    <w:rsid w:val="00AA0377"/>
    <w:rsid w:val="00AA0A9B"/>
    <w:rsid w:val="00AA0EF7"/>
    <w:rsid w:val="00AA132D"/>
    <w:rsid w:val="00AA24EF"/>
    <w:rsid w:val="00AA2AEF"/>
    <w:rsid w:val="00AA30AA"/>
    <w:rsid w:val="00AA3A7A"/>
    <w:rsid w:val="00AA483C"/>
    <w:rsid w:val="00AA49A0"/>
    <w:rsid w:val="00AA50AC"/>
    <w:rsid w:val="00AA53D1"/>
    <w:rsid w:val="00AA5C84"/>
    <w:rsid w:val="00AA6504"/>
    <w:rsid w:val="00AA6710"/>
    <w:rsid w:val="00AA69D5"/>
    <w:rsid w:val="00AA734C"/>
    <w:rsid w:val="00AA7914"/>
    <w:rsid w:val="00AB00CD"/>
    <w:rsid w:val="00AB0681"/>
    <w:rsid w:val="00AB076C"/>
    <w:rsid w:val="00AB0FD6"/>
    <w:rsid w:val="00AB1058"/>
    <w:rsid w:val="00AB1144"/>
    <w:rsid w:val="00AB1FEC"/>
    <w:rsid w:val="00AB28B0"/>
    <w:rsid w:val="00AB2EAF"/>
    <w:rsid w:val="00AB32AA"/>
    <w:rsid w:val="00AB37B5"/>
    <w:rsid w:val="00AB3B0C"/>
    <w:rsid w:val="00AB3FAD"/>
    <w:rsid w:val="00AB43AF"/>
    <w:rsid w:val="00AB5285"/>
    <w:rsid w:val="00AB690F"/>
    <w:rsid w:val="00AB6B37"/>
    <w:rsid w:val="00AB6F52"/>
    <w:rsid w:val="00AB7A8E"/>
    <w:rsid w:val="00AC28B1"/>
    <w:rsid w:val="00AC3096"/>
    <w:rsid w:val="00AC31B6"/>
    <w:rsid w:val="00AC3648"/>
    <w:rsid w:val="00AC3A15"/>
    <w:rsid w:val="00AC4820"/>
    <w:rsid w:val="00AC4AA8"/>
    <w:rsid w:val="00AC4FAB"/>
    <w:rsid w:val="00AC53C1"/>
    <w:rsid w:val="00AC667D"/>
    <w:rsid w:val="00AC6CC6"/>
    <w:rsid w:val="00AD170D"/>
    <w:rsid w:val="00AD200F"/>
    <w:rsid w:val="00AD3BF5"/>
    <w:rsid w:val="00AD48E4"/>
    <w:rsid w:val="00AD5093"/>
    <w:rsid w:val="00AD509B"/>
    <w:rsid w:val="00AD520B"/>
    <w:rsid w:val="00AD73EC"/>
    <w:rsid w:val="00AE0770"/>
    <w:rsid w:val="00AE1253"/>
    <w:rsid w:val="00AE1D46"/>
    <w:rsid w:val="00AE287C"/>
    <w:rsid w:val="00AE3AF8"/>
    <w:rsid w:val="00AE3BCC"/>
    <w:rsid w:val="00AE42FB"/>
    <w:rsid w:val="00AE50A4"/>
    <w:rsid w:val="00AE5886"/>
    <w:rsid w:val="00AE68D3"/>
    <w:rsid w:val="00AE74CF"/>
    <w:rsid w:val="00AE7D52"/>
    <w:rsid w:val="00AF08DA"/>
    <w:rsid w:val="00AF0AD8"/>
    <w:rsid w:val="00AF0B40"/>
    <w:rsid w:val="00AF0C8B"/>
    <w:rsid w:val="00AF0DFB"/>
    <w:rsid w:val="00AF105E"/>
    <w:rsid w:val="00AF12A5"/>
    <w:rsid w:val="00AF1EDB"/>
    <w:rsid w:val="00AF282F"/>
    <w:rsid w:val="00AF2915"/>
    <w:rsid w:val="00AF2F44"/>
    <w:rsid w:val="00AF4CA8"/>
    <w:rsid w:val="00AF4E81"/>
    <w:rsid w:val="00AF596D"/>
    <w:rsid w:val="00AF5A1A"/>
    <w:rsid w:val="00AF6096"/>
    <w:rsid w:val="00AF706C"/>
    <w:rsid w:val="00AF7B1D"/>
    <w:rsid w:val="00AF7F94"/>
    <w:rsid w:val="00B003D2"/>
    <w:rsid w:val="00B0050A"/>
    <w:rsid w:val="00B00566"/>
    <w:rsid w:val="00B00F1E"/>
    <w:rsid w:val="00B015AD"/>
    <w:rsid w:val="00B01FC7"/>
    <w:rsid w:val="00B0254E"/>
    <w:rsid w:val="00B02D43"/>
    <w:rsid w:val="00B033AB"/>
    <w:rsid w:val="00B0380E"/>
    <w:rsid w:val="00B0390B"/>
    <w:rsid w:val="00B041B2"/>
    <w:rsid w:val="00B041E4"/>
    <w:rsid w:val="00B05350"/>
    <w:rsid w:val="00B059AB"/>
    <w:rsid w:val="00B05BA9"/>
    <w:rsid w:val="00B06747"/>
    <w:rsid w:val="00B06FA5"/>
    <w:rsid w:val="00B070F8"/>
    <w:rsid w:val="00B07106"/>
    <w:rsid w:val="00B07176"/>
    <w:rsid w:val="00B0781D"/>
    <w:rsid w:val="00B07A04"/>
    <w:rsid w:val="00B07A94"/>
    <w:rsid w:val="00B07DA2"/>
    <w:rsid w:val="00B07ED1"/>
    <w:rsid w:val="00B1042C"/>
    <w:rsid w:val="00B1058B"/>
    <w:rsid w:val="00B105AE"/>
    <w:rsid w:val="00B11D9B"/>
    <w:rsid w:val="00B120C2"/>
    <w:rsid w:val="00B12265"/>
    <w:rsid w:val="00B12587"/>
    <w:rsid w:val="00B1286E"/>
    <w:rsid w:val="00B12F86"/>
    <w:rsid w:val="00B1305D"/>
    <w:rsid w:val="00B1323C"/>
    <w:rsid w:val="00B13B3A"/>
    <w:rsid w:val="00B14BFE"/>
    <w:rsid w:val="00B15463"/>
    <w:rsid w:val="00B1689A"/>
    <w:rsid w:val="00B1793E"/>
    <w:rsid w:val="00B2005E"/>
    <w:rsid w:val="00B218C7"/>
    <w:rsid w:val="00B226CE"/>
    <w:rsid w:val="00B23211"/>
    <w:rsid w:val="00B236A8"/>
    <w:rsid w:val="00B24062"/>
    <w:rsid w:val="00B244D5"/>
    <w:rsid w:val="00B2526C"/>
    <w:rsid w:val="00B25C2D"/>
    <w:rsid w:val="00B26F95"/>
    <w:rsid w:val="00B30654"/>
    <w:rsid w:val="00B31B65"/>
    <w:rsid w:val="00B32831"/>
    <w:rsid w:val="00B332D1"/>
    <w:rsid w:val="00B338FD"/>
    <w:rsid w:val="00B3403E"/>
    <w:rsid w:val="00B34D6F"/>
    <w:rsid w:val="00B34DCD"/>
    <w:rsid w:val="00B35DDA"/>
    <w:rsid w:val="00B366B9"/>
    <w:rsid w:val="00B368A2"/>
    <w:rsid w:val="00B37088"/>
    <w:rsid w:val="00B371C7"/>
    <w:rsid w:val="00B40C41"/>
    <w:rsid w:val="00B41299"/>
    <w:rsid w:val="00B4169B"/>
    <w:rsid w:val="00B41AA3"/>
    <w:rsid w:val="00B420F5"/>
    <w:rsid w:val="00B42243"/>
    <w:rsid w:val="00B42253"/>
    <w:rsid w:val="00B425C3"/>
    <w:rsid w:val="00B4299A"/>
    <w:rsid w:val="00B42C22"/>
    <w:rsid w:val="00B4347F"/>
    <w:rsid w:val="00B434CA"/>
    <w:rsid w:val="00B4373D"/>
    <w:rsid w:val="00B438EA"/>
    <w:rsid w:val="00B43B8D"/>
    <w:rsid w:val="00B43C12"/>
    <w:rsid w:val="00B440AD"/>
    <w:rsid w:val="00B442ED"/>
    <w:rsid w:val="00B45DBE"/>
    <w:rsid w:val="00B469C0"/>
    <w:rsid w:val="00B470C1"/>
    <w:rsid w:val="00B47207"/>
    <w:rsid w:val="00B4794E"/>
    <w:rsid w:val="00B479BB"/>
    <w:rsid w:val="00B5039F"/>
    <w:rsid w:val="00B50DD5"/>
    <w:rsid w:val="00B514B2"/>
    <w:rsid w:val="00B5181E"/>
    <w:rsid w:val="00B51FE5"/>
    <w:rsid w:val="00B523DF"/>
    <w:rsid w:val="00B52623"/>
    <w:rsid w:val="00B5295F"/>
    <w:rsid w:val="00B53398"/>
    <w:rsid w:val="00B53E7E"/>
    <w:rsid w:val="00B562DE"/>
    <w:rsid w:val="00B56FFE"/>
    <w:rsid w:val="00B578E3"/>
    <w:rsid w:val="00B57C2A"/>
    <w:rsid w:val="00B57CFD"/>
    <w:rsid w:val="00B603B8"/>
    <w:rsid w:val="00B61122"/>
    <w:rsid w:val="00B611B7"/>
    <w:rsid w:val="00B61977"/>
    <w:rsid w:val="00B61D62"/>
    <w:rsid w:val="00B6342E"/>
    <w:rsid w:val="00B63973"/>
    <w:rsid w:val="00B6399A"/>
    <w:rsid w:val="00B63BBD"/>
    <w:rsid w:val="00B63BEE"/>
    <w:rsid w:val="00B63C83"/>
    <w:rsid w:val="00B63FB3"/>
    <w:rsid w:val="00B6400B"/>
    <w:rsid w:val="00B64580"/>
    <w:rsid w:val="00B647D6"/>
    <w:rsid w:val="00B655DB"/>
    <w:rsid w:val="00B65E08"/>
    <w:rsid w:val="00B66A4C"/>
    <w:rsid w:val="00B7059A"/>
    <w:rsid w:val="00B70A6E"/>
    <w:rsid w:val="00B7113F"/>
    <w:rsid w:val="00B718C8"/>
    <w:rsid w:val="00B719B6"/>
    <w:rsid w:val="00B722EC"/>
    <w:rsid w:val="00B7380E"/>
    <w:rsid w:val="00B75018"/>
    <w:rsid w:val="00B759AD"/>
    <w:rsid w:val="00B759D7"/>
    <w:rsid w:val="00B75A45"/>
    <w:rsid w:val="00B76AFD"/>
    <w:rsid w:val="00B76B0C"/>
    <w:rsid w:val="00B77730"/>
    <w:rsid w:val="00B80A3B"/>
    <w:rsid w:val="00B80EB0"/>
    <w:rsid w:val="00B8391B"/>
    <w:rsid w:val="00B841E6"/>
    <w:rsid w:val="00B86DA5"/>
    <w:rsid w:val="00B87278"/>
    <w:rsid w:val="00B87B8E"/>
    <w:rsid w:val="00B90E2B"/>
    <w:rsid w:val="00B9188C"/>
    <w:rsid w:val="00B9197B"/>
    <w:rsid w:val="00B91AEE"/>
    <w:rsid w:val="00B92986"/>
    <w:rsid w:val="00B9459B"/>
    <w:rsid w:val="00B949AF"/>
    <w:rsid w:val="00B94C38"/>
    <w:rsid w:val="00B95405"/>
    <w:rsid w:val="00B9548E"/>
    <w:rsid w:val="00BA02BB"/>
    <w:rsid w:val="00BA0991"/>
    <w:rsid w:val="00BA115C"/>
    <w:rsid w:val="00BA11C3"/>
    <w:rsid w:val="00BA2BCF"/>
    <w:rsid w:val="00BA374D"/>
    <w:rsid w:val="00BA41E9"/>
    <w:rsid w:val="00BA4FE4"/>
    <w:rsid w:val="00BA5B14"/>
    <w:rsid w:val="00BA73B6"/>
    <w:rsid w:val="00BA7E27"/>
    <w:rsid w:val="00BB12F0"/>
    <w:rsid w:val="00BB1814"/>
    <w:rsid w:val="00BB1F7D"/>
    <w:rsid w:val="00BB2603"/>
    <w:rsid w:val="00BB2CBA"/>
    <w:rsid w:val="00BB336B"/>
    <w:rsid w:val="00BB34E7"/>
    <w:rsid w:val="00BB45B4"/>
    <w:rsid w:val="00BB4796"/>
    <w:rsid w:val="00BB4CDC"/>
    <w:rsid w:val="00BB4FCD"/>
    <w:rsid w:val="00BB5353"/>
    <w:rsid w:val="00BB56DB"/>
    <w:rsid w:val="00BB6074"/>
    <w:rsid w:val="00BB60C0"/>
    <w:rsid w:val="00BB64E6"/>
    <w:rsid w:val="00BC0466"/>
    <w:rsid w:val="00BC04E9"/>
    <w:rsid w:val="00BC148E"/>
    <w:rsid w:val="00BC15C1"/>
    <w:rsid w:val="00BC15C2"/>
    <w:rsid w:val="00BC175B"/>
    <w:rsid w:val="00BC210C"/>
    <w:rsid w:val="00BC26BC"/>
    <w:rsid w:val="00BC2CE2"/>
    <w:rsid w:val="00BC3DF4"/>
    <w:rsid w:val="00BC50CF"/>
    <w:rsid w:val="00BC62C0"/>
    <w:rsid w:val="00BC66A2"/>
    <w:rsid w:val="00BC6A48"/>
    <w:rsid w:val="00BD0117"/>
    <w:rsid w:val="00BD047B"/>
    <w:rsid w:val="00BD047F"/>
    <w:rsid w:val="00BD0A25"/>
    <w:rsid w:val="00BD13EA"/>
    <w:rsid w:val="00BD190D"/>
    <w:rsid w:val="00BD1B2F"/>
    <w:rsid w:val="00BD1B4D"/>
    <w:rsid w:val="00BD1F2C"/>
    <w:rsid w:val="00BD20F8"/>
    <w:rsid w:val="00BD29DE"/>
    <w:rsid w:val="00BD2FB2"/>
    <w:rsid w:val="00BD51F6"/>
    <w:rsid w:val="00BD5465"/>
    <w:rsid w:val="00BD5A86"/>
    <w:rsid w:val="00BD6475"/>
    <w:rsid w:val="00BD66F2"/>
    <w:rsid w:val="00BD67F2"/>
    <w:rsid w:val="00BD751D"/>
    <w:rsid w:val="00BD7D41"/>
    <w:rsid w:val="00BD7E61"/>
    <w:rsid w:val="00BD7F98"/>
    <w:rsid w:val="00BE07A2"/>
    <w:rsid w:val="00BE1868"/>
    <w:rsid w:val="00BE18DA"/>
    <w:rsid w:val="00BE1C1C"/>
    <w:rsid w:val="00BE208B"/>
    <w:rsid w:val="00BE2778"/>
    <w:rsid w:val="00BE3808"/>
    <w:rsid w:val="00BE4CF5"/>
    <w:rsid w:val="00BE508E"/>
    <w:rsid w:val="00BE5DF5"/>
    <w:rsid w:val="00BE6972"/>
    <w:rsid w:val="00BE6CCC"/>
    <w:rsid w:val="00BE6CCE"/>
    <w:rsid w:val="00BE73A9"/>
    <w:rsid w:val="00BE7C75"/>
    <w:rsid w:val="00BF00CC"/>
    <w:rsid w:val="00BF0D8E"/>
    <w:rsid w:val="00BF0F6C"/>
    <w:rsid w:val="00BF173A"/>
    <w:rsid w:val="00BF281A"/>
    <w:rsid w:val="00BF2FEB"/>
    <w:rsid w:val="00BF3E7B"/>
    <w:rsid w:val="00BF49C3"/>
    <w:rsid w:val="00BF4ADD"/>
    <w:rsid w:val="00BF4B8B"/>
    <w:rsid w:val="00BF5918"/>
    <w:rsid w:val="00BF591A"/>
    <w:rsid w:val="00BF5B84"/>
    <w:rsid w:val="00BF65B2"/>
    <w:rsid w:val="00BF7A9E"/>
    <w:rsid w:val="00C00261"/>
    <w:rsid w:val="00C0051E"/>
    <w:rsid w:val="00C00661"/>
    <w:rsid w:val="00C01048"/>
    <w:rsid w:val="00C01D25"/>
    <w:rsid w:val="00C02D65"/>
    <w:rsid w:val="00C030A6"/>
    <w:rsid w:val="00C033D6"/>
    <w:rsid w:val="00C03B88"/>
    <w:rsid w:val="00C040BE"/>
    <w:rsid w:val="00C043DF"/>
    <w:rsid w:val="00C04A4D"/>
    <w:rsid w:val="00C062E9"/>
    <w:rsid w:val="00C069AA"/>
    <w:rsid w:val="00C071B6"/>
    <w:rsid w:val="00C0761D"/>
    <w:rsid w:val="00C07B64"/>
    <w:rsid w:val="00C07F73"/>
    <w:rsid w:val="00C10256"/>
    <w:rsid w:val="00C10450"/>
    <w:rsid w:val="00C11AC1"/>
    <w:rsid w:val="00C13721"/>
    <w:rsid w:val="00C137BC"/>
    <w:rsid w:val="00C139BC"/>
    <w:rsid w:val="00C13A33"/>
    <w:rsid w:val="00C13E67"/>
    <w:rsid w:val="00C143FE"/>
    <w:rsid w:val="00C14A4F"/>
    <w:rsid w:val="00C14FE4"/>
    <w:rsid w:val="00C17A8F"/>
    <w:rsid w:val="00C17F0E"/>
    <w:rsid w:val="00C20EB9"/>
    <w:rsid w:val="00C20EEA"/>
    <w:rsid w:val="00C21715"/>
    <w:rsid w:val="00C21D7D"/>
    <w:rsid w:val="00C21E04"/>
    <w:rsid w:val="00C21F7D"/>
    <w:rsid w:val="00C22689"/>
    <w:rsid w:val="00C229D5"/>
    <w:rsid w:val="00C22F84"/>
    <w:rsid w:val="00C2335B"/>
    <w:rsid w:val="00C24678"/>
    <w:rsid w:val="00C2552B"/>
    <w:rsid w:val="00C25782"/>
    <w:rsid w:val="00C25A7E"/>
    <w:rsid w:val="00C25D01"/>
    <w:rsid w:val="00C261F4"/>
    <w:rsid w:val="00C30000"/>
    <w:rsid w:val="00C30522"/>
    <w:rsid w:val="00C30669"/>
    <w:rsid w:val="00C3066D"/>
    <w:rsid w:val="00C307E6"/>
    <w:rsid w:val="00C30AF8"/>
    <w:rsid w:val="00C31A95"/>
    <w:rsid w:val="00C321D4"/>
    <w:rsid w:val="00C32586"/>
    <w:rsid w:val="00C32C42"/>
    <w:rsid w:val="00C32F63"/>
    <w:rsid w:val="00C32F79"/>
    <w:rsid w:val="00C33924"/>
    <w:rsid w:val="00C33A69"/>
    <w:rsid w:val="00C33B81"/>
    <w:rsid w:val="00C3422F"/>
    <w:rsid w:val="00C34811"/>
    <w:rsid w:val="00C3524D"/>
    <w:rsid w:val="00C3579F"/>
    <w:rsid w:val="00C35C68"/>
    <w:rsid w:val="00C36C6E"/>
    <w:rsid w:val="00C37C0A"/>
    <w:rsid w:val="00C400F5"/>
    <w:rsid w:val="00C406EE"/>
    <w:rsid w:val="00C40B7D"/>
    <w:rsid w:val="00C413E9"/>
    <w:rsid w:val="00C4152A"/>
    <w:rsid w:val="00C4252A"/>
    <w:rsid w:val="00C425DB"/>
    <w:rsid w:val="00C42AA8"/>
    <w:rsid w:val="00C42FF3"/>
    <w:rsid w:val="00C4354B"/>
    <w:rsid w:val="00C43638"/>
    <w:rsid w:val="00C448B7"/>
    <w:rsid w:val="00C4581B"/>
    <w:rsid w:val="00C458E2"/>
    <w:rsid w:val="00C45991"/>
    <w:rsid w:val="00C47772"/>
    <w:rsid w:val="00C502AB"/>
    <w:rsid w:val="00C5110E"/>
    <w:rsid w:val="00C51412"/>
    <w:rsid w:val="00C51565"/>
    <w:rsid w:val="00C516A9"/>
    <w:rsid w:val="00C51712"/>
    <w:rsid w:val="00C521D1"/>
    <w:rsid w:val="00C52416"/>
    <w:rsid w:val="00C52D0B"/>
    <w:rsid w:val="00C52D7A"/>
    <w:rsid w:val="00C53BCA"/>
    <w:rsid w:val="00C53EC6"/>
    <w:rsid w:val="00C543F4"/>
    <w:rsid w:val="00C5578A"/>
    <w:rsid w:val="00C56588"/>
    <w:rsid w:val="00C572A5"/>
    <w:rsid w:val="00C57B01"/>
    <w:rsid w:val="00C57E68"/>
    <w:rsid w:val="00C60308"/>
    <w:rsid w:val="00C60600"/>
    <w:rsid w:val="00C608E6"/>
    <w:rsid w:val="00C60EFE"/>
    <w:rsid w:val="00C61221"/>
    <w:rsid w:val="00C6291C"/>
    <w:rsid w:val="00C632BA"/>
    <w:rsid w:val="00C633CB"/>
    <w:rsid w:val="00C64B80"/>
    <w:rsid w:val="00C64EE1"/>
    <w:rsid w:val="00C65069"/>
    <w:rsid w:val="00C661A3"/>
    <w:rsid w:val="00C664CD"/>
    <w:rsid w:val="00C669EB"/>
    <w:rsid w:val="00C6798B"/>
    <w:rsid w:val="00C67C5F"/>
    <w:rsid w:val="00C7010F"/>
    <w:rsid w:val="00C7032C"/>
    <w:rsid w:val="00C70468"/>
    <w:rsid w:val="00C7058A"/>
    <w:rsid w:val="00C705BF"/>
    <w:rsid w:val="00C70CD3"/>
    <w:rsid w:val="00C70D84"/>
    <w:rsid w:val="00C71162"/>
    <w:rsid w:val="00C722A4"/>
    <w:rsid w:val="00C72A45"/>
    <w:rsid w:val="00C73643"/>
    <w:rsid w:val="00C736B7"/>
    <w:rsid w:val="00C73C0D"/>
    <w:rsid w:val="00C73CA5"/>
    <w:rsid w:val="00C74176"/>
    <w:rsid w:val="00C74847"/>
    <w:rsid w:val="00C75161"/>
    <w:rsid w:val="00C764FA"/>
    <w:rsid w:val="00C76638"/>
    <w:rsid w:val="00C77D21"/>
    <w:rsid w:val="00C80CCB"/>
    <w:rsid w:val="00C81D4A"/>
    <w:rsid w:val="00C8313E"/>
    <w:rsid w:val="00C8327B"/>
    <w:rsid w:val="00C83896"/>
    <w:rsid w:val="00C83A1E"/>
    <w:rsid w:val="00C84089"/>
    <w:rsid w:val="00C84A49"/>
    <w:rsid w:val="00C84F5A"/>
    <w:rsid w:val="00C86945"/>
    <w:rsid w:val="00C86B03"/>
    <w:rsid w:val="00C874A0"/>
    <w:rsid w:val="00C874E0"/>
    <w:rsid w:val="00C8762C"/>
    <w:rsid w:val="00C8781F"/>
    <w:rsid w:val="00C87A19"/>
    <w:rsid w:val="00C87DEB"/>
    <w:rsid w:val="00C90480"/>
    <w:rsid w:val="00C90D1D"/>
    <w:rsid w:val="00C91586"/>
    <w:rsid w:val="00C94298"/>
    <w:rsid w:val="00C94BD7"/>
    <w:rsid w:val="00C9593C"/>
    <w:rsid w:val="00C95AE9"/>
    <w:rsid w:val="00C95E21"/>
    <w:rsid w:val="00C969BE"/>
    <w:rsid w:val="00C969E3"/>
    <w:rsid w:val="00C975AB"/>
    <w:rsid w:val="00CA00F9"/>
    <w:rsid w:val="00CA077F"/>
    <w:rsid w:val="00CA10C1"/>
    <w:rsid w:val="00CA12AC"/>
    <w:rsid w:val="00CA18B4"/>
    <w:rsid w:val="00CA2507"/>
    <w:rsid w:val="00CA27F0"/>
    <w:rsid w:val="00CA2961"/>
    <w:rsid w:val="00CA2A8E"/>
    <w:rsid w:val="00CA3A23"/>
    <w:rsid w:val="00CA3C0B"/>
    <w:rsid w:val="00CA4822"/>
    <w:rsid w:val="00CA49A1"/>
    <w:rsid w:val="00CA4F66"/>
    <w:rsid w:val="00CA521A"/>
    <w:rsid w:val="00CA61A4"/>
    <w:rsid w:val="00CA6237"/>
    <w:rsid w:val="00CA6F2F"/>
    <w:rsid w:val="00CA6FC9"/>
    <w:rsid w:val="00CA70C2"/>
    <w:rsid w:val="00CB0225"/>
    <w:rsid w:val="00CB0A8B"/>
    <w:rsid w:val="00CB1B8C"/>
    <w:rsid w:val="00CB2C1B"/>
    <w:rsid w:val="00CB3E23"/>
    <w:rsid w:val="00CB3E41"/>
    <w:rsid w:val="00CB49B1"/>
    <w:rsid w:val="00CB4A76"/>
    <w:rsid w:val="00CB4C7B"/>
    <w:rsid w:val="00CB4D82"/>
    <w:rsid w:val="00CB50D7"/>
    <w:rsid w:val="00CB63B1"/>
    <w:rsid w:val="00CB64D6"/>
    <w:rsid w:val="00CB6E8F"/>
    <w:rsid w:val="00CB7177"/>
    <w:rsid w:val="00CB77FD"/>
    <w:rsid w:val="00CB7CED"/>
    <w:rsid w:val="00CB7F75"/>
    <w:rsid w:val="00CC070F"/>
    <w:rsid w:val="00CC1998"/>
    <w:rsid w:val="00CC24E5"/>
    <w:rsid w:val="00CC2E99"/>
    <w:rsid w:val="00CC2EEF"/>
    <w:rsid w:val="00CC3A1A"/>
    <w:rsid w:val="00CC3ABB"/>
    <w:rsid w:val="00CC3C8F"/>
    <w:rsid w:val="00CC4845"/>
    <w:rsid w:val="00CC4889"/>
    <w:rsid w:val="00CC4946"/>
    <w:rsid w:val="00CC4A5C"/>
    <w:rsid w:val="00CC4A95"/>
    <w:rsid w:val="00CC5D29"/>
    <w:rsid w:val="00CC5DCB"/>
    <w:rsid w:val="00CC5DDD"/>
    <w:rsid w:val="00CC64A1"/>
    <w:rsid w:val="00CC6D5B"/>
    <w:rsid w:val="00CC75EA"/>
    <w:rsid w:val="00CC7D68"/>
    <w:rsid w:val="00CD013B"/>
    <w:rsid w:val="00CD0EFF"/>
    <w:rsid w:val="00CD0F2C"/>
    <w:rsid w:val="00CD18E0"/>
    <w:rsid w:val="00CD1BC0"/>
    <w:rsid w:val="00CD241C"/>
    <w:rsid w:val="00CD2C29"/>
    <w:rsid w:val="00CD2DF7"/>
    <w:rsid w:val="00CD37F3"/>
    <w:rsid w:val="00CD3804"/>
    <w:rsid w:val="00CD39C3"/>
    <w:rsid w:val="00CD4057"/>
    <w:rsid w:val="00CD4743"/>
    <w:rsid w:val="00CD4C0D"/>
    <w:rsid w:val="00CD52D0"/>
    <w:rsid w:val="00CD54D8"/>
    <w:rsid w:val="00CD55C4"/>
    <w:rsid w:val="00CD5787"/>
    <w:rsid w:val="00CD5C42"/>
    <w:rsid w:val="00CD5E82"/>
    <w:rsid w:val="00CD5ECF"/>
    <w:rsid w:val="00CD6B4D"/>
    <w:rsid w:val="00CD71DB"/>
    <w:rsid w:val="00CD7612"/>
    <w:rsid w:val="00CD7ED0"/>
    <w:rsid w:val="00CE03DB"/>
    <w:rsid w:val="00CE0D0C"/>
    <w:rsid w:val="00CE1236"/>
    <w:rsid w:val="00CE12B6"/>
    <w:rsid w:val="00CE12C2"/>
    <w:rsid w:val="00CE1AF7"/>
    <w:rsid w:val="00CE1CB0"/>
    <w:rsid w:val="00CE22D5"/>
    <w:rsid w:val="00CE23D9"/>
    <w:rsid w:val="00CE3B83"/>
    <w:rsid w:val="00CE4A9D"/>
    <w:rsid w:val="00CE597D"/>
    <w:rsid w:val="00CE6080"/>
    <w:rsid w:val="00CE6494"/>
    <w:rsid w:val="00CE684A"/>
    <w:rsid w:val="00CE6ECD"/>
    <w:rsid w:val="00CE7C96"/>
    <w:rsid w:val="00CE7CBC"/>
    <w:rsid w:val="00CF04EE"/>
    <w:rsid w:val="00CF0D8B"/>
    <w:rsid w:val="00CF181F"/>
    <w:rsid w:val="00CF1CD8"/>
    <w:rsid w:val="00CF20E0"/>
    <w:rsid w:val="00CF270E"/>
    <w:rsid w:val="00CF32D7"/>
    <w:rsid w:val="00CF3B11"/>
    <w:rsid w:val="00CF442A"/>
    <w:rsid w:val="00CF46B4"/>
    <w:rsid w:val="00CF476C"/>
    <w:rsid w:val="00CF47F6"/>
    <w:rsid w:val="00CF48B6"/>
    <w:rsid w:val="00CF5B31"/>
    <w:rsid w:val="00CF636B"/>
    <w:rsid w:val="00CF664C"/>
    <w:rsid w:val="00D001DD"/>
    <w:rsid w:val="00D007DA"/>
    <w:rsid w:val="00D00912"/>
    <w:rsid w:val="00D02D0F"/>
    <w:rsid w:val="00D02EC9"/>
    <w:rsid w:val="00D0332B"/>
    <w:rsid w:val="00D0359B"/>
    <w:rsid w:val="00D039B3"/>
    <w:rsid w:val="00D03BD8"/>
    <w:rsid w:val="00D040FE"/>
    <w:rsid w:val="00D04733"/>
    <w:rsid w:val="00D05F11"/>
    <w:rsid w:val="00D062DE"/>
    <w:rsid w:val="00D0765B"/>
    <w:rsid w:val="00D07884"/>
    <w:rsid w:val="00D114BD"/>
    <w:rsid w:val="00D11699"/>
    <w:rsid w:val="00D11836"/>
    <w:rsid w:val="00D12265"/>
    <w:rsid w:val="00D12FFF"/>
    <w:rsid w:val="00D1337F"/>
    <w:rsid w:val="00D134E0"/>
    <w:rsid w:val="00D13CF4"/>
    <w:rsid w:val="00D14426"/>
    <w:rsid w:val="00D14AEF"/>
    <w:rsid w:val="00D14FAE"/>
    <w:rsid w:val="00D152C1"/>
    <w:rsid w:val="00D16640"/>
    <w:rsid w:val="00D16A33"/>
    <w:rsid w:val="00D16D5C"/>
    <w:rsid w:val="00D1720A"/>
    <w:rsid w:val="00D17C15"/>
    <w:rsid w:val="00D20824"/>
    <w:rsid w:val="00D2109C"/>
    <w:rsid w:val="00D22064"/>
    <w:rsid w:val="00D229F1"/>
    <w:rsid w:val="00D22C47"/>
    <w:rsid w:val="00D2318F"/>
    <w:rsid w:val="00D24568"/>
    <w:rsid w:val="00D249D7"/>
    <w:rsid w:val="00D24A21"/>
    <w:rsid w:val="00D2525C"/>
    <w:rsid w:val="00D252FD"/>
    <w:rsid w:val="00D253D6"/>
    <w:rsid w:val="00D2677B"/>
    <w:rsid w:val="00D26B3E"/>
    <w:rsid w:val="00D26B9D"/>
    <w:rsid w:val="00D270A4"/>
    <w:rsid w:val="00D27610"/>
    <w:rsid w:val="00D27B3B"/>
    <w:rsid w:val="00D27C33"/>
    <w:rsid w:val="00D27C9B"/>
    <w:rsid w:val="00D3069F"/>
    <w:rsid w:val="00D31125"/>
    <w:rsid w:val="00D313EF"/>
    <w:rsid w:val="00D31443"/>
    <w:rsid w:val="00D3144A"/>
    <w:rsid w:val="00D31FE9"/>
    <w:rsid w:val="00D32332"/>
    <w:rsid w:val="00D324C4"/>
    <w:rsid w:val="00D324E2"/>
    <w:rsid w:val="00D3296D"/>
    <w:rsid w:val="00D3372E"/>
    <w:rsid w:val="00D337DD"/>
    <w:rsid w:val="00D338B8"/>
    <w:rsid w:val="00D33BA6"/>
    <w:rsid w:val="00D3486E"/>
    <w:rsid w:val="00D34E1B"/>
    <w:rsid w:val="00D3531B"/>
    <w:rsid w:val="00D35D21"/>
    <w:rsid w:val="00D36038"/>
    <w:rsid w:val="00D376BA"/>
    <w:rsid w:val="00D377C4"/>
    <w:rsid w:val="00D40F83"/>
    <w:rsid w:val="00D41058"/>
    <w:rsid w:val="00D415E2"/>
    <w:rsid w:val="00D42832"/>
    <w:rsid w:val="00D42D99"/>
    <w:rsid w:val="00D434A0"/>
    <w:rsid w:val="00D439D6"/>
    <w:rsid w:val="00D43C69"/>
    <w:rsid w:val="00D43F55"/>
    <w:rsid w:val="00D443B0"/>
    <w:rsid w:val="00D44450"/>
    <w:rsid w:val="00D45634"/>
    <w:rsid w:val="00D45C8A"/>
    <w:rsid w:val="00D462DB"/>
    <w:rsid w:val="00D464FC"/>
    <w:rsid w:val="00D471C4"/>
    <w:rsid w:val="00D47A40"/>
    <w:rsid w:val="00D500A2"/>
    <w:rsid w:val="00D51358"/>
    <w:rsid w:val="00D516EB"/>
    <w:rsid w:val="00D516F8"/>
    <w:rsid w:val="00D51C29"/>
    <w:rsid w:val="00D53686"/>
    <w:rsid w:val="00D53DB5"/>
    <w:rsid w:val="00D54413"/>
    <w:rsid w:val="00D54BF8"/>
    <w:rsid w:val="00D5568A"/>
    <w:rsid w:val="00D557D3"/>
    <w:rsid w:val="00D5584B"/>
    <w:rsid w:val="00D57A8D"/>
    <w:rsid w:val="00D61012"/>
    <w:rsid w:val="00D61029"/>
    <w:rsid w:val="00D612F1"/>
    <w:rsid w:val="00D61A10"/>
    <w:rsid w:val="00D61D77"/>
    <w:rsid w:val="00D61EDE"/>
    <w:rsid w:val="00D628CD"/>
    <w:rsid w:val="00D62A16"/>
    <w:rsid w:val="00D62C5F"/>
    <w:rsid w:val="00D62C6D"/>
    <w:rsid w:val="00D635E8"/>
    <w:rsid w:val="00D63D73"/>
    <w:rsid w:val="00D64452"/>
    <w:rsid w:val="00D663DD"/>
    <w:rsid w:val="00D66E1E"/>
    <w:rsid w:val="00D6706B"/>
    <w:rsid w:val="00D675D8"/>
    <w:rsid w:val="00D67809"/>
    <w:rsid w:val="00D70696"/>
    <w:rsid w:val="00D71D70"/>
    <w:rsid w:val="00D72411"/>
    <w:rsid w:val="00D72D7A"/>
    <w:rsid w:val="00D72F6D"/>
    <w:rsid w:val="00D73B27"/>
    <w:rsid w:val="00D73DD9"/>
    <w:rsid w:val="00D73DF5"/>
    <w:rsid w:val="00D74916"/>
    <w:rsid w:val="00D75722"/>
    <w:rsid w:val="00D76242"/>
    <w:rsid w:val="00D7631F"/>
    <w:rsid w:val="00D765CA"/>
    <w:rsid w:val="00D76624"/>
    <w:rsid w:val="00D80246"/>
    <w:rsid w:val="00D808AC"/>
    <w:rsid w:val="00D80A5D"/>
    <w:rsid w:val="00D80CF5"/>
    <w:rsid w:val="00D812D6"/>
    <w:rsid w:val="00D8141A"/>
    <w:rsid w:val="00D816FA"/>
    <w:rsid w:val="00D81D89"/>
    <w:rsid w:val="00D8300C"/>
    <w:rsid w:val="00D83B91"/>
    <w:rsid w:val="00D83CC0"/>
    <w:rsid w:val="00D84DD6"/>
    <w:rsid w:val="00D85302"/>
    <w:rsid w:val="00D85617"/>
    <w:rsid w:val="00D8593D"/>
    <w:rsid w:val="00D85A1E"/>
    <w:rsid w:val="00D86039"/>
    <w:rsid w:val="00D86B52"/>
    <w:rsid w:val="00D86B96"/>
    <w:rsid w:val="00D86BD7"/>
    <w:rsid w:val="00D8759A"/>
    <w:rsid w:val="00D87F29"/>
    <w:rsid w:val="00D900E1"/>
    <w:rsid w:val="00D91375"/>
    <w:rsid w:val="00D91378"/>
    <w:rsid w:val="00D91DC6"/>
    <w:rsid w:val="00D91F92"/>
    <w:rsid w:val="00D92983"/>
    <w:rsid w:val="00D92FCB"/>
    <w:rsid w:val="00D92FEC"/>
    <w:rsid w:val="00D93579"/>
    <w:rsid w:val="00D9379A"/>
    <w:rsid w:val="00D946B1"/>
    <w:rsid w:val="00D94D9A"/>
    <w:rsid w:val="00D94F24"/>
    <w:rsid w:val="00D95FF6"/>
    <w:rsid w:val="00D96792"/>
    <w:rsid w:val="00D96EA8"/>
    <w:rsid w:val="00D97368"/>
    <w:rsid w:val="00D974AA"/>
    <w:rsid w:val="00D97EF8"/>
    <w:rsid w:val="00DA0D40"/>
    <w:rsid w:val="00DA14CE"/>
    <w:rsid w:val="00DA1A2B"/>
    <w:rsid w:val="00DA20B6"/>
    <w:rsid w:val="00DA2860"/>
    <w:rsid w:val="00DA2DB9"/>
    <w:rsid w:val="00DA3C3A"/>
    <w:rsid w:val="00DA4CD7"/>
    <w:rsid w:val="00DA52F7"/>
    <w:rsid w:val="00DA5BBA"/>
    <w:rsid w:val="00DA6225"/>
    <w:rsid w:val="00DA6240"/>
    <w:rsid w:val="00DA644B"/>
    <w:rsid w:val="00DA6928"/>
    <w:rsid w:val="00DA7B50"/>
    <w:rsid w:val="00DA7F8C"/>
    <w:rsid w:val="00DB0860"/>
    <w:rsid w:val="00DB0A00"/>
    <w:rsid w:val="00DB1C8B"/>
    <w:rsid w:val="00DB210D"/>
    <w:rsid w:val="00DB23EA"/>
    <w:rsid w:val="00DB26D2"/>
    <w:rsid w:val="00DB2AD1"/>
    <w:rsid w:val="00DB3354"/>
    <w:rsid w:val="00DB364A"/>
    <w:rsid w:val="00DB385B"/>
    <w:rsid w:val="00DB41F3"/>
    <w:rsid w:val="00DB4BF8"/>
    <w:rsid w:val="00DB516C"/>
    <w:rsid w:val="00DB51FA"/>
    <w:rsid w:val="00DB5C6B"/>
    <w:rsid w:val="00DB636E"/>
    <w:rsid w:val="00DB67C9"/>
    <w:rsid w:val="00DB68CC"/>
    <w:rsid w:val="00DB7298"/>
    <w:rsid w:val="00DB76DB"/>
    <w:rsid w:val="00DB7B6C"/>
    <w:rsid w:val="00DC0938"/>
    <w:rsid w:val="00DC0C95"/>
    <w:rsid w:val="00DC2415"/>
    <w:rsid w:val="00DC2E91"/>
    <w:rsid w:val="00DC31C5"/>
    <w:rsid w:val="00DC41DA"/>
    <w:rsid w:val="00DC443D"/>
    <w:rsid w:val="00DC4747"/>
    <w:rsid w:val="00DC4A0C"/>
    <w:rsid w:val="00DC4CCA"/>
    <w:rsid w:val="00DC4D64"/>
    <w:rsid w:val="00DC4F0B"/>
    <w:rsid w:val="00DC5E79"/>
    <w:rsid w:val="00DC5F95"/>
    <w:rsid w:val="00DC6142"/>
    <w:rsid w:val="00DC6AB3"/>
    <w:rsid w:val="00DD06B3"/>
    <w:rsid w:val="00DD0710"/>
    <w:rsid w:val="00DD0B34"/>
    <w:rsid w:val="00DD0C9C"/>
    <w:rsid w:val="00DD0FEA"/>
    <w:rsid w:val="00DD1BCC"/>
    <w:rsid w:val="00DD1D62"/>
    <w:rsid w:val="00DD292B"/>
    <w:rsid w:val="00DD2C52"/>
    <w:rsid w:val="00DD323E"/>
    <w:rsid w:val="00DD33D9"/>
    <w:rsid w:val="00DD38EC"/>
    <w:rsid w:val="00DD51EA"/>
    <w:rsid w:val="00DD52A3"/>
    <w:rsid w:val="00DD60FA"/>
    <w:rsid w:val="00DD6395"/>
    <w:rsid w:val="00DD6580"/>
    <w:rsid w:val="00DD705E"/>
    <w:rsid w:val="00DD78B6"/>
    <w:rsid w:val="00DD793C"/>
    <w:rsid w:val="00DE031F"/>
    <w:rsid w:val="00DE1196"/>
    <w:rsid w:val="00DE1922"/>
    <w:rsid w:val="00DE1D7F"/>
    <w:rsid w:val="00DE236B"/>
    <w:rsid w:val="00DE2B66"/>
    <w:rsid w:val="00DE2F05"/>
    <w:rsid w:val="00DE3F6B"/>
    <w:rsid w:val="00DE44F5"/>
    <w:rsid w:val="00DE4506"/>
    <w:rsid w:val="00DE49CD"/>
    <w:rsid w:val="00DE4ABC"/>
    <w:rsid w:val="00DE5C83"/>
    <w:rsid w:val="00DE5CEC"/>
    <w:rsid w:val="00DE5FF7"/>
    <w:rsid w:val="00DE70BC"/>
    <w:rsid w:val="00DE75C3"/>
    <w:rsid w:val="00DE7D1B"/>
    <w:rsid w:val="00DE7DCB"/>
    <w:rsid w:val="00DF0338"/>
    <w:rsid w:val="00DF06DC"/>
    <w:rsid w:val="00DF116F"/>
    <w:rsid w:val="00DF19C8"/>
    <w:rsid w:val="00DF1C18"/>
    <w:rsid w:val="00DF214A"/>
    <w:rsid w:val="00DF38F0"/>
    <w:rsid w:val="00DF4725"/>
    <w:rsid w:val="00DF500F"/>
    <w:rsid w:val="00DF510D"/>
    <w:rsid w:val="00DF6617"/>
    <w:rsid w:val="00DF6C1A"/>
    <w:rsid w:val="00DF7137"/>
    <w:rsid w:val="00E0085D"/>
    <w:rsid w:val="00E00B96"/>
    <w:rsid w:val="00E00E29"/>
    <w:rsid w:val="00E01569"/>
    <w:rsid w:val="00E01CEB"/>
    <w:rsid w:val="00E01D7F"/>
    <w:rsid w:val="00E020F3"/>
    <w:rsid w:val="00E03588"/>
    <w:rsid w:val="00E03652"/>
    <w:rsid w:val="00E040CC"/>
    <w:rsid w:val="00E05C03"/>
    <w:rsid w:val="00E062AD"/>
    <w:rsid w:val="00E06886"/>
    <w:rsid w:val="00E0736E"/>
    <w:rsid w:val="00E102AE"/>
    <w:rsid w:val="00E1041A"/>
    <w:rsid w:val="00E10E69"/>
    <w:rsid w:val="00E120D5"/>
    <w:rsid w:val="00E12529"/>
    <w:rsid w:val="00E1284A"/>
    <w:rsid w:val="00E12A64"/>
    <w:rsid w:val="00E12B20"/>
    <w:rsid w:val="00E1367B"/>
    <w:rsid w:val="00E136EC"/>
    <w:rsid w:val="00E13885"/>
    <w:rsid w:val="00E13AFF"/>
    <w:rsid w:val="00E13BA5"/>
    <w:rsid w:val="00E15FB3"/>
    <w:rsid w:val="00E16639"/>
    <w:rsid w:val="00E16968"/>
    <w:rsid w:val="00E17856"/>
    <w:rsid w:val="00E17C72"/>
    <w:rsid w:val="00E20B41"/>
    <w:rsid w:val="00E21FC6"/>
    <w:rsid w:val="00E22F32"/>
    <w:rsid w:val="00E22FBA"/>
    <w:rsid w:val="00E23C9D"/>
    <w:rsid w:val="00E243A1"/>
    <w:rsid w:val="00E24F6B"/>
    <w:rsid w:val="00E25021"/>
    <w:rsid w:val="00E26088"/>
    <w:rsid w:val="00E3042B"/>
    <w:rsid w:val="00E30A84"/>
    <w:rsid w:val="00E31BAA"/>
    <w:rsid w:val="00E32205"/>
    <w:rsid w:val="00E3333B"/>
    <w:rsid w:val="00E33A83"/>
    <w:rsid w:val="00E34D03"/>
    <w:rsid w:val="00E34EED"/>
    <w:rsid w:val="00E35262"/>
    <w:rsid w:val="00E357D1"/>
    <w:rsid w:val="00E35FF5"/>
    <w:rsid w:val="00E364B3"/>
    <w:rsid w:val="00E36D42"/>
    <w:rsid w:val="00E378DE"/>
    <w:rsid w:val="00E40B27"/>
    <w:rsid w:val="00E418DB"/>
    <w:rsid w:val="00E420D3"/>
    <w:rsid w:val="00E42609"/>
    <w:rsid w:val="00E42B40"/>
    <w:rsid w:val="00E431A9"/>
    <w:rsid w:val="00E4324F"/>
    <w:rsid w:val="00E4329F"/>
    <w:rsid w:val="00E43771"/>
    <w:rsid w:val="00E43881"/>
    <w:rsid w:val="00E443E1"/>
    <w:rsid w:val="00E4498A"/>
    <w:rsid w:val="00E44A90"/>
    <w:rsid w:val="00E44D55"/>
    <w:rsid w:val="00E458C9"/>
    <w:rsid w:val="00E45DEE"/>
    <w:rsid w:val="00E45E88"/>
    <w:rsid w:val="00E4605D"/>
    <w:rsid w:val="00E46269"/>
    <w:rsid w:val="00E4686A"/>
    <w:rsid w:val="00E468AB"/>
    <w:rsid w:val="00E46A48"/>
    <w:rsid w:val="00E4701B"/>
    <w:rsid w:val="00E47198"/>
    <w:rsid w:val="00E47E1E"/>
    <w:rsid w:val="00E51370"/>
    <w:rsid w:val="00E5155C"/>
    <w:rsid w:val="00E51646"/>
    <w:rsid w:val="00E51A97"/>
    <w:rsid w:val="00E5236A"/>
    <w:rsid w:val="00E5282E"/>
    <w:rsid w:val="00E52CBE"/>
    <w:rsid w:val="00E534A1"/>
    <w:rsid w:val="00E53C97"/>
    <w:rsid w:val="00E545F7"/>
    <w:rsid w:val="00E54739"/>
    <w:rsid w:val="00E547B8"/>
    <w:rsid w:val="00E55828"/>
    <w:rsid w:val="00E55ADB"/>
    <w:rsid w:val="00E56204"/>
    <w:rsid w:val="00E5674D"/>
    <w:rsid w:val="00E56DF4"/>
    <w:rsid w:val="00E616A9"/>
    <w:rsid w:val="00E61FF8"/>
    <w:rsid w:val="00E627B1"/>
    <w:rsid w:val="00E62F6A"/>
    <w:rsid w:val="00E63502"/>
    <w:rsid w:val="00E638B3"/>
    <w:rsid w:val="00E63BC7"/>
    <w:rsid w:val="00E63DF9"/>
    <w:rsid w:val="00E642DB"/>
    <w:rsid w:val="00E6524F"/>
    <w:rsid w:val="00E65799"/>
    <w:rsid w:val="00E663DF"/>
    <w:rsid w:val="00E66587"/>
    <w:rsid w:val="00E668B9"/>
    <w:rsid w:val="00E669E2"/>
    <w:rsid w:val="00E67AE1"/>
    <w:rsid w:val="00E67BA7"/>
    <w:rsid w:val="00E7030B"/>
    <w:rsid w:val="00E70968"/>
    <w:rsid w:val="00E70ADD"/>
    <w:rsid w:val="00E71423"/>
    <w:rsid w:val="00E717B9"/>
    <w:rsid w:val="00E718BE"/>
    <w:rsid w:val="00E728DE"/>
    <w:rsid w:val="00E7337C"/>
    <w:rsid w:val="00E73CD1"/>
    <w:rsid w:val="00E73E87"/>
    <w:rsid w:val="00E741BC"/>
    <w:rsid w:val="00E76135"/>
    <w:rsid w:val="00E7620B"/>
    <w:rsid w:val="00E76314"/>
    <w:rsid w:val="00E765E4"/>
    <w:rsid w:val="00E76652"/>
    <w:rsid w:val="00E76850"/>
    <w:rsid w:val="00E7719A"/>
    <w:rsid w:val="00E80742"/>
    <w:rsid w:val="00E80F81"/>
    <w:rsid w:val="00E814AD"/>
    <w:rsid w:val="00E815D8"/>
    <w:rsid w:val="00E820D8"/>
    <w:rsid w:val="00E82D40"/>
    <w:rsid w:val="00E82F4F"/>
    <w:rsid w:val="00E840B4"/>
    <w:rsid w:val="00E8423D"/>
    <w:rsid w:val="00E84329"/>
    <w:rsid w:val="00E8486C"/>
    <w:rsid w:val="00E84EE2"/>
    <w:rsid w:val="00E85AB0"/>
    <w:rsid w:val="00E85EA7"/>
    <w:rsid w:val="00E86207"/>
    <w:rsid w:val="00E864DF"/>
    <w:rsid w:val="00E8662B"/>
    <w:rsid w:val="00E8728D"/>
    <w:rsid w:val="00E872AA"/>
    <w:rsid w:val="00E87ABD"/>
    <w:rsid w:val="00E902E5"/>
    <w:rsid w:val="00E9091D"/>
    <w:rsid w:val="00E91340"/>
    <w:rsid w:val="00E91C62"/>
    <w:rsid w:val="00E922FA"/>
    <w:rsid w:val="00E92872"/>
    <w:rsid w:val="00E9295C"/>
    <w:rsid w:val="00E9420F"/>
    <w:rsid w:val="00E94FED"/>
    <w:rsid w:val="00E95038"/>
    <w:rsid w:val="00E950C9"/>
    <w:rsid w:val="00E9564A"/>
    <w:rsid w:val="00E964C2"/>
    <w:rsid w:val="00E96892"/>
    <w:rsid w:val="00E9759E"/>
    <w:rsid w:val="00EA04D3"/>
    <w:rsid w:val="00EA0F29"/>
    <w:rsid w:val="00EA1482"/>
    <w:rsid w:val="00EA17B9"/>
    <w:rsid w:val="00EA1C35"/>
    <w:rsid w:val="00EA26BB"/>
    <w:rsid w:val="00EA3547"/>
    <w:rsid w:val="00EA47CB"/>
    <w:rsid w:val="00EA4867"/>
    <w:rsid w:val="00EA48CD"/>
    <w:rsid w:val="00EA4CF0"/>
    <w:rsid w:val="00EA60C1"/>
    <w:rsid w:val="00EA643A"/>
    <w:rsid w:val="00EA66CD"/>
    <w:rsid w:val="00EB03EB"/>
    <w:rsid w:val="00EB0FF5"/>
    <w:rsid w:val="00EB1AC5"/>
    <w:rsid w:val="00EB29B3"/>
    <w:rsid w:val="00EB2CC3"/>
    <w:rsid w:val="00EB2CD5"/>
    <w:rsid w:val="00EB389F"/>
    <w:rsid w:val="00EB3949"/>
    <w:rsid w:val="00EB399B"/>
    <w:rsid w:val="00EB4CD8"/>
    <w:rsid w:val="00EB5025"/>
    <w:rsid w:val="00EB51E5"/>
    <w:rsid w:val="00EB6E4B"/>
    <w:rsid w:val="00EC1260"/>
    <w:rsid w:val="00EC1309"/>
    <w:rsid w:val="00EC1DEA"/>
    <w:rsid w:val="00EC2844"/>
    <w:rsid w:val="00EC2DA3"/>
    <w:rsid w:val="00EC390B"/>
    <w:rsid w:val="00EC3F7D"/>
    <w:rsid w:val="00EC5500"/>
    <w:rsid w:val="00EC55BD"/>
    <w:rsid w:val="00EC5903"/>
    <w:rsid w:val="00EC5A9C"/>
    <w:rsid w:val="00EC6038"/>
    <w:rsid w:val="00EC60CE"/>
    <w:rsid w:val="00EC6BD5"/>
    <w:rsid w:val="00EC6D2D"/>
    <w:rsid w:val="00EC6F4C"/>
    <w:rsid w:val="00EC6F57"/>
    <w:rsid w:val="00EC7F08"/>
    <w:rsid w:val="00ED0F9F"/>
    <w:rsid w:val="00ED1059"/>
    <w:rsid w:val="00ED115B"/>
    <w:rsid w:val="00ED18F8"/>
    <w:rsid w:val="00ED1F2D"/>
    <w:rsid w:val="00ED22A0"/>
    <w:rsid w:val="00ED3747"/>
    <w:rsid w:val="00ED47D0"/>
    <w:rsid w:val="00ED4811"/>
    <w:rsid w:val="00ED576C"/>
    <w:rsid w:val="00ED665A"/>
    <w:rsid w:val="00ED697E"/>
    <w:rsid w:val="00ED74FB"/>
    <w:rsid w:val="00EE073D"/>
    <w:rsid w:val="00EE127F"/>
    <w:rsid w:val="00EE175E"/>
    <w:rsid w:val="00EE1D15"/>
    <w:rsid w:val="00EE2180"/>
    <w:rsid w:val="00EE2584"/>
    <w:rsid w:val="00EE2795"/>
    <w:rsid w:val="00EE3176"/>
    <w:rsid w:val="00EE355F"/>
    <w:rsid w:val="00EE3735"/>
    <w:rsid w:val="00EE3DCF"/>
    <w:rsid w:val="00EE417C"/>
    <w:rsid w:val="00EE5084"/>
    <w:rsid w:val="00EE5814"/>
    <w:rsid w:val="00EE5A13"/>
    <w:rsid w:val="00EE6129"/>
    <w:rsid w:val="00EE6EDA"/>
    <w:rsid w:val="00EE7261"/>
    <w:rsid w:val="00EE74C3"/>
    <w:rsid w:val="00EE7522"/>
    <w:rsid w:val="00EE7680"/>
    <w:rsid w:val="00EE778E"/>
    <w:rsid w:val="00EE7A50"/>
    <w:rsid w:val="00EF03E6"/>
    <w:rsid w:val="00EF063B"/>
    <w:rsid w:val="00EF0CA2"/>
    <w:rsid w:val="00EF1355"/>
    <w:rsid w:val="00EF163D"/>
    <w:rsid w:val="00EF1830"/>
    <w:rsid w:val="00EF1EE4"/>
    <w:rsid w:val="00EF3C8D"/>
    <w:rsid w:val="00EF3DB9"/>
    <w:rsid w:val="00EF5188"/>
    <w:rsid w:val="00EF5472"/>
    <w:rsid w:val="00EF5816"/>
    <w:rsid w:val="00EF6719"/>
    <w:rsid w:val="00EF6C6C"/>
    <w:rsid w:val="00EF719C"/>
    <w:rsid w:val="00EF7265"/>
    <w:rsid w:val="00EF77CB"/>
    <w:rsid w:val="00EF78E4"/>
    <w:rsid w:val="00EF7B05"/>
    <w:rsid w:val="00EF7E0D"/>
    <w:rsid w:val="00F00E25"/>
    <w:rsid w:val="00F01ACC"/>
    <w:rsid w:val="00F0205A"/>
    <w:rsid w:val="00F0255F"/>
    <w:rsid w:val="00F02924"/>
    <w:rsid w:val="00F02C09"/>
    <w:rsid w:val="00F02C4D"/>
    <w:rsid w:val="00F02CE1"/>
    <w:rsid w:val="00F03D53"/>
    <w:rsid w:val="00F040CF"/>
    <w:rsid w:val="00F04919"/>
    <w:rsid w:val="00F04CA7"/>
    <w:rsid w:val="00F04EF3"/>
    <w:rsid w:val="00F053E3"/>
    <w:rsid w:val="00F056FC"/>
    <w:rsid w:val="00F05BD3"/>
    <w:rsid w:val="00F0632F"/>
    <w:rsid w:val="00F069AE"/>
    <w:rsid w:val="00F071F8"/>
    <w:rsid w:val="00F074F2"/>
    <w:rsid w:val="00F07899"/>
    <w:rsid w:val="00F07927"/>
    <w:rsid w:val="00F07DFC"/>
    <w:rsid w:val="00F10476"/>
    <w:rsid w:val="00F10E1F"/>
    <w:rsid w:val="00F111EA"/>
    <w:rsid w:val="00F115F8"/>
    <w:rsid w:val="00F134EA"/>
    <w:rsid w:val="00F135D8"/>
    <w:rsid w:val="00F13840"/>
    <w:rsid w:val="00F16027"/>
    <w:rsid w:val="00F161FB"/>
    <w:rsid w:val="00F17787"/>
    <w:rsid w:val="00F2095A"/>
    <w:rsid w:val="00F213B0"/>
    <w:rsid w:val="00F228D1"/>
    <w:rsid w:val="00F23122"/>
    <w:rsid w:val="00F244AB"/>
    <w:rsid w:val="00F26441"/>
    <w:rsid w:val="00F265CF"/>
    <w:rsid w:val="00F273FC"/>
    <w:rsid w:val="00F3077D"/>
    <w:rsid w:val="00F31299"/>
    <w:rsid w:val="00F315E7"/>
    <w:rsid w:val="00F31D21"/>
    <w:rsid w:val="00F31E5A"/>
    <w:rsid w:val="00F32392"/>
    <w:rsid w:val="00F33965"/>
    <w:rsid w:val="00F352AF"/>
    <w:rsid w:val="00F352B7"/>
    <w:rsid w:val="00F3534A"/>
    <w:rsid w:val="00F35BFB"/>
    <w:rsid w:val="00F3670C"/>
    <w:rsid w:val="00F36ACC"/>
    <w:rsid w:val="00F36B56"/>
    <w:rsid w:val="00F37626"/>
    <w:rsid w:val="00F426FB"/>
    <w:rsid w:val="00F4278D"/>
    <w:rsid w:val="00F42929"/>
    <w:rsid w:val="00F42A04"/>
    <w:rsid w:val="00F42C46"/>
    <w:rsid w:val="00F43519"/>
    <w:rsid w:val="00F43994"/>
    <w:rsid w:val="00F43D5D"/>
    <w:rsid w:val="00F45701"/>
    <w:rsid w:val="00F46D74"/>
    <w:rsid w:val="00F470F0"/>
    <w:rsid w:val="00F475EE"/>
    <w:rsid w:val="00F503B9"/>
    <w:rsid w:val="00F51046"/>
    <w:rsid w:val="00F51609"/>
    <w:rsid w:val="00F52B58"/>
    <w:rsid w:val="00F5381E"/>
    <w:rsid w:val="00F54461"/>
    <w:rsid w:val="00F54724"/>
    <w:rsid w:val="00F54B72"/>
    <w:rsid w:val="00F558A2"/>
    <w:rsid w:val="00F55A6A"/>
    <w:rsid w:val="00F55C25"/>
    <w:rsid w:val="00F56408"/>
    <w:rsid w:val="00F60366"/>
    <w:rsid w:val="00F60D6F"/>
    <w:rsid w:val="00F611CB"/>
    <w:rsid w:val="00F61315"/>
    <w:rsid w:val="00F61594"/>
    <w:rsid w:val="00F61716"/>
    <w:rsid w:val="00F61758"/>
    <w:rsid w:val="00F620A8"/>
    <w:rsid w:val="00F622B0"/>
    <w:rsid w:val="00F622B9"/>
    <w:rsid w:val="00F6272C"/>
    <w:rsid w:val="00F6293D"/>
    <w:rsid w:val="00F62C95"/>
    <w:rsid w:val="00F62DB8"/>
    <w:rsid w:val="00F63234"/>
    <w:rsid w:val="00F63714"/>
    <w:rsid w:val="00F63E3F"/>
    <w:rsid w:val="00F642C0"/>
    <w:rsid w:val="00F64878"/>
    <w:rsid w:val="00F64E3B"/>
    <w:rsid w:val="00F653C2"/>
    <w:rsid w:val="00F6584C"/>
    <w:rsid w:val="00F659C0"/>
    <w:rsid w:val="00F65BAB"/>
    <w:rsid w:val="00F65F1A"/>
    <w:rsid w:val="00F66589"/>
    <w:rsid w:val="00F66F99"/>
    <w:rsid w:val="00F6787A"/>
    <w:rsid w:val="00F67C06"/>
    <w:rsid w:val="00F67C74"/>
    <w:rsid w:val="00F67E73"/>
    <w:rsid w:val="00F70090"/>
    <w:rsid w:val="00F70C3B"/>
    <w:rsid w:val="00F72438"/>
    <w:rsid w:val="00F729E2"/>
    <w:rsid w:val="00F72B2C"/>
    <w:rsid w:val="00F72DE8"/>
    <w:rsid w:val="00F73727"/>
    <w:rsid w:val="00F737C6"/>
    <w:rsid w:val="00F7396D"/>
    <w:rsid w:val="00F7551D"/>
    <w:rsid w:val="00F75525"/>
    <w:rsid w:val="00F75935"/>
    <w:rsid w:val="00F766A7"/>
    <w:rsid w:val="00F775E0"/>
    <w:rsid w:val="00F800B3"/>
    <w:rsid w:val="00F801F5"/>
    <w:rsid w:val="00F80E87"/>
    <w:rsid w:val="00F81006"/>
    <w:rsid w:val="00F810A6"/>
    <w:rsid w:val="00F81B8C"/>
    <w:rsid w:val="00F81C34"/>
    <w:rsid w:val="00F82F0C"/>
    <w:rsid w:val="00F83647"/>
    <w:rsid w:val="00F84414"/>
    <w:rsid w:val="00F844B0"/>
    <w:rsid w:val="00F84A8D"/>
    <w:rsid w:val="00F84D5C"/>
    <w:rsid w:val="00F85325"/>
    <w:rsid w:val="00F86EDC"/>
    <w:rsid w:val="00F870F6"/>
    <w:rsid w:val="00F8740A"/>
    <w:rsid w:val="00F87610"/>
    <w:rsid w:val="00F87F50"/>
    <w:rsid w:val="00F906FA"/>
    <w:rsid w:val="00F90985"/>
    <w:rsid w:val="00F90A33"/>
    <w:rsid w:val="00F91E7C"/>
    <w:rsid w:val="00F92048"/>
    <w:rsid w:val="00F93B2E"/>
    <w:rsid w:val="00F941B8"/>
    <w:rsid w:val="00F956D4"/>
    <w:rsid w:val="00F95D5F"/>
    <w:rsid w:val="00F9637E"/>
    <w:rsid w:val="00F96ED9"/>
    <w:rsid w:val="00F976F6"/>
    <w:rsid w:val="00F97F11"/>
    <w:rsid w:val="00FA083A"/>
    <w:rsid w:val="00FA1509"/>
    <w:rsid w:val="00FA1E54"/>
    <w:rsid w:val="00FA1F41"/>
    <w:rsid w:val="00FA21E0"/>
    <w:rsid w:val="00FA310D"/>
    <w:rsid w:val="00FA3EAA"/>
    <w:rsid w:val="00FA4056"/>
    <w:rsid w:val="00FA4BA7"/>
    <w:rsid w:val="00FA5B66"/>
    <w:rsid w:val="00FA5F02"/>
    <w:rsid w:val="00FB0027"/>
    <w:rsid w:val="00FB00E8"/>
    <w:rsid w:val="00FB017A"/>
    <w:rsid w:val="00FB305A"/>
    <w:rsid w:val="00FB3D7D"/>
    <w:rsid w:val="00FB55CC"/>
    <w:rsid w:val="00FB61C6"/>
    <w:rsid w:val="00FC06C1"/>
    <w:rsid w:val="00FC26CE"/>
    <w:rsid w:val="00FC2B26"/>
    <w:rsid w:val="00FC3A5A"/>
    <w:rsid w:val="00FC3B09"/>
    <w:rsid w:val="00FC3C65"/>
    <w:rsid w:val="00FC4BB3"/>
    <w:rsid w:val="00FC55D0"/>
    <w:rsid w:val="00FC5ED8"/>
    <w:rsid w:val="00FC672D"/>
    <w:rsid w:val="00FC6BCF"/>
    <w:rsid w:val="00FC7543"/>
    <w:rsid w:val="00FC766D"/>
    <w:rsid w:val="00FC784D"/>
    <w:rsid w:val="00FC7A17"/>
    <w:rsid w:val="00FC7EEE"/>
    <w:rsid w:val="00FD1660"/>
    <w:rsid w:val="00FD1DD1"/>
    <w:rsid w:val="00FD1FA0"/>
    <w:rsid w:val="00FD22B1"/>
    <w:rsid w:val="00FD23EA"/>
    <w:rsid w:val="00FD29F9"/>
    <w:rsid w:val="00FD33F1"/>
    <w:rsid w:val="00FD3566"/>
    <w:rsid w:val="00FD3675"/>
    <w:rsid w:val="00FD3813"/>
    <w:rsid w:val="00FD5581"/>
    <w:rsid w:val="00FD7135"/>
    <w:rsid w:val="00FD71A7"/>
    <w:rsid w:val="00FD7995"/>
    <w:rsid w:val="00FD7B9E"/>
    <w:rsid w:val="00FD7D43"/>
    <w:rsid w:val="00FD7F83"/>
    <w:rsid w:val="00FE0AB6"/>
    <w:rsid w:val="00FE1024"/>
    <w:rsid w:val="00FE1C38"/>
    <w:rsid w:val="00FE22B8"/>
    <w:rsid w:val="00FE234D"/>
    <w:rsid w:val="00FE2A77"/>
    <w:rsid w:val="00FE31C4"/>
    <w:rsid w:val="00FE3B46"/>
    <w:rsid w:val="00FE3C71"/>
    <w:rsid w:val="00FE3CDF"/>
    <w:rsid w:val="00FE3F6D"/>
    <w:rsid w:val="00FE3F8F"/>
    <w:rsid w:val="00FE4355"/>
    <w:rsid w:val="00FE4F99"/>
    <w:rsid w:val="00FE51DD"/>
    <w:rsid w:val="00FE5397"/>
    <w:rsid w:val="00FE53CF"/>
    <w:rsid w:val="00FE6363"/>
    <w:rsid w:val="00FE6E2E"/>
    <w:rsid w:val="00FE7D12"/>
    <w:rsid w:val="00FF0543"/>
    <w:rsid w:val="00FF2575"/>
    <w:rsid w:val="00FF264C"/>
    <w:rsid w:val="00FF2942"/>
    <w:rsid w:val="00FF338B"/>
    <w:rsid w:val="00FF4BD5"/>
    <w:rsid w:val="00FF5299"/>
    <w:rsid w:val="00FF6AD3"/>
    <w:rsid w:val="00FF6D6C"/>
    <w:rsid w:val="00FF70A7"/>
    <w:rsid w:val="00FF7516"/>
    <w:rsid w:val="16EB6752"/>
    <w:rsid w:val="78D1A3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B2F65"/>
  <w15:docId w15:val="{67B9769D-81C8-48CA-AB34-29F4527E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C9"/>
    <w:rPr>
      <w:rFonts w:ascii="Calibri" w:eastAsiaTheme="minorHAnsi" w:hAnsi="Calibri" w:cs="Calibri"/>
      <w:sz w:val="22"/>
      <w:szCs w:val="22"/>
      <w:lang w:eastAsia="en-US"/>
    </w:rPr>
  </w:style>
  <w:style w:type="paragraph" w:styleId="Heading1">
    <w:name w:val="heading 1"/>
    <w:basedOn w:val="BodyText"/>
    <w:next w:val="BodyText"/>
    <w:link w:val="Heading1Char"/>
    <w:uiPriority w:val="9"/>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uiPriority w:val="99"/>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ListParagraph">
    <w:name w:val="List Paragraph"/>
    <w:basedOn w:val="Normal"/>
    <w:uiPriority w:val="34"/>
    <w:qFormat/>
    <w:rsid w:val="004A40C9"/>
    <w:pPr>
      <w:ind w:left="720"/>
    </w:pPr>
  </w:style>
  <w:style w:type="character" w:styleId="Hyperlink">
    <w:name w:val="Hyperlink"/>
    <w:basedOn w:val="DefaultParagraphFont"/>
    <w:uiPriority w:val="99"/>
    <w:unhideWhenUsed/>
    <w:rsid w:val="00B92986"/>
    <w:rPr>
      <w:color w:val="0563C1"/>
      <w:u w:val="single"/>
    </w:rPr>
  </w:style>
  <w:style w:type="paragraph" w:styleId="CommentSubject">
    <w:name w:val="annotation subject"/>
    <w:basedOn w:val="CommentText"/>
    <w:next w:val="CommentText"/>
    <w:link w:val="CommentSubjectChar"/>
    <w:semiHidden/>
    <w:unhideWhenUsed/>
    <w:rsid w:val="00110541"/>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10541"/>
    <w:rPr>
      <w:rFonts w:ascii="Calibri" w:eastAsiaTheme="minorHAnsi" w:hAnsi="Calibri" w:cs="Calibri"/>
      <w:szCs w:val="22"/>
      <w:lang w:eastAsia="en-US"/>
    </w:rPr>
  </w:style>
  <w:style w:type="character" w:customStyle="1" w:styleId="CommentSubjectChar">
    <w:name w:val="Comment Subject Char"/>
    <w:basedOn w:val="CommentTextChar"/>
    <w:link w:val="CommentSubject"/>
    <w:semiHidden/>
    <w:rsid w:val="00110541"/>
    <w:rPr>
      <w:rFonts w:ascii="Calibri" w:eastAsiaTheme="minorHAnsi" w:hAnsi="Calibri" w:cs="Calibri"/>
      <w:b/>
      <w:bCs/>
      <w:szCs w:val="22"/>
      <w:lang w:eastAsia="en-US"/>
    </w:rPr>
  </w:style>
  <w:style w:type="paragraph" w:styleId="Revision">
    <w:name w:val="Revision"/>
    <w:hidden/>
    <w:uiPriority w:val="99"/>
    <w:semiHidden/>
    <w:rsid w:val="00110541"/>
    <w:rPr>
      <w:rFonts w:ascii="Calibri" w:eastAsiaTheme="minorHAnsi" w:hAnsi="Calibri" w:cs="Calibri"/>
      <w:sz w:val="22"/>
      <w:szCs w:val="22"/>
      <w:lang w:eastAsia="en-US"/>
    </w:rPr>
  </w:style>
  <w:style w:type="paragraph" w:customStyle="1" w:styleId="Ntoela">
    <w:name w:val="Ntoe la"/>
    <w:basedOn w:val="Subtitle"/>
    <w:rsid w:val="007D6857"/>
  </w:style>
  <w:style w:type="character" w:customStyle="1" w:styleId="UnresolvedMention1">
    <w:name w:val="Unresolved Mention1"/>
    <w:basedOn w:val="DefaultParagraphFont"/>
    <w:uiPriority w:val="99"/>
    <w:semiHidden/>
    <w:unhideWhenUsed/>
    <w:rsid w:val="007D6857"/>
    <w:rPr>
      <w:color w:val="605E5C"/>
      <w:shd w:val="clear" w:color="auto" w:fill="E1DFDD"/>
    </w:rPr>
  </w:style>
  <w:style w:type="paragraph" w:customStyle="1" w:styleId="Default">
    <w:name w:val="Default"/>
    <w:rsid w:val="003D74AD"/>
    <w:pPr>
      <w:autoSpaceDE w:val="0"/>
      <w:autoSpaceDN w:val="0"/>
      <w:adjustRightInd w:val="0"/>
    </w:pPr>
    <w:rPr>
      <w:rFonts w:ascii="Deja Vu Serif" w:hAnsi="Deja Vu Serif" w:cs="Deja Vu Serif"/>
      <w:color w:val="000000"/>
      <w:sz w:val="24"/>
      <w:szCs w:val="24"/>
    </w:rPr>
  </w:style>
  <w:style w:type="character" w:customStyle="1" w:styleId="UnresolvedMention2">
    <w:name w:val="Unresolved Mention2"/>
    <w:basedOn w:val="DefaultParagraphFont"/>
    <w:uiPriority w:val="99"/>
    <w:semiHidden/>
    <w:unhideWhenUsed/>
    <w:rsid w:val="00AE42FB"/>
    <w:rPr>
      <w:color w:val="605E5C"/>
      <w:shd w:val="clear" w:color="auto" w:fill="E1DFDD"/>
    </w:rPr>
  </w:style>
  <w:style w:type="paragraph" w:styleId="Bibliography">
    <w:name w:val="Bibliography"/>
    <w:basedOn w:val="Normal"/>
    <w:next w:val="Normal"/>
    <w:uiPriority w:val="37"/>
    <w:unhideWhenUsed/>
    <w:rsid w:val="00080FC9"/>
  </w:style>
  <w:style w:type="character" w:customStyle="1" w:styleId="NoteChar">
    <w:name w:val="Note Char"/>
    <w:basedOn w:val="DefaultParagraphFont"/>
    <w:link w:val="Note"/>
    <w:locked/>
    <w:rsid w:val="007E0AD8"/>
    <w:rPr>
      <w:rFonts w:ascii="Arial" w:hAnsi="Arial"/>
      <w:sz w:val="18"/>
    </w:rPr>
  </w:style>
  <w:style w:type="character" w:customStyle="1" w:styleId="SourceChar">
    <w:name w:val="Source Char"/>
    <w:basedOn w:val="DefaultParagraphFont"/>
    <w:link w:val="Source"/>
    <w:rsid w:val="007E0AD8"/>
    <w:rPr>
      <w:rFonts w:ascii="Arial" w:eastAsiaTheme="minorHAnsi" w:hAnsi="Arial" w:cs="Calibri"/>
      <w:sz w:val="18"/>
      <w:lang w:eastAsia="en-US"/>
    </w:rPr>
  </w:style>
  <w:style w:type="numbering" w:customStyle="1" w:styleId="LFO3">
    <w:name w:val="LFO3"/>
    <w:rsid w:val="00744AB6"/>
    <w:pPr>
      <w:numPr>
        <w:numId w:val="27"/>
      </w:numPr>
    </w:pPr>
  </w:style>
  <w:style w:type="numbering" w:customStyle="1" w:styleId="LFO4">
    <w:name w:val="LFO4"/>
    <w:rsid w:val="00744AB6"/>
    <w:pPr>
      <w:numPr>
        <w:numId w:val="29"/>
      </w:numPr>
    </w:pPr>
  </w:style>
  <w:style w:type="character" w:customStyle="1" w:styleId="FootnoteTextChar">
    <w:name w:val="Footnote Text Char"/>
    <w:basedOn w:val="DefaultParagraphFont"/>
    <w:link w:val="FootnoteText"/>
    <w:rsid w:val="00744AB6"/>
  </w:style>
  <w:style w:type="character" w:customStyle="1" w:styleId="QuoteChar">
    <w:name w:val="Quote Char"/>
    <w:basedOn w:val="DefaultParagraphFont"/>
    <w:link w:val="Quote"/>
    <w:rsid w:val="00744AB6"/>
    <w:rPr>
      <w:sz w:val="22"/>
    </w:rPr>
  </w:style>
  <w:style w:type="character" w:customStyle="1" w:styleId="UnresolvedMention3">
    <w:name w:val="Unresolved Mention3"/>
    <w:basedOn w:val="DefaultParagraphFont"/>
    <w:uiPriority w:val="99"/>
    <w:unhideWhenUsed/>
    <w:rsid w:val="007B0C14"/>
    <w:rPr>
      <w:color w:val="605E5C"/>
      <w:shd w:val="clear" w:color="auto" w:fill="E1DFDD"/>
    </w:rPr>
  </w:style>
  <w:style w:type="character" w:customStyle="1" w:styleId="Mention1">
    <w:name w:val="Mention1"/>
    <w:basedOn w:val="DefaultParagraphFont"/>
    <w:uiPriority w:val="99"/>
    <w:unhideWhenUsed/>
    <w:rsid w:val="007B0C14"/>
    <w:rPr>
      <w:color w:val="2B579A"/>
      <w:shd w:val="clear" w:color="auto" w:fill="E1DFDD"/>
    </w:rPr>
  </w:style>
  <w:style w:type="character" w:customStyle="1" w:styleId="Heading1Char">
    <w:name w:val="Heading 1 Char"/>
    <w:basedOn w:val="DefaultParagraphFont"/>
    <w:link w:val="Heading1"/>
    <w:uiPriority w:val="9"/>
    <w:rsid w:val="00307032"/>
    <w:rPr>
      <w:sz w:val="52"/>
    </w:rPr>
  </w:style>
  <w:style w:type="paragraph" w:customStyle="1" w:styleId="Heading1NotTOC">
    <w:name w:val="Heading 1 Not TOC"/>
    <w:basedOn w:val="Heading1"/>
    <w:next w:val="BodyText"/>
    <w:rsid w:val="00307032"/>
    <w:rPr>
      <w:kern w:val="28"/>
      <w:szCs w:val="26"/>
      <w:lang w:eastAsia="en-US"/>
    </w:rPr>
  </w:style>
  <w:style w:type="paragraph" w:customStyle="1" w:styleId="Copyrightheading">
    <w:name w:val="Copyright heading"/>
    <w:basedOn w:val="TOC1"/>
    <w:link w:val="CopyrightheadingChar"/>
    <w:qFormat/>
    <w:rsid w:val="00307032"/>
    <w:pPr>
      <w:spacing w:line="300" w:lineRule="exact"/>
    </w:pPr>
    <w:rPr>
      <w:rFonts w:eastAsia="Times New Roman" w:cs="Times New Roman"/>
      <w:sz w:val="22"/>
    </w:rPr>
  </w:style>
  <w:style w:type="character" w:customStyle="1" w:styleId="CopyrightheadingChar">
    <w:name w:val="Copyright heading Char"/>
    <w:basedOn w:val="DefaultParagraphFont"/>
    <w:link w:val="Copyrightheading"/>
    <w:locked/>
    <w:rsid w:val="00307032"/>
    <w:rPr>
      <w:rFonts w:ascii="Arial" w:hAnsi="Arial"/>
      <w:b/>
      <w:sz w:val="22"/>
      <w:szCs w:val="26"/>
      <w:lang w:eastAsia="en-US"/>
    </w:rPr>
  </w:style>
  <w:style w:type="paragraph" w:customStyle="1" w:styleId="Copyrightsubtitle">
    <w:name w:val="Copyright subtitle"/>
    <w:basedOn w:val="BodyText"/>
    <w:rsid w:val="00307032"/>
    <w:rPr>
      <w:rFonts w:ascii="Arial" w:hAnsi="Arial"/>
      <w:b/>
      <w:sz w:val="22"/>
      <w:szCs w:val="25"/>
    </w:rPr>
  </w:style>
  <w:style w:type="paragraph" w:customStyle="1" w:styleId="Copyrightbodytext">
    <w:name w:val="Copyright bodytext"/>
    <w:basedOn w:val="BodyText"/>
    <w:link w:val="CopyrightbodytextChar"/>
    <w:qFormat/>
    <w:rsid w:val="00307032"/>
    <w:pPr>
      <w:spacing w:before="60"/>
    </w:pPr>
  </w:style>
  <w:style w:type="character" w:customStyle="1" w:styleId="CopyrightbodytextChar">
    <w:name w:val="Copyright bodytext Char"/>
    <w:basedOn w:val="BodyTextChar"/>
    <w:link w:val="Copyrightbodytext"/>
    <w:locked/>
    <w:rsid w:val="003070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3942">
      <w:bodyDiv w:val="1"/>
      <w:marLeft w:val="0"/>
      <w:marRight w:val="0"/>
      <w:marTop w:val="0"/>
      <w:marBottom w:val="0"/>
      <w:divBdr>
        <w:top w:val="none" w:sz="0" w:space="0" w:color="auto"/>
        <w:left w:val="none" w:sz="0" w:space="0" w:color="auto"/>
        <w:bottom w:val="none" w:sz="0" w:space="0" w:color="auto"/>
        <w:right w:val="none" w:sz="0" w:space="0" w:color="auto"/>
      </w:divBdr>
    </w:div>
    <w:div w:id="163204102">
      <w:bodyDiv w:val="1"/>
      <w:marLeft w:val="0"/>
      <w:marRight w:val="0"/>
      <w:marTop w:val="0"/>
      <w:marBottom w:val="0"/>
      <w:divBdr>
        <w:top w:val="none" w:sz="0" w:space="0" w:color="auto"/>
        <w:left w:val="none" w:sz="0" w:space="0" w:color="auto"/>
        <w:bottom w:val="none" w:sz="0" w:space="0" w:color="auto"/>
        <w:right w:val="none" w:sz="0" w:space="0" w:color="auto"/>
      </w:divBdr>
      <w:divsChild>
        <w:div w:id="1085952960">
          <w:marLeft w:val="0"/>
          <w:marRight w:val="0"/>
          <w:marTop w:val="0"/>
          <w:marBottom w:val="0"/>
          <w:divBdr>
            <w:top w:val="none" w:sz="0" w:space="0" w:color="auto"/>
            <w:left w:val="none" w:sz="0" w:space="0" w:color="auto"/>
            <w:bottom w:val="none" w:sz="0" w:space="0" w:color="auto"/>
            <w:right w:val="none" w:sz="0" w:space="0" w:color="auto"/>
          </w:divBdr>
        </w:div>
      </w:divsChild>
    </w:div>
    <w:div w:id="457375908">
      <w:bodyDiv w:val="1"/>
      <w:marLeft w:val="0"/>
      <w:marRight w:val="0"/>
      <w:marTop w:val="0"/>
      <w:marBottom w:val="0"/>
      <w:divBdr>
        <w:top w:val="none" w:sz="0" w:space="0" w:color="auto"/>
        <w:left w:val="none" w:sz="0" w:space="0" w:color="auto"/>
        <w:bottom w:val="none" w:sz="0" w:space="0" w:color="auto"/>
        <w:right w:val="none" w:sz="0" w:space="0" w:color="auto"/>
      </w:divBdr>
      <w:divsChild>
        <w:div w:id="116487494">
          <w:marLeft w:val="0"/>
          <w:marRight w:val="0"/>
          <w:marTop w:val="0"/>
          <w:marBottom w:val="0"/>
          <w:divBdr>
            <w:top w:val="none" w:sz="0" w:space="0" w:color="auto"/>
            <w:left w:val="none" w:sz="0" w:space="0" w:color="auto"/>
            <w:bottom w:val="none" w:sz="0" w:space="0" w:color="auto"/>
            <w:right w:val="none" w:sz="0" w:space="0" w:color="auto"/>
          </w:divBdr>
        </w:div>
      </w:divsChild>
    </w:div>
    <w:div w:id="484980878">
      <w:bodyDiv w:val="1"/>
      <w:marLeft w:val="0"/>
      <w:marRight w:val="0"/>
      <w:marTop w:val="0"/>
      <w:marBottom w:val="0"/>
      <w:divBdr>
        <w:top w:val="none" w:sz="0" w:space="0" w:color="auto"/>
        <w:left w:val="none" w:sz="0" w:space="0" w:color="auto"/>
        <w:bottom w:val="none" w:sz="0" w:space="0" w:color="auto"/>
        <w:right w:val="none" w:sz="0" w:space="0" w:color="auto"/>
      </w:divBdr>
      <w:divsChild>
        <w:div w:id="84613479">
          <w:marLeft w:val="0"/>
          <w:marRight w:val="0"/>
          <w:marTop w:val="0"/>
          <w:marBottom w:val="0"/>
          <w:divBdr>
            <w:top w:val="none" w:sz="0" w:space="0" w:color="auto"/>
            <w:left w:val="none" w:sz="0" w:space="0" w:color="auto"/>
            <w:bottom w:val="none" w:sz="0" w:space="0" w:color="auto"/>
            <w:right w:val="none" w:sz="0" w:space="0" w:color="auto"/>
          </w:divBdr>
        </w:div>
      </w:divsChild>
    </w:div>
    <w:div w:id="611281995">
      <w:bodyDiv w:val="1"/>
      <w:marLeft w:val="0"/>
      <w:marRight w:val="0"/>
      <w:marTop w:val="0"/>
      <w:marBottom w:val="0"/>
      <w:divBdr>
        <w:top w:val="none" w:sz="0" w:space="0" w:color="auto"/>
        <w:left w:val="none" w:sz="0" w:space="0" w:color="auto"/>
        <w:bottom w:val="none" w:sz="0" w:space="0" w:color="auto"/>
        <w:right w:val="none" w:sz="0" w:space="0" w:color="auto"/>
      </w:divBdr>
    </w:div>
    <w:div w:id="707531799">
      <w:bodyDiv w:val="1"/>
      <w:marLeft w:val="0"/>
      <w:marRight w:val="0"/>
      <w:marTop w:val="0"/>
      <w:marBottom w:val="0"/>
      <w:divBdr>
        <w:top w:val="none" w:sz="0" w:space="0" w:color="auto"/>
        <w:left w:val="none" w:sz="0" w:space="0" w:color="auto"/>
        <w:bottom w:val="none" w:sz="0" w:space="0" w:color="auto"/>
        <w:right w:val="none" w:sz="0" w:space="0" w:color="auto"/>
      </w:divBdr>
    </w:div>
    <w:div w:id="871922368">
      <w:bodyDiv w:val="1"/>
      <w:marLeft w:val="0"/>
      <w:marRight w:val="0"/>
      <w:marTop w:val="0"/>
      <w:marBottom w:val="0"/>
      <w:divBdr>
        <w:top w:val="none" w:sz="0" w:space="0" w:color="auto"/>
        <w:left w:val="none" w:sz="0" w:space="0" w:color="auto"/>
        <w:bottom w:val="none" w:sz="0" w:space="0" w:color="auto"/>
        <w:right w:val="none" w:sz="0" w:space="0" w:color="auto"/>
      </w:divBdr>
    </w:div>
    <w:div w:id="930504713">
      <w:bodyDiv w:val="1"/>
      <w:marLeft w:val="0"/>
      <w:marRight w:val="0"/>
      <w:marTop w:val="0"/>
      <w:marBottom w:val="0"/>
      <w:divBdr>
        <w:top w:val="none" w:sz="0" w:space="0" w:color="auto"/>
        <w:left w:val="none" w:sz="0" w:space="0" w:color="auto"/>
        <w:bottom w:val="none" w:sz="0" w:space="0" w:color="auto"/>
        <w:right w:val="none" w:sz="0" w:space="0" w:color="auto"/>
      </w:divBdr>
      <w:divsChild>
        <w:div w:id="336201189">
          <w:marLeft w:val="0"/>
          <w:marRight w:val="0"/>
          <w:marTop w:val="0"/>
          <w:marBottom w:val="0"/>
          <w:divBdr>
            <w:top w:val="none" w:sz="0" w:space="0" w:color="auto"/>
            <w:left w:val="none" w:sz="0" w:space="0" w:color="auto"/>
            <w:bottom w:val="none" w:sz="0" w:space="0" w:color="auto"/>
            <w:right w:val="none" w:sz="0" w:space="0" w:color="auto"/>
          </w:divBdr>
        </w:div>
      </w:divsChild>
    </w:div>
    <w:div w:id="1225022461">
      <w:bodyDiv w:val="1"/>
      <w:marLeft w:val="0"/>
      <w:marRight w:val="0"/>
      <w:marTop w:val="0"/>
      <w:marBottom w:val="0"/>
      <w:divBdr>
        <w:top w:val="none" w:sz="0" w:space="0" w:color="auto"/>
        <w:left w:val="none" w:sz="0" w:space="0" w:color="auto"/>
        <w:bottom w:val="none" w:sz="0" w:space="0" w:color="auto"/>
        <w:right w:val="none" w:sz="0" w:space="0" w:color="auto"/>
      </w:divBdr>
    </w:div>
    <w:div w:id="1440175695">
      <w:bodyDiv w:val="1"/>
      <w:marLeft w:val="0"/>
      <w:marRight w:val="0"/>
      <w:marTop w:val="0"/>
      <w:marBottom w:val="0"/>
      <w:divBdr>
        <w:top w:val="none" w:sz="0" w:space="0" w:color="auto"/>
        <w:left w:val="none" w:sz="0" w:space="0" w:color="auto"/>
        <w:bottom w:val="none" w:sz="0" w:space="0" w:color="auto"/>
        <w:right w:val="none" w:sz="0" w:space="0" w:color="auto"/>
      </w:divBdr>
    </w:div>
    <w:div w:id="1548882193">
      <w:bodyDiv w:val="1"/>
      <w:marLeft w:val="0"/>
      <w:marRight w:val="0"/>
      <w:marTop w:val="0"/>
      <w:marBottom w:val="0"/>
      <w:divBdr>
        <w:top w:val="none" w:sz="0" w:space="0" w:color="auto"/>
        <w:left w:val="none" w:sz="0" w:space="0" w:color="auto"/>
        <w:bottom w:val="none" w:sz="0" w:space="0" w:color="auto"/>
        <w:right w:val="none" w:sz="0" w:space="0" w:color="auto"/>
      </w:divBdr>
      <w:divsChild>
        <w:div w:id="1755779392">
          <w:marLeft w:val="0"/>
          <w:marRight w:val="0"/>
          <w:marTop w:val="0"/>
          <w:marBottom w:val="0"/>
          <w:divBdr>
            <w:top w:val="none" w:sz="0" w:space="0" w:color="auto"/>
            <w:left w:val="none" w:sz="0" w:space="0" w:color="auto"/>
            <w:bottom w:val="none" w:sz="0" w:space="0" w:color="auto"/>
            <w:right w:val="none" w:sz="0" w:space="0" w:color="auto"/>
          </w:divBdr>
        </w:div>
      </w:divsChild>
    </w:div>
    <w:div w:id="1609968328">
      <w:bodyDiv w:val="1"/>
      <w:marLeft w:val="0"/>
      <w:marRight w:val="0"/>
      <w:marTop w:val="0"/>
      <w:marBottom w:val="0"/>
      <w:divBdr>
        <w:top w:val="none" w:sz="0" w:space="0" w:color="auto"/>
        <w:left w:val="none" w:sz="0" w:space="0" w:color="auto"/>
        <w:bottom w:val="none" w:sz="0" w:space="0" w:color="auto"/>
        <w:right w:val="none" w:sz="0" w:space="0" w:color="auto"/>
      </w:divBdr>
      <w:divsChild>
        <w:div w:id="361786722">
          <w:marLeft w:val="0"/>
          <w:marRight w:val="0"/>
          <w:marTop w:val="0"/>
          <w:marBottom w:val="0"/>
          <w:divBdr>
            <w:top w:val="none" w:sz="0" w:space="0" w:color="auto"/>
            <w:left w:val="none" w:sz="0" w:space="0" w:color="auto"/>
            <w:bottom w:val="none" w:sz="0" w:space="0" w:color="auto"/>
            <w:right w:val="none" w:sz="0" w:space="0" w:color="auto"/>
          </w:divBdr>
        </w:div>
      </w:divsChild>
    </w:div>
    <w:div w:id="178572762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image" Target="media/image5.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emf"/><Relationship Id="rId28"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image" Target="media/image6.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13F8-FB92-4F98-B607-7EE3EF7D7656}">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30</Pages>
  <Words>9613</Words>
  <Characters>54795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Appendices - Australia's long term productivity experience - Productivity Insights 2020</vt:lpstr>
    </vt:vector>
  </TitlesOfParts>
  <Manager/>
  <Company>Productivity Commission</Company>
  <LinksUpToDate>false</LinksUpToDate>
  <CharactersWithSpaces>64280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 Australia's long term productivity experience - Productivity Insights 2020</dc:title>
  <dc:subject/>
  <dc:creator>Productivity Commission</dc:creator>
  <cp:keywords/>
  <dc:description/>
  <cp:lastModifiedBy>Chris Alston</cp:lastModifiedBy>
  <cp:revision>3</cp:revision>
  <dcterms:created xsi:type="dcterms:W3CDTF">2020-11-16T04:50:00Z</dcterms:created>
  <dcterms:modified xsi:type="dcterms:W3CDTF">2020-11-17T02:42:00Z</dcterms:modified>
</cp:coreProperties>
</file>