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2.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3.xml"/><Relationship Id="rId10" Type="http://schemas.microsoft.com/office/2020/02/relationships/classificationlabels" Target="docMetadata/LabelInfo4.xml"/><Relationship Id="rId9"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94016" w14:textId="10CAA4F3" w:rsidR="00C162CD" w:rsidRPr="00C162CD" w:rsidRDefault="00C162CD" w:rsidP="00C162CD">
      <w:pPr>
        <w:pStyle w:val="Heading1"/>
        <w:rPr>
          <w:color w:val="FFFFFF" w:themeColor="background1"/>
          <w:sz w:val="16"/>
          <w:szCs w:val="16"/>
        </w:rPr>
      </w:pPr>
      <w:bookmarkStart w:id="0" w:name="_Toc56080369"/>
      <w:r w:rsidRPr="00C162CD">
        <w:rPr>
          <w:noProof/>
          <w:color w:val="FFFFFF" w:themeColor="background1"/>
        </w:rPr>
        <w:drawing>
          <wp:anchor distT="0" distB="0" distL="114300" distR="114300" simplePos="0" relativeHeight="251659264" behindDoc="0" locked="0" layoutInCell="1" allowOverlap="1" wp14:anchorId="7CD543C3" wp14:editId="4EB49910">
            <wp:simplePos x="929640" y="960120"/>
            <wp:positionH relativeFrom="page">
              <wp:align>center</wp:align>
            </wp:positionH>
            <wp:positionV relativeFrom="page">
              <wp:align>center</wp:align>
            </wp:positionV>
            <wp:extent cx="7558767" cy="10687689"/>
            <wp:effectExtent l="0" t="0" r="4445" b="0"/>
            <wp:wrapNone/>
            <wp:docPr id="1" name="Picture 1" descr="Cover for PC Productivity Insights 2020: Australia’s long term productivity experience,  ISSN 2652-5461 | No. 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C insights cover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87689"/>
                    </a:xfrm>
                    <a:prstGeom prst="rect">
                      <a:avLst/>
                    </a:prstGeom>
                  </pic:spPr>
                </pic:pic>
              </a:graphicData>
            </a:graphic>
            <wp14:sizeRelH relativeFrom="margin">
              <wp14:pctWidth>0</wp14:pctWidth>
            </wp14:sizeRelH>
            <wp14:sizeRelV relativeFrom="margin">
              <wp14:pctHeight>0</wp14:pctHeight>
            </wp14:sizeRelV>
          </wp:anchor>
        </w:drawing>
      </w:r>
      <w:r w:rsidRPr="00C162CD">
        <w:rPr>
          <w:color w:val="FFFFFF" w:themeColor="background1"/>
          <w:sz w:val="16"/>
          <w:szCs w:val="16"/>
        </w:rPr>
        <w:t>PC Productivity Insights 2020: Australia’s long term productivity experience</w:t>
      </w:r>
      <w:bookmarkEnd w:id="0"/>
    </w:p>
    <w:p w14:paraId="073C9411" w14:textId="77777777" w:rsidR="00C162CD" w:rsidRDefault="00C162CD" w:rsidP="00C162CD">
      <w:pPr>
        <w:pStyle w:val="BodyText"/>
        <w:rPr>
          <w:b/>
          <w:szCs w:val="26"/>
        </w:rPr>
      </w:pPr>
      <w:r>
        <w:br w:type="page"/>
      </w:r>
    </w:p>
    <w:p w14:paraId="3A08FE42" w14:textId="77777777" w:rsidR="00C162CD" w:rsidRDefault="00C162CD" w:rsidP="00C162CD">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060EF8A8" w14:textId="77777777" w:rsidR="00C162CD" w:rsidRDefault="00C162CD" w:rsidP="00C162CD">
      <w:pPr>
        <w:pStyle w:val="BodyText"/>
        <w:spacing w:after="120"/>
      </w:pPr>
      <w:bookmarkStart w:id="1" w:name="ISSN"/>
      <w:bookmarkEnd w:id="1"/>
      <w:r w:rsidRPr="00862D8F">
        <w:rPr>
          <w:noProof/>
          <w:sz w:val="22"/>
          <w:szCs w:val="22"/>
        </w:rPr>
        <w:drawing>
          <wp:inline distT="0" distB="0" distL="0" distR="0" wp14:anchorId="318CFEB1" wp14:editId="091398BB">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0765EDDF" w14:textId="77777777" w:rsidR="00C162CD" w:rsidRPr="00256A29" w:rsidRDefault="00C162CD" w:rsidP="00C162CD">
      <w:pPr>
        <w:pStyle w:val="Copyrightbodytext"/>
        <w:rPr>
          <w:sz w:val="20"/>
        </w:rPr>
      </w:pPr>
      <w:r w:rsidRPr="00256A29">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256A29">
            <w:rPr>
              <w:sz w:val="20"/>
            </w:rPr>
            <w:t>http://creativecommons.org/licenses/by/3.0/au</w:t>
          </w:r>
        </w:hyperlink>
      </w:hyperlink>
      <w:r w:rsidRPr="00256A29">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6C633743" w14:textId="77777777" w:rsidR="00C162CD" w:rsidRPr="008A3857" w:rsidRDefault="00C162CD" w:rsidP="00C162CD">
      <w:pPr>
        <w:pStyle w:val="Copyrightsubtitle"/>
      </w:pPr>
      <w:r w:rsidRPr="008A3857">
        <w:t>Use of the Commonwealth Coat of Arms</w:t>
      </w:r>
    </w:p>
    <w:p w14:paraId="354BE879" w14:textId="77777777" w:rsidR="00C162CD" w:rsidRPr="00462AE0" w:rsidRDefault="00C162CD" w:rsidP="00C162CD">
      <w:pPr>
        <w:pStyle w:val="Copyrightbodytext"/>
        <w:rPr>
          <w:spacing w:val="-2"/>
          <w:sz w:val="20"/>
        </w:rPr>
      </w:pPr>
      <w:r w:rsidRPr="00256A29">
        <w:rPr>
          <w:spacing w:val="-2"/>
          <w:sz w:val="20"/>
        </w:rPr>
        <w:t xml:space="preserve">Terms of use for the Coat of Arms are available from the Department of the Prime Minister and Cabinet’s website: </w:t>
      </w:r>
      <w:hyperlink r:id="rId12" w:history="1">
        <w:r w:rsidRPr="00462AE0">
          <w:rPr>
            <w:rStyle w:val="Hyperlink"/>
            <w:spacing w:val="-2"/>
            <w:sz w:val="20"/>
          </w:rPr>
          <w:t>https://www.pmc.gov.au/government/commonwealth-coat-arms</w:t>
        </w:r>
      </w:hyperlink>
    </w:p>
    <w:p w14:paraId="3C22296C" w14:textId="77777777" w:rsidR="00C162CD" w:rsidRPr="008A3857" w:rsidRDefault="00C162CD" w:rsidP="00C162CD">
      <w:pPr>
        <w:pStyle w:val="Copyrightsubtitle"/>
      </w:pPr>
      <w:r w:rsidRPr="008A3857">
        <w:t>Third party copyright</w:t>
      </w:r>
    </w:p>
    <w:p w14:paraId="059BE84F" w14:textId="77777777" w:rsidR="00C162CD" w:rsidRPr="00256A29" w:rsidRDefault="00C162CD" w:rsidP="00C162CD">
      <w:pPr>
        <w:pStyle w:val="Copyrightbodytext"/>
        <w:rPr>
          <w:sz w:val="20"/>
        </w:rPr>
      </w:pPr>
      <w:r w:rsidRPr="00256A29">
        <w:rPr>
          <w:sz w:val="20"/>
        </w:rPr>
        <w:t>Wherever a third party holds copyright in this material, the copyright remains with that party. Their permission may be required to use the material, please contact them directly.</w:t>
      </w:r>
    </w:p>
    <w:p w14:paraId="492BCA88" w14:textId="77777777" w:rsidR="00C162CD" w:rsidRPr="008A3857" w:rsidRDefault="00C162CD" w:rsidP="00C162CD">
      <w:pPr>
        <w:pStyle w:val="Copyrightsubtitle"/>
      </w:pPr>
      <w:r w:rsidRPr="008A3857">
        <w:t>Attribution</w:t>
      </w:r>
    </w:p>
    <w:p w14:paraId="3005A736" w14:textId="38C5EB7A" w:rsidR="00C162CD" w:rsidRPr="00C162CD" w:rsidRDefault="00C162CD" w:rsidP="00C162CD">
      <w:pPr>
        <w:pStyle w:val="Copyrightbodytext"/>
        <w:rPr>
          <w:sz w:val="20"/>
          <w:szCs w:val="24"/>
        </w:rPr>
      </w:pPr>
      <w:r w:rsidRPr="00C162CD">
        <w:rPr>
          <w:sz w:val="20"/>
        </w:rPr>
        <w:t xml:space="preserve">This work should be attributed as follows, </w:t>
      </w:r>
      <w:r w:rsidRPr="00C162CD">
        <w:rPr>
          <w:i/>
          <w:sz w:val="20"/>
          <w:szCs w:val="24"/>
        </w:rPr>
        <w:t xml:space="preserve">Source: Productivity Commission, PC Productivity Insights 2020: </w:t>
      </w:r>
      <w:r>
        <w:rPr>
          <w:i/>
          <w:sz w:val="20"/>
        </w:rPr>
        <w:t>Australia’s long term productivity e</w:t>
      </w:r>
      <w:r w:rsidRPr="00C162CD">
        <w:rPr>
          <w:i/>
          <w:sz w:val="20"/>
        </w:rPr>
        <w:t>xperience</w:t>
      </w:r>
      <w:r w:rsidR="0090111C">
        <w:rPr>
          <w:i/>
          <w:sz w:val="20"/>
        </w:rPr>
        <w:t>.</w:t>
      </w:r>
    </w:p>
    <w:p w14:paraId="63EC9A5B" w14:textId="1BE77ACB" w:rsidR="00C162CD" w:rsidRPr="00C162CD" w:rsidRDefault="00C162CD" w:rsidP="00C162CD">
      <w:pPr>
        <w:spacing w:before="120" w:line="300" w:lineRule="atLeast"/>
        <w:jc w:val="both"/>
        <w:rPr>
          <w:rFonts w:ascii="Times New Roman" w:hAnsi="Times New Roman" w:cs="Times New Roman"/>
          <w:sz w:val="20"/>
        </w:rPr>
      </w:pPr>
      <w:r w:rsidRPr="00C162CD">
        <w:rPr>
          <w:rFonts w:ascii="Times New Roman" w:hAnsi="Times New Roman" w:cs="Times New Roman"/>
          <w:sz w:val="20"/>
        </w:rPr>
        <w:t xml:space="preserve">If you have adapted, modified or transformed this work in anyway, please use the following, </w:t>
      </w:r>
      <w:r w:rsidRPr="00C162CD">
        <w:rPr>
          <w:rFonts w:ascii="Times New Roman" w:hAnsi="Times New Roman" w:cs="Times New Roman"/>
          <w:i/>
          <w:sz w:val="20"/>
        </w:rPr>
        <w:t>Source: ba</w:t>
      </w:r>
      <w:r>
        <w:rPr>
          <w:rFonts w:ascii="Times New Roman" w:hAnsi="Times New Roman" w:cs="Times New Roman"/>
          <w:i/>
          <w:sz w:val="20"/>
        </w:rPr>
        <w:t>sed on</w:t>
      </w:r>
      <w:r w:rsidRPr="00C162CD">
        <w:rPr>
          <w:rFonts w:ascii="Times New Roman" w:hAnsi="Times New Roman" w:cs="Times New Roman"/>
          <w:i/>
          <w:sz w:val="20"/>
        </w:rPr>
        <w:t xml:space="preserve"> </w:t>
      </w:r>
      <w:r w:rsidRPr="00C162CD">
        <w:rPr>
          <w:rFonts w:ascii="Times New Roman" w:hAnsi="Times New Roman" w:cs="Times New Roman"/>
          <w:i/>
          <w:sz w:val="20"/>
          <w:szCs w:val="24"/>
        </w:rPr>
        <w:t xml:space="preserve">Productivity Commission, PC Productivity Insights 2020: </w:t>
      </w:r>
      <w:r>
        <w:rPr>
          <w:rFonts w:ascii="Times New Roman" w:hAnsi="Times New Roman" w:cs="Times New Roman"/>
          <w:i/>
          <w:sz w:val="20"/>
        </w:rPr>
        <w:t>Australia’s long term productivity e</w:t>
      </w:r>
      <w:r w:rsidRPr="00C162CD">
        <w:rPr>
          <w:rFonts w:ascii="Times New Roman" w:hAnsi="Times New Roman" w:cs="Times New Roman"/>
          <w:i/>
          <w:sz w:val="20"/>
        </w:rPr>
        <w:t>xperience</w:t>
      </w:r>
      <w:r w:rsidR="0090111C">
        <w:rPr>
          <w:rFonts w:ascii="Times New Roman" w:hAnsi="Times New Roman" w:cs="Times New Roman"/>
          <w:i/>
          <w:sz w:val="20"/>
        </w:rPr>
        <w:t>.</w:t>
      </w:r>
      <w:r w:rsidRPr="00C162CD">
        <w:rPr>
          <w:rFonts w:ascii="Times New Roman" w:hAnsi="Times New Roman" w:cs="Times New Roman"/>
          <w:i/>
          <w:sz w:val="20"/>
        </w:rPr>
        <w:t xml:space="preserve"> </w:t>
      </w:r>
    </w:p>
    <w:p w14:paraId="06EA89CD" w14:textId="77777777" w:rsidR="00C162CD" w:rsidRPr="00256A29" w:rsidRDefault="00C162CD" w:rsidP="00C162CD">
      <w:pPr>
        <w:spacing w:before="240" w:line="300" w:lineRule="atLeast"/>
        <w:jc w:val="both"/>
        <w:rPr>
          <w:rFonts w:ascii="Arial" w:hAnsi="Arial"/>
          <w:b/>
          <w:szCs w:val="25"/>
        </w:rPr>
      </w:pPr>
      <w:r w:rsidRPr="00256A29">
        <w:rPr>
          <w:rFonts w:ascii="Arial" w:hAnsi="Arial"/>
          <w:b/>
          <w:szCs w:val="25"/>
        </w:rPr>
        <w:t>An appropriate reference for this publication is:</w:t>
      </w:r>
    </w:p>
    <w:p w14:paraId="6EB530CC" w14:textId="174EE147" w:rsidR="00C162CD" w:rsidRPr="00C162CD" w:rsidRDefault="00C162CD" w:rsidP="00C162CD">
      <w:pPr>
        <w:spacing w:before="60" w:line="300" w:lineRule="atLeast"/>
        <w:jc w:val="both"/>
        <w:rPr>
          <w:rFonts w:ascii="Times New Roman" w:hAnsi="Times New Roman" w:cs="Times New Roman"/>
          <w:sz w:val="20"/>
        </w:rPr>
      </w:pPr>
      <w:r w:rsidRPr="00C162CD">
        <w:rPr>
          <w:rFonts w:ascii="Times New Roman" w:hAnsi="Times New Roman" w:cs="Times New Roman"/>
          <w:sz w:val="20"/>
        </w:rPr>
        <w:t xml:space="preserve">Productivity Commission 2020, </w:t>
      </w:r>
      <w:r w:rsidRPr="00C162CD">
        <w:rPr>
          <w:rFonts w:ascii="Times New Roman" w:hAnsi="Times New Roman" w:cs="Times New Roman"/>
          <w:i/>
          <w:sz w:val="20"/>
        </w:rPr>
        <w:t xml:space="preserve">PC Productivity Insights: </w:t>
      </w:r>
      <w:r>
        <w:rPr>
          <w:rFonts w:ascii="Times New Roman" w:hAnsi="Times New Roman" w:cs="Times New Roman"/>
          <w:i/>
          <w:sz w:val="20"/>
        </w:rPr>
        <w:t>Australia’s long term productivity e</w:t>
      </w:r>
      <w:r w:rsidRPr="00C162CD">
        <w:rPr>
          <w:rFonts w:ascii="Times New Roman" w:hAnsi="Times New Roman" w:cs="Times New Roman"/>
          <w:i/>
          <w:sz w:val="20"/>
        </w:rPr>
        <w:t>xperience</w:t>
      </w:r>
      <w:r w:rsidRPr="00C162CD">
        <w:rPr>
          <w:rFonts w:ascii="Times New Roman" w:hAnsi="Times New Roman" w:cs="Times New Roman"/>
          <w:sz w:val="20"/>
        </w:rPr>
        <w:t xml:space="preserve">, Canberra, </w:t>
      </w:r>
      <w:r>
        <w:rPr>
          <w:rFonts w:ascii="Times New Roman" w:hAnsi="Times New Roman" w:cs="Times New Roman"/>
          <w:sz w:val="20"/>
        </w:rPr>
        <w:t>November</w:t>
      </w:r>
      <w:r w:rsidRPr="00C162CD">
        <w:rPr>
          <w:rFonts w:ascii="Times New Roman" w:hAnsi="Times New Roman" w:cs="Times New Roman"/>
          <w:sz w:val="20"/>
        </w:rPr>
        <w:t>.</w:t>
      </w:r>
    </w:p>
    <w:p w14:paraId="381DEC35" w14:textId="77777777" w:rsidR="00C162CD" w:rsidRPr="008A3857" w:rsidRDefault="00C162CD" w:rsidP="00C162CD">
      <w:pPr>
        <w:pStyle w:val="Copyrightsubtitle"/>
      </w:pPr>
      <w:r w:rsidRPr="008A3857">
        <w:t>Publications enquiries</w:t>
      </w:r>
    </w:p>
    <w:p w14:paraId="6EFB8EE2" w14:textId="77777777" w:rsidR="00C162CD" w:rsidRPr="00256A29" w:rsidRDefault="00C162CD" w:rsidP="00C162CD">
      <w:pPr>
        <w:pStyle w:val="Copyrightbodytext"/>
        <w:rPr>
          <w:sz w:val="20"/>
        </w:rPr>
      </w:pPr>
      <w:r w:rsidRPr="00256A29">
        <w:rPr>
          <w:sz w:val="20"/>
        </w:rPr>
        <w:t>Media, Publications and Web, phone: (03) 9653 2244 or email: mpw@pc.gov.au</w:t>
      </w:r>
    </w:p>
    <w:p w14:paraId="43A567F1" w14:textId="77777777" w:rsidR="00C162CD" w:rsidRDefault="00C162CD" w:rsidP="00C162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162CD" w14:paraId="526FF3E6" w14:textId="77777777" w:rsidTr="00C162CD">
        <w:trPr>
          <w:tblHeader/>
        </w:trPr>
        <w:tc>
          <w:tcPr>
            <w:tcW w:w="5000" w:type="pct"/>
            <w:tcBorders>
              <w:top w:val="single" w:sz="6" w:space="0" w:color="78A22F"/>
              <w:left w:val="nil"/>
              <w:bottom w:val="nil"/>
              <w:right w:val="nil"/>
            </w:tcBorders>
            <w:shd w:val="clear" w:color="auto" w:fill="F2F2F2" w:themeFill="background1" w:themeFillShade="F2"/>
          </w:tcPr>
          <w:p w14:paraId="3B915B7F" w14:textId="77777777" w:rsidR="00C162CD" w:rsidRPr="008A3857" w:rsidRDefault="00C162CD" w:rsidP="00C162CD">
            <w:pPr>
              <w:pStyle w:val="BoxTitle"/>
            </w:pPr>
            <w:r w:rsidRPr="008A3857">
              <w:t>The Productivity Commission</w:t>
            </w:r>
          </w:p>
        </w:tc>
      </w:tr>
      <w:tr w:rsidR="00C162CD" w14:paraId="066D7032" w14:textId="77777777" w:rsidTr="00C162CD">
        <w:tc>
          <w:tcPr>
            <w:tcW w:w="5000" w:type="pct"/>
            <w:tcBorders>
              <w:top w:val="nil"/>
              <w:left w:val="nil"/>
              <w:bottom w:val="nil"/>
              <w:right w:val="nil"/>
            </w:tcBorders>
            <w:shd w:val="clear" w:color="auto" w:fill="F2F2F2" w:themeFill="background1" w:themeFillShade="F2"/>
          </w:tcPr>
          <w:p w14:paraId="2BEC9373" w14:textId="77777777" w:rsidR="00C162CD" w:rsidRDefault="00C162CD" w:rsidP="00C162C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DE174E6" w14:textId="77777777" w:rsidR="00C162CD" w:rsidRDefault="00C162CD" w:rsidP="00C162CD">
            <w:pPr>
              <w:pStyle w:val="Box"/>
            </w:pPr>
            <w:r w:rsidRPr="00BB5DCF">
              <w:t>The Commission’s independence is underpinned by an Act of Parliament. Its processes and outputs are open to public scrutiny and are driven by concern for the wellbeing of the community as a whole.</w:t>
            </w:r>
          </w:p>
          <w:p w14:paraId="3D4E7864" w14:textId="77777777" w:rsidR="00C162CD" w:rsidRDefault="00C162CD" w:rsidP="00C162CD">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C162CD" w14:paraId="5697F6AF" w14:textId="77777777" w:rsidTr="00C162CD">
        <w:tc>
          <w:tcPr>
            <w:tcW w:w="5000" w:type="pct"/>
            <w:tcBorders>
              <w:top w:val="nil"/>
              <w:left w:val="nil"/>
              <w:bottom w:val="single" w:sz="6" w:space="0" w:color="78A22F"/>
              <w:right w:val="nil"/>
            </w:tcBorders>
            <w:shd w:val="clear" w:color="auto" w:fill="F2F2F2" w:themeFill="background1" w:themeFillShade="F2"/>
          </w:tcPr>
          <w:p w14:paraId="2F75D5CD" w14:textId="77777777" w:rsidR="00C162CD" w:rsidRDefault="00C162CD" w:rsidP="00C162CD">
            <w:pPr>
              <w:pStyle w:val="Box"/>
              <w:spacing w:before="0" w:line="120" w:lineRule="exact"/>
            </w:pPr>
          </w:p>
        </w:tc>
      </w:tr>
    </w:tbl>
    <w:p w14:paraId="1EDF6FEB" w14:textId="77777777" w:rsidR="00C162CD" w:rsidRDefault="00C162CD" w:rsidP="00C162CD">
      <w:pPr>
        <w:pStyle w:val="BodyText"/>
        <w:sectPr w:rsidR="00C162CD" w:rsidSect="00C162CD">
          <w:pgSz w:w="11907" w:h="16840" w:code="9"/>
          <w:pgMar w:top="1304" w:right="1304" w:bottom="567" w:left="1814" w:header="1701" w:footer="397" w:gutter="0"/>
          <w:pgNumType w:fmt="lowerRoman" w:start="1"/>
          <w:cols w:space="720"/>
          <w:titlePg/>
        </w:sectPr>
      </w:pPr>
      <w:bookmarkStart w:id="2" w:name="cov"/>
      <w:bookmarkEnd w:id="2"/>
    </w:p>
    <w:p w14:paraId="37939BFC" w14:textId="77777777" w:rsidR="00666E02" w:rsidRDefault="004E0443" w:rsidP="004E0443">
      <w:pPr>
        <w:pStyle w:val="Heading2"/>
      </w:pPr>
      <w:bookmarkStart w:id="3" w:name="_Toc56080370"/>
      <w:r>
        <w:lastRenderedPageBreak/>
        <w:t>Foreword</w:t>
      </w:r>
      <w:bookmarkEnd w:id="3"/>
    </w:p>
    <w:p w14:paraId="34D3F6CD" w14:textId="0058D7E5" w:rsidR="00E812D1" w:rsidRDefault="00E812D1" w:rsidP="003336AD">
      <w:pPr>
        <w:pStyle w:val="BodyText"/>
        <w:tabs>
          <w:tab w:val="left" w:pos="2445"/>
        </w:tabs>
        <w:spacing w:before="360"/>
      </w:pPr>
      <w:r>
        <w:t xml:space="preserve">This is the Productivity Commission’s third </w:t>
      </w:r>
      <w:r w:rsidRPr="008908CA">
        <w:rPr>
          <w:i/>
        </w:rPr>
        <w:t>Productivity Insights</w:t>
      </w:r>
      <w:r w:rsidR="00D05AAD">
        <w:t xml:space="preserve"> paper of 2020.</w:t>
      </w:r>
    </w:p>
    <w:p w14:paraId="42AFF1A9" w14:textId="07554539" w:rsidR="00E812D1" w:rsidRDefault="00E812D1" w:rsidP="00E812D1">
      <w:pPr>
        <w:pStyle w:val="BodyText"/>
        <w:tabs>
          <w:tab w:val="left" w:pos="2445"/>
        </w:tabs>
      </w:pPr>
      <w:r>
        <w:t xml:space="preserve">Australia is now experiencing its most severe economic contraction since the Great Depression. This has given rise to economic uncertainty and a complex policy landscape. The pandemic </w:t>
      </w:r>
      <w:r w:rsidR="6503E6D1">
        <w:t>is</w:t>
      </w:r>
      <w:r>
        <w:t xml:space="preserve"> </w:t>
      </w:r>
      <w:r w:rsidR="00F0138B">
        <w:t>creat</w:t>
      </w:r>
      <w:r w:rsidR="7BAEB894">
        <w:t>ing</w:t>
      </w:r>
      <w:r>
        <w:t xml:space="preserve"> new and unprecedented challenges</w:t>
      </w:r>
      <w:r w:rsidR="75610E48">
        <w:t>.</w:t>
      </w:r>
      <w:r>
        <w:t xml:space="preserve"> </w:t>
      </w:r>
      <w:r w:rsidR="731435A8">
        <w:t>S</w:t>
      </w:r>
      <w:r>
        <w:t xml:space="preserve">ome insights </w:t>
      </w:r>
      <w:r w:rsidR="54EBAF24">
        <w:t>about how</w:t>
      </w:r>
      <w:r w:rsidR="00E61F36">
        <w:t xml:space="preserve"> to</w:t>
      </w:r>
      <w:r w:rsidR="54EBAF24">
        <w:t xml:space="preserve"> deal with this </w:t>
      </w:r>
      <w:r>
        <w:t xml:space="preserve">can be gleaned </w:t>
      </w:r>
      <w:r w:rsidR="00F0138B">
        <w:t xml:space="preserve">by </w:t>
      </w:r>
      <w:r>
        <w:t xml:space="preserve">looking at past downturns and the broader history of Australia’s economic performance. </w:t>
      </w:r>
    </w:p>
    <w:p w14:paraId="72D6BC67" w14:textId="5A62039C" w:rsidR="00E812D1" w:rsidRDefault="00E812D1" w:rsidP="00E812D1">
      <w:pPr>
        <w:pStyle w:val="BodyText"/>
        <w:tabs>
          <w:tab w:val="left" w:pos="2445"/>
        </w:tabs>
      </w:pPr>
      <w:r>
        <w:t xml:space="preserve">The first is that the Australian economy has weathered severe recessions in the past. In most cases, the impact on economic growth </w:t>
      </w:r>
      <w:r w:rsidR="003B663F">
        <w:t>was</w:t>
      </w:r>
      <w:r>
        <w:t xml:space="preserve"> relatively brief</w:t>
      </w:r>
      <w:r w:rsidR="67D3DF6B">
        <w:t xml:space="preserve"> while</w:t>
      </w:r>
      <w:r>
        <w:t xml:space="preserve"> the impact on labour </w:t>
      </w:r>
      <w:r w:rsidR="0031764A">
        <w:t xml:space="preserve">markets </w:t>
      </w:r>
      <w:r w:rsidR="003B663F">
        <w:t>was</w:t>
      </w:r>
      <w:r w:rsidR="0031764A">
        <w:t xml:space="preserve"> longer lasting</w:t>
      </w:r>
      <w:r w:rsidR="26DA887B">
        <w:t>,</w:t>
      </w:r>
      <w:r w:rsidR="0031764A">
        <w:t xml:space="preserve"> </w:t>
      </w:r>
      <w:r>
        <w:t xml:space="preserve">with unemployment sometimes remaining high for more than a decade after the recession ended. As the Commission’s </w:t>
      </w:r>
      <w:r w:rsidR="0033042C" w:rsidRPr="0033042C">
        <w:t>(2020b)</w:t>
      </w:r>
      <w:r>
        <w:t xml:space="preserve"> recent work on youth incomes has shown, not all parts of the labour market are impacted equally and the current downturn is likely no exception. </w:t>
      </w:r>
    </w:p>
    <w:p w14:paraId="3306BDB8" w14:textId="0A1F8C6F" w:rsidR="00F0138B" w:rsidRPr="00A9037D" w:rsidRDefault="00F0138B" w:rsidP="00E812D1">
      <w:pPr>
        <w:pStyle w:val="BodyText"/>
        <w:tabs>
          <w:tab w:val="left" w:pos="2445"/>
        </w:tabs>
        <w:rPr>
          <w:spacing w:val="-2"/>
        </w:rPr>
      </w:pPr>
      <w:r w:rsidRPr="00A9037D">
        <w:rPr>
          <w:spacing w:val="-2"/>
        </w:rPr>
        <w:t>The second is that almost all of Australia’s long</w:t>
      </w:r>
      <w:r w:rsidR="009C5074" w:rsidRPr="00A9037D">
        <w:rPr>
          <w:spacing w:val="-2"/>
        </w:rPr>
        <w:noBreakHyphen/>
      </w:r>
      <w:r w:rsidRPr="00A9037D">
        <w:rPr>
          <w:spacing w:val="-2"/>
        </w:rPr>
        <w:t xml:space="preserve">term increases in income are due to </w:t>
      </w:r>
      <w:r w:rsidR="004C71F8" w:rsidRPr="00A9037D">
        <w:rPr>
          <w:spacing w:val="-2"/>
        </w:rPr>
        <w:t xml:space="preserve">labour </w:t>
      </w:r>
      <w:r w:rsidRPr="00A9037D">
        <w:rPr>
          <w:spacing w:val="-2"/>
        </w:rPr>
        <w:t>productivity growth. The average Australia</w:t>
      </w:r>
      <w:r w:rsidR="00F513FD" w:rsidRPr="00A9037D">
        <w:rPr>
          <w:spacing w:val="-2"/>
        </w:rPr>
        <w:t>n</w:t>
      </w:r>
      <w:r w:rsidRPr="00A9037D">
        <w:rPr>
          <w:spacing w:val="-2"/>
        </w:rPr>
        <w:t xml:space="preserve"> worker produces in one </w:t>
      </w:r>
      <w:r w:rsidR="004C71F8" w:rsidRPr="00A9037D">
        <w:rPr>
          <w:spacing w:val="-2"/>
        </w:rPr>
        <w:t>hour</w:t>
      </w:r>
      <w:r w:rsidRPr="00A9037D">
        <w:rPr>
          <w:spacing w:val="-2"/>
        </w:rPr>
        <w:t xml:space="preserve"> what took the typical worker seven </w:t>
      </w:r>
      <w:r w:rsidR="004C71F8" w:rsidRPr="00A9037D">
        <w:rPr>
          <w:spacing w:val="-2"/>
        </w:rPr>
        <w:t>hours</w:t>
      </w:r>
      <w:r w:rsidRPr="00A9037D">
        <w:rPr>
          <w:spacing w:val="-2"/>
        </w:rPr>
        <w:t xml:space="preserve"> at Federation, and this has been accompanied by an almost proportional increase in income. </w:t>
      </w:r>
      <w:r w:rsidR="00961FF8" w:rsidRPr="00A9037D">
        <w:rPr>
          <w:spacing w:val="-2"/>
        </w:rPr>
        <w:t>While the terms of trade or labour utilisation can make a difference, it is ultimately productivity growth that will determine our future living standards.</w:t>
      </w:r>
    </w:p>
    <w:p w14:paraId="24A910E4" w14:textId="4722C3AB" w:rsidR="00E812D1" w:rsidRDefault="00F0138B" w:rsidP="00E812D1">
      <w:pPr>
        <w:pStyle w:val="BodyText"/>
      </w:pPr>
      <w:r>
        <w:t>The third</w:t>
      </w:r>
      <w:r w:rsidR="00E812D1">
        <w:t xml:space="preserve"> lesson is that Australia’s economic fortunes have waxed and waned over time. At the </w:t>
      </w:r>
      <w:r w:rsidR="00E31F30">
        <w:t>turn</w:t>
      </w:r>
      <w:r w:rsidR="00E812D1">
        <w:t xml:space="preserve"> of the Twentieth Century, Australia was the highest income country in the world. For much of the following century, Australia’s relative per capita incomes declined</w:t>
      </w:r>
      <w:r w:rsidR="00F513FD">
        <w:t>,</w:t>
      </w:r>
      <w:r w:rsidR="00E812D1">
        <w:t xml:space="preserve"> sometimes because of modest absolute growth, and sometimes due to growth which underperformed relative to other developed economies. </w:t>
      </w:r>
    </w:p>
    <w:p w14:paraId="04F9B487" w14:textId="2929D7EF" w:rsidR="00E812D1" w:rsidRDefault="00483CBA" w:rsidP="00E812D1">
      <w:pPr>
        <w:pStyle w:val="BodyText"/>
      </w:pPr>
      <w:r>
        <w:t xml:space="preserve">In some respects, </w:t>
      </w:r>
      <w:r w:rsidR="00E812D1">
        <w:t>it was unsurprising that Australia’s relative standing slipped.</w:t>
      </w:r>
      <w:r>
        <w:t xml:space="preserve"> Similar fates befell both New Zealand and (to an even greater degree) Argentina.</w:t>
      </w:r>
      <w:r w:rsidR="00E812D1">
        <w:t xml:space="preserve"> Some attribute </w:t>
      </w:r>
      <w:r>
        <w:t>Australia’s</w:t>
      </w:r>
      <w:r w:rsidR="00E812D1">
        <w:t xml:space="preserve"> rise and subsequent fall</w:t>
      </w:r>
      <w:r w:rsidR="00BD6602">
        <w:t xml:space="preserve"> in relative income</w:t>
      </w:r>
      <w:r w:rsidR="00E812D1">
        <w:t xml:space="preserve"> to </w:t>
      </w:r>
      <w:r w:rsidR="003B663F">
        <w:t>‘</w:t>
      </w:r>
      <w:r w:rsidR="00E812D1">
        <w:t>Midas and the merino</w:t>
      </w:r>
      <w:r w:rsidR="003B663F">
        <w:t>’</w:t>
      </w:r>
      <w:r w:rsidR="00E812D1">
        <w:t xml:space="preserve"> </w:t>
      </w:r>
      <w:r w:rsidR="003B663F">
        <w:t>—</w:t>
      </w:r>
      <w:r w:rsidR="00E812D1">
        <w:t xml:space="preserve"> the prominent role of gold mining and agriculture (especially wool farming)</w:t>
      </w:r>
      <w:r w:rsidR="00F513FD" w:rsidRPr="00F513FD">
        <w:t xml:space="preserve"> </w:t>
      </w:r>
      <w:r w:rsidR="00E812D1">
        <w:t>in the world economy that diminish</w:t>
      </w:r>
      <w:r w:rsidR="003B663F">
        <w:t>ed</w:t>
      </w:r>
      <w:r w:rsidR="00E812D1">
        <w:t xml:space="preserve"> with the rise of manufacturing. </w:t>
      </w:r>
      <w:r w:rsidR="005B36EF">
        <w:t>Natural resources undoubtedly played a role, but policy setting</w:t>
      </w:r>
      <w:r w:rsidR="003B663F">
        <w:t>s</w:t>
      </w:r>
      <w:r w:rsidR="005B36EF">
        <w:t xml:space="preserve"> likely did not help matters. </w:t>
      </w:r>
      <w:r w:rsidR="00E812D1">
        <w:t xml:space="preserve"> </w:t>
      </w:r>
    </w:p>
    <w:p w14:paraId="7A8F4D45" w14:textId="188D92EE" w:rsidR="00E812D1" w:rsidRPr="00A9037D" w:rsidRDefault="003B663F" w:rsidP="00E812D1">
      <w:pPr>
        <w:pStyle w:val="BodyText"/>
        <w:rPr>
          <w:spacing w:val="-2"/>
        </w:rPr>
      </w:pPr>
      <w:r w:rsidRPr="00A9037D">
        <w:rPr>
          <w:spacing w:val="-2"/>
        </w:rPr>
        <w:t>T</w:t>
      </w:r>
      <w:r w:rsidR="00F0138B" w:rsidRPr="00A9037D">
        <w:rPr>
          <w:spacing w:val="-2"/>
        </w:rPr>
        <w:t>he fourth lesson of</w:t>
      </w:r>
      <w:r w:rsidR="00E812D1" w:rsidRPr="00A9037D">
        <w:rPr>
          <w:spacing w:val="-2"/>
        </w:rPr>
        <w:t xml:space="preserve"> this paper, </w:t>
      </w:r>
      <w:r w:rsidRPr="00A9037D">
        <w:rPr>
          <w:spacing w:val="-2"/>
        </w:rPr>
        <w:t xml:space="preserve">highlights </w:t>
      </w:r>
      <w:r w:rsidR="00E812D1" w:rsidRPr="00A9037D">
        <w:rPr>
          <w:spacing w:val="-2"/>
        </w:rPr>
        <w:t xml:space="preserve">two examples of policies that have shaped </w:t>
      </w:r>
      <w:r w:rsidR="00F513FD" w:rsidRPr="00A9037D">
        <w:rPr>
          <w:spacing w:val="-2"/>
        </w:rPr>
        <w:t>Australia’s</w:t>
      </w:r>
      <w:r w:rsidR="00E812D1" w:rsidRPr="00A9037D">
        <w:rPr>
          <w:spacing w:val="-2"/>
        </w:rPr>
        <w:t xml:space="preserve"> fortunes. The first is the set of policies </w:t>
      </w:r>
      <w:r w:rsidR="00C470FA" w:rsidRPr="00A9037D">
        <w:rPr>
          <w:spacing w:val="-2"/>
        </w:rPr>
        <w:t>we call</w:t>
      </w:r>
      <w:r w:rsidR="00252E3C" w:rsidRPr="00A9037D">
        <w:rPr>
          <w:spacing w:val="-2"/>
        </w:rPr>
        <w:t xml:space="preserve"> ‘Fortress Australia’.</w:t>
      </w:r>
      <w:r w:rsidR="00E812D1" w:rsidRPr="00A9037D">
        <w:rPr>
          <w:spacing w:val="-2"/>
        </w:rPr>
        <w:t xml:space="preserve"> Born </w:t>
      </w:r>
      <w:r w:rsidR="00F26E74" w:rsidRPr="00A9037D">
        <w:rPr>
          <w:spacing w:val="-2"/>
        </w:rPr>
        <w:t xml:space="preserve">in the wake of </w:t>
      </w:r>
      <w:r w:rsidR="00E812D1" w:rsidRPr="00A9037D">
        <w:rPr>
          <w:spacing w:val="-2"/>
        </w:rPr>
        <w:t xml:space="preserve">the economic crisis of the 1890s and expanded through the turmoil of two World Wars and the Great Depression, this policy set promoted what has been described as ‘protection all round’ through tariffs, wage arbitration and government monopolies over key industries. </w:t>
      </w:r>
    </w:p>
    <w:p w14:paraId="6694530A" w14:textId="0BF2AB00" w:rsidR="00E812D1" w:rsidRDefault="00E812D1" w:rsidP="00E812D1">
      <w:pPr>
        <w:pStyle w:val="BodyText"/>
      </w:pPr>
      <w:r>
        <w:lastRenderedPageBreak/>
        <w:t>Whil</w:t>
      </w:r>
      <w:r w:rsidR="003B663F">
        <w:t>e</w:t>
      </w:r>
      <w:r>
        <w:t xml:space="preserve"> this policy mix</w:t>
      </w:r>
      <w:r w:rsidR="00C470FA">
        <w:t xml:space="preserve"> was accompanied by</w:t>
      </w:r>
      <w:r>
        <w:t xml:space="preserve"> a degree of stability</w:t>
      </w:r>
      <w:r w:rsidR="002D135D">
        <w:t xml:space="preserve"> at first</w:t>
      </w:r>
      <w:r>
        <w:t xml:space="preserve">, greater fragility became evident over time. The walls of Fortress Australia were unable to protect us from the economic turmoil of the 1970s and contributed to Australia sliding down the income ladder. By contrast, the second example, the microeconomic reforms of the 1980s and 1990s (with the aid of beneficial macroeconomic reform) laid the foundations for the past 30 years of economic prosperity. </w:t>
      </w:r>
      <w:r w:rsidR="00BD11E5">
        <w:t>Part of the success of these policies was to</w:t>
      </w:r>
      <w:r>
        <w:t xml:space="preserve"> move the economy away from one where special interests distorted the flow of resources to one where competition played a much greater role. </w:t>
      </w:r>
      <w:r w:rsidRPr="00A37636">
        <w:t>The result was</w:t>
      </w:r>
      <w:r w:rsidR="00915785">
        <w:t xml:space="preserve"> an end to Australia’s relative </w:t>
      </w:r>
      <w:r w:rsidR="00AA4E09">
        <w:t>income</w:t>
      </w:r>
      <w:r w:rsidR="00915785">
        <w:t xml:space="preserve"> decline and</w:t>
      </w:r>
      <w:r w:rsidRPr="00A37636">
        <w:t xml:space="preserve"> nearly 30 years of continuous growth that outpaced most other advanced economies (including all of the G7).</w:t>
      </w:r>
      <w:r>
        <w:t xml:space="preserve"> </w:t>
      </w:r>
    </w:p>
    <w:p w14:paraId="7FB2DB54" w14:textId="269A0CC3" w:rsidR="00710FA6" w:rsidRDefault="0021643C" w:rsidP="00710FA6">
      <w:pPr>
        <w:pStyle w:val="BodyText"/>
      </w:pPr>
      <w:r>
        <w:t xml:space="preserve">Recessions in Australia have been rare in recent </w:t>
      </w:r>
      <w:r w:rsidR="00AA4E09">
        <w:t>times</w:t>
      </w:r>
      <w:r>
        <w:t>. When they have occurred, they prompted policy shifts, such as in the early 1980s and early 1990s. The current recession will also lead to consideration of, and debate over, the appropriate policy mix to foster recovery and promote future productivity growth. Inevitably, some aspects of this future reform agenda will be new and different — reflecting changes in the economic context compared with that of the early 1980s and specific to the particular impacts of the COVID</w:t>
      </w:r>
      <w:r>
        <w:noBreakHyphen/>
        <w:t xml:space="preserve">19 pandemic. But in large part it should also reflect </w:t>
      </w:r>
      <w:r w:rsidR="00AA4E09">
        <w:t>the</w:t>
      </w:r>
      <w:r>
        <w:t xml:space="preserve"> principles that successfully guided policy over the last 30 years.</w:t>
      </w:r>
    </w:p>
    <w:p w14:paraId="48E8A7CD" w14:textId="7CAECFB1" w:rsidR="005C1F59" w:rsidRDefault="00710FA6">
      <w:pPr>
        <w:rPr>
          <w:szCs w:val="20"/>
        </w:rPr>
        <w:sectPr w:rsidR="005C1F59" w:rsidSect="005C1F59">
          <w:headerReference w:type="even" r:id="rId14"/>
          <w:headerReference w:type="default" r:id="rId15"/>
          <w:footerReference w:type="even" r:id="rId16"/>
          <w:footerReference w:type="default" r:id="rId17"/>
          <w:pgSz w:w="11907" w:h="16840" w:code="9"/>
          <w:pgMar w:top="1985" w:right="1304" w:bottom="1247" w:left="1814" w:header="1701" w:footer="397" w:gutter="0"/>
          <w:pgNumType w:fmt="lowerRoman" w:chapSep="period"/>
          <w:cols w:space="720"/>
          <w:docGrid w:linePitch="326"/>
        </w:sectPr>
      </w:pPr>
      <w:r>
        <w:br w:type="page"/>
      </w:r>
    </w:p>
    <w:p w14:paraId="207A4E2C" w14:textId="77777777" w:rsidR="005C1F59" w:rsidRDefault="005C1F59" w:rsidP="005C1F59">
      <w:pPr>
        <w:pStyle w:val="Heading2"/>
      </w:pPr>
      <w:r w:rsidRPr="00B153C3">
        <w:lastRenderedPageBreak/>
        <w:t>Contents</w:t>
      </w:r>
      <w:bookmarkStart w:id="6" w:name="InsertContents"/>
      <w:bookmarkEnd w:id="6"/>
    </w:p>
    <w:p w14:paraId="0CDC8848" w14:textId="2F6AB877" w:rsidR="005C1F59" w:rsidRPr="003336AD" w:rsidRDefault="005C1F59" w:rsidP="003336AD">
      <w:pPr>
        <w:pStyle w:val="TOC2"/>
        <w:spacing w:before="360"/>
        <w:ind w:left="624"/>
        <w:rPr>
          <w:rFonts w:asciiTheme="minorHAnsi" w:eastAsiaTheme="minorEastAsia" w:hAnsiTheme="minorHAnsi"/>
          <w:noProof/>
          <w:sz w:val="22"/>
          <w:szCs w:val="22"/>
          <w:lang w:eastAsia="en-AU"/>
        </w:rPr>
      </w:pPr>
      <w:r>
        <w:rPr>
          <w:noProof/>
        </w:rPr>
        <w:t>Foreword</w:t>
      </w:r>
      <w:r w:rsidRPr="003336AD">
        <w:rPr>
          <w:noProof/>
        </w:rPr>
        <w:tab/>
        <w:t>iii</w:t>
      </w:r>
    </w:p>
    <w:p w14:paraId="0CDD3704" w14:textId="47497132" w:rsidR="005C1F59" w:rsidRPr="003336AD" w:rsidRDefault="005C1F59" w:rsidP="005C1F59">
      <w:pPr>
        <w:pStyle w:val="TOC2"/>
        <w:tabs>
          <w:tab w:val="left" w:pos="1134"/>
        </w:tabs>
        <w:ind w:left="624"/>
        <w:rPr>
          <w:noProof/>
        </w:rPr>
      </w:pPr>
      <w:r w:rsidRPr="003336AD">
        <w:rPr>
          <w:noProof/>
        </w:rPr>
        <w:t>Key points</w:t>
      </w:r>
      <w:r w:rsidRPr="003336AD">
        <w:rPr>
          <w:noProof/>
        </w:rPr>
        <w:tab/>
        <w:t>1</w:t>
      </w:r>
    </w:p>
    <w:p w14:paraId="0364E124" w14:textId="7400483B" w:rsidR="005C1F59" w:rsidRPr="003336AD" w:rsidRDefault="005C1F59" w:rsidP="005C1F59">
      <w:pPr>
        <w:pStyle w:val="TOC2"/>
        <w:tabs>
          <w:tab w:val="left" w:pos="1134"/>
        </w:tabs>
        <w:ind w:left="624"/>
        <w:rPr>
          <w:rFonts w:eastAsiaTheme="minorEastAsia" w:cs="Arial"/>
          <w:noProof/>
          <w:sz w:val="22"/>
          <w:szCs w:val="22"/>
          <w:lang w:eastAsia="en-AU"/>
        </w:rPr>
      </w:pPr>
      <w:r w:rsidRPr="003336AD">
        <w:rPr>
          <w:rFonts w:cs="Arial"/>
          <w:noProof/>
        </w:rPr>
        <w:t>1</w:t>
      </w:r>
      <w:r w:rsidRPr="003336AD">
        <w:rPr>
          <w:rFonts w:eastAsiaTheme="minorEastAsia" w:cs="Arial"/>
          <w:noProof/>
          <w:sz w:val="22"/>
          <w:szCs w:val="22"/>
          <w:lang w:eastAsia="en-AU"/>
        </w:rPr>
        <w:tab/>
      </w:r>
      <w:r w:rsidRPr="003336AD">
        <w:rPr>
          <w:rFonts w:cs="Arial"/>
          <w:noProof/>
          <w:spacing w:val="-6"/>
        </w:rPr>
        <w:t>COVID-19 has ended Australia’s recession-free streak</w:t>
      </w:r>
      <w:r w:rsidRPr="003336AD">
        <w:rPr>
          <w:rFonts w:cs="Arial"/>
          <w:noProof/>
        </w:rPr>
        <w:tab/>
        <w:t>2</w:t>
      </w:r>
    </w:p>
    <w:p w14:paraId="501DD148" w14:textId="36F5513F" w:rsidR="005C1F59" w:rsidRPr="003336AD" w:rsidRDefault="005C1F59" w:rsidP="005C1F59">
      <w:pPr>
        <w:pStyle w:val="TOC2"/>
        <w:tabs>
          <w:tab w:val="left" w:pos="1134"/>
        </w:tabs>
        <w:ind w:left="624"/>
        <w:rPr>
          <w:rFonts w:asciiTheme="minorHAnsi" w:eastAsiaTheme="minorEastAsia" w:hAnsiTheme="minorHAnsi"/>
          <w:noProof/>
          <w:sz w:val="22"/>
          <w:szCs w:val="22"/>
          <w:lang w:eastAsia="en-AU"/>
        </w:rPr>
      </w:pPr>
      <w:r w:rsidRPr="003336AD">
        <w:rPr>
          <w:noProof/>
        </w:rPr>
        <w:t>2</w:t>
      </w:r>
      <w:r w:rsidRPr="003336AD">
        <w:rPr>
          <w:rFonts w:asciiTheme="minorHAnsi" w:eastAsiaTheme="minorEastAsia" w:hAnsiTheme="minorHAnsi"/>
          <w:noProof/>
          <w:sz w:val="22"/>
          <w:szCs w:val="22"/>
          <w:lang w:eastAsia="en-AU"/>
        </w:rPr>
        <w:tab/>
      </w:r>
      <w:r w:rsidRPr="003336AD">
        <w:rPr>
          <w:noProof/>
        </w:rPr>
        <w:t>Learning from past recessions</w:t>
      </w:r>
      <w:r w:rsidRPr="003336AD">
        <w:rPr>
          <w:noProof/>
        </w:rPr>
        <w:tab/>
        <w:t>3</w:t>
      </w:r>
    </w:p>
    <w:p w14:paraId="22F2A1A2" w14:textId="7D553BDF" w:rsidR="005C1F59" w:rsidRPr="003336AD" w:rsidRDefault="005C1F59" w:rsidP="005C1F59">
      <w:pPr>
        <w:pStyle w:val="TOC2"/>
        <w:tabs>
          <w:tab w:val="left" w:pos="1134"/>
        </w:tabs>
        <w:ind w:left="624"/>
        <w:rPr>
          <w:rFonts w:asciiTheme="minorHAnsi" w:eastAsiaTheme="minorEastAsia" w:hAnsiTheme="minorHAnsi"/>
          <w:noProof/>
          <w:sz w:val="22"/>
          <w:szCs w:val="22"/>
          <w:lang w:eastAsia="en-AU"/>
        </w:rPr>
      </w:pPr>
      <w:r w:rsidRPr="003336AD">
        <w:rPr>
          <w:noProof/>
        </w:rPr>
        <w:t>3</w:t>
      </w:r>
      <w:r w:rsidRPr="003336AD">
        <w:rPr>
          <w:rFonts w:asciiTheme="minorHAnsi" w:eastAsiaTheme="minorEastAsia" w:hAnsiTheme="minorHAnsi"/>
          <w:noProof/>
          <w:sz w:val="22"/>
          <w:szCs w:val="22"/>
          <w:lang w:eastAsia="en-AU"/>
        </w:rPr>
        <w:tab/>
      </w:r>
      <w:r w:rsidRPr="003336AD">
        <w:rPr>
          <w:noProof/>
        </w:rPr>
        <w:t>Working smarter not harder has been the key to Australia’s economic prosperity</w:t>
      </w:r>
      <w:r w:rsidRPr="003336AD">
        <w:rPr>
          <w:noProof/>
        </w:rPr>
        <w:tab/>
        <w:t>9</w:t>
      </w:r>
    </w:p>
    <w:p w14:paraId="512F7B99" w14:textId="68C30E2A" w:rsidR="005C1F59" w:rsidRPr="003336AD" w:rsidRDefault="005C1F59" w:rsidP="005C1F59">
      <w:pPr>
        <w:pStyle w:val="TOC2"/>
        <w:tabs>
          <w:tab w:val="left" w:pos="1134"/>
        </w:tabs>
        <w:ind w:left="624"/>
        <w:rPr>
          <w:rFonts w:eastAsiaTheme="minorEastAsia" w:cs="Arial"/>
          <w:noProof/>
          <w:sz w:val="22"/>
          <w:szCs w:val="22"/>
          <w:lang w:eastAsia="en-AU"/>
        </w:rPr>
      </w:pPr>
      <w:r w:rsidRPr="003336AD">
        <w:rPr>
          <w:rFonts w:cs="Arial"/>
          <w:noProof/>
        </w:rPr>
        <w:t>4</w:t>
      </w:r>
      <w:r w:rsidRPr="003336AD">
        <w:rPr>
          <w:rFonts w:eastAsiaTheme="minorEastAsia" w:cs="Arial"/>
          <w:noProof/>
          <w:sz w:val="22"/>
          <w:szCs w:val="22"/>
          <w:lang w:eastAsia="en-AU"/>
        </w:rPr>
        <w:tab/>
      </w:r>
      <w:r w:rsidRPr="003336AD">
        <w:rPr>
          <w:rFonts w:cs="Arial"/>
          <w:noProof/>
          <w:spacing w:val="-4"/>
        </w:rPr>
        <w:t>Australia’s high standard of living is not guaranteed</w:t>
      </w:r>
      <w:r w:rsidRPr="003336AD">
        <w:rPr>
          <w:rFonts w:cs="Arial"/>
          <w:noProof/>
        </w:rPr>
        <w:tab/>
        <w:t>13</w:t>
      </w:r>
    </w:p>
    <w:p w14:paraId="25A57BD1" w14:textId="19608E6C" w:rsidR="005C1F59" w:rsidRPr="003336AD" w:rsidRDefault="005C1F59" w:rsidP="005C1F59">
      <w:pPr>
        <w:pStyle w:val="TOC2"/>
        <w:tabs>
          <w:tab w:val="left" w:pos="1134"/>
        </w:tabs>
        <w:ind w:left="624"/>
        <w:rPr>
          <w:rFonts w:asciiTheme="minorHAnsi" w:eastAsiaTheme="minorEastAsia" w:hAnsiTheme="minorHAnsi"/>
          <w:noProof/>
          <w:sz w:val="22"/>
          <w:szCs w:val="22"/>
          <w:lang w:eastAsia="en-AU"/>
        </w:rPr>
      </w:pPr>
      <w:r w:rsidRPr="003336AD">
        <w:rPr>
          <w:noProof/>
        </w:rPr>
        <w:t>5</w:t>
      </w:r>
      <w:r w:rsidRPr="003336AD">
        <w:rPr>
          <w:rFonts w:asciiTheme="minorHAnsi" w:eastAsiaTheme="minorEastAsia" w:hAnsiTheme="minorHAnsi"/>
          <w:noProof/>
          <w:sz w:val="22"/>
          <w:szCs w:val="22"/>
          <w:lang w:eastAsia="en-AU"/>
        </w:rPr>
        <w:tab/>
      </w:r>
      <w:r w:rsidRPr="003336AD">
        <w:rPr>
          <w:noProof/>
        </w:rPr>
        <w:t>The role of policy in Australia’s shifting fortunes</w:t>
      </w:r>
      <w:r w:rsidRPr="003336AD">
        <w:rPr>
          <w:noProof/>
        </w:rPr>
        <w:tab/>
        <w:t>28</w:t>
      </w:r>
    </w:p>
    <w:p w14:paraId="588BD598" w14:textId="3D19315F" w:rsidR="005C1F59" w:rsidRPr="003336AD" w:rsidRDefault="005C1F59" w:rsidP="005C1F59">
      <w:pPr>
        <w:pStyle w:val="TOC2"/>
        <w:tabs>
          <w:tab w:val="left" w:pos="1134"/>
        </w:tabs>
        <w:ind w:left="624"/>
        <w:rPr>
          <w:rFonts w:asciiTheme="minorHAnsi" w:eastAsiaTheme="minorEastAsia" w:hAnsiTheme="minorHAnsi"/>
          <w:noProof/>
          <w:sz w:val="22"/>
          <w:szCs w:val="22"/>
          <w:lang w:eastAsia="en-AU"/>
        </w:rPr>
      </w:pPr>
      <w:r w:rsidRPr="003336AD">
        <w:rPr>
          <w:noProof/>
        </w:rPr>
        <w:t>6</w:t>
      </w:r>
      <w:r w:rsidRPr="003336AD">
        <w:rPr>
          <w:rFonts w:asciiTheme="minorHAnsi" w:eastAsiaTheme="minorEastAsia" w:hAnsiTheme="minorHAnsi"/>
          <w:noProof/>
          <w:sz w:val="22"/>
          <w:szCs w:val="22"/>
          <w:lang w:eastAsia="en-AU"/>
        </w:rPr>
        <w:tab/>
      </w:r>
      <w:r w:rsidRPr="003336AD">
        <w:rPr>
          <w:noProof/>
        </w:rPr>
        <w:t>Where to next?</w:t>
      </w:r>
      <w:r w:rsidRPr="003336AD">
        <w:rPr>
          <w:noProof/>
        </w:rPr>
        <w:tab/>
        <w:t>36</w:t>
      </w:r>
    </w:p>
    <w:p w14:paraId="1914050B" w14:textId="1E0ACC49" w:rsidR="005C1F59" w:rsidRPr="003336AD" w:rsidRDefault="005C1F59" w:rsidP="005C1F59">
      <w:pPr>
        <w:pStyle w:val="TOC2"/>
        <w:tabs>
          <w:tab w:val="left" w:pos="1134"/>
        </w:tabs>
        <w:ind w:left="624"/>
        <w:rPr>
          <w:noProof/>
        </w:rPr>
      </w:pPr>
      <w:r w:rsidRPr="003336AD">
        <w:rPr>
          <w:noProof/>
        </w:rPr>
        <w:t>References</w:t>
      </w:r>
      <w:r w:rsidRPr="003336AD">
        <w:rPr>
          <w:noProof/>
        </w:rPr>
        <w:tab/>
        <w:t>38</w:t>
      </w:r>
    </w:p>
    <w:p w14:paraId="3012467F" w14:textId="77777777" w:rsidR="005C1F59" w:rsidRDefault="005C1F59">
      <w:pPr>
        <w:rPr>
          <w:szCs w:val="20"/>
        </w:rPr>
      </w:pPr>
    </w:p>
    <w:p w14:paraId="40DA4E7D" w14:textId="77777777" w:rsidR="005C1F59" w:rsidRDefault="005C1F59">
      <w:pPr>
        <w:rPr>
          <w:szCs w:val="20"/>
        </w:rPr>
        <w:sectPr w:rsidR="005C1F59" w:rsidSect="005C1F59">
          <w:footerReference w:type="even" r:id="rId18"/>
          <w:footerReference w:type="default" r:id="rId19"/>
          <w:type w:val="oddPage"/>
          <w:pgSz w:w="11907" w:h="16840" w:code="9"/>
          <w:pgMar w:top="1985" w:right="1304" w:bottom="1247" w:left="1814" w:header="1701" w:footer="397" w:gutter="0"/>
          <w:pgNumType w:fmt="lowerRoman" w:chapSep="period"/>
          <w:cols w:space="720"/>
          <w:docGrid w:linePitch="326"/>
        </w:sectPr>
      </w:pPr>
    </w:p>
    <w:p w14:paraId="14AF4C74" w14:textId="0B951131" w:rsidR="00593D52" w:rsidRDefault="0026171E" w:rsidP="00593D52">
      <w:pPr>
        <w:pStyle w:val="Heading1nochapterno"/>
      </w:pPr>
      <w:bookmarkStart w:id="7" w:name="ChapterTitle"/>
      <w:r>
        <w:lastRenderedPageBreak/>
        <w:t>Australia’</w:t>
      </w:r>
      <w:r w:rsidR="00593D52">
        <w:t xml:space="preserve">s </w:t>
      </w:r>
      <w:bookmarkEnd w:id="7"/>
      <w:r w:rsidR="00C470FA">
        <w:t>long</w:t>
      </w:r>
      <w:r w:rsidR="00710FA6">
        <w:t xml:space="preserve"> </w:t>
      </w:r>
      <w:r w:rsidR="00C470FA">
        <w:t>term productivity experience</w:t>
      </w:r>
    </w:p>
    <w:p w14:paraId="2414BAAF" w14:textId="77777777" w:rsidR="00492690" w:rsidRDefault="00492690" w:rsidP="00C82F6A">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92690" w14:paraId="2B5FB4B3" w14:textId="77777777" w:rsidTr="0C9D299B">
        <w:trPr>
          <w:tblHeader/>
        </w:trPr>
        <w:tc>
          <w:tcPr>
            <w:tcW w:w="5000" w:type="pct"/>
            <w:tcBorders>
              <w:top w:val="single" w:sz="6" w:space="0" w:color="78A22F" w:themeColor="accent1"/>
              <w:left w:val="nil"/>
              <w:bottom w:val="nil"/>
              <w:right w:val="nil"/>
            </w:tcBorders>
            <w:shd w:val="clear" w:color="auto" w:fill="F2F2F2" w:themeFill="background1" w:themeFillShade="F2"/>
          </w:tcPr>
          <w:p w14:paraId="4A4A9C6C" w14:textId="77777777" w:rsidR="00492690" w:rsidRDefault="00492690" w:rsidP="00FC79E6">
            <w:pPr>
              <w:pStyle w:val="KeyPoints"/>
            </w:pPr>
            <w:r>
              <w:t>Key points</w:t>
            </w:r>
          </w:p>
        </w:tc>
      </w:tr>
      <w:tr w:rsidR="00492690" w14:paraId="2C0D8068" w14:textId="77777777" w:rsidTr="0C9D299B">
        <w:tc>
          <w:tcPr>
            <w:tcW w:w="5000" w:type="pct"/>
            <w:tcBorders>
              <w:top w:val="nil"/>
              <w:left w:val="nil"/>
              <w:bottom w:val="nil"/>
              <w:right w:val="nil"/>
            </w:tcBorders>
            <w:shd w:val="clear" w:color="auto" w:fill="F2F2F2" w:themeFill="background1" w:themeFillShade="F2"/>
          </w:tcPr>
          <w:p w14:paraId="5289F5E8" w14:textId="704D2ED8" w:rsidR="00A238E0" w:rsidRDefault="00E2671A" w:rsidP="00C82F6A">
            <w:pPr>
              <w:pStyle w:val="KeyPointsListBullet"/>
              <w:spacing w:after="120"/>
            </w:pPr>
            <w:r>
              <w:t xml:space="preserve">Australia has entered its worst recession </w:t>
            </w:r>
            <w:r w:rsidR="2FC41B20">
              <w:t xml:space="preserve">since the Great Depression </w:t>
            </w:r>
            <w:r w:rsidR="1F641D24">
              <w:t>because of the</w:t>
            </w:r>
            <w:r>
              <w:t xml:space="preserve"> COVID</w:t>
            </w:r>
            <w:r w:rsidR="009C1C12">
              <w:noBreakHyphen/>
            </w:r>
            <w:r>
              <w:t xml:space="preserve">19 pandemic. </w:t>
            </w:r>
          </w:p>
          <w:p w14:paraId="6E66BC89" w14:textId="36302A33" w:rsidR="00A238E0" w:rsidRDefault="4273AC2A" w:rsidP="00A37636">
            <w:pPr>
              <w:pStyle w:val="KeyPointsListBullet2"/>
            </w:pPr>
            <w:r>
              <w:t>Australia’s future pro</w:t>
            </w:r>
            <w:bookmarkStart w:id="8" w:name="_GoBack"/>
            <w:bookmarkEnd w:id="8"/>
            <w:r>
              <w:t xml:space="preserve">sperity will be affected by the severity and length of the downturn, but also by the growth rate of productivity once the economy has recovered. </w:t>
            </w:r>
          </w:p>
          <w:p w14:paraId="0089E656" w14:textId="0CBFA637" w:rsidR="00A238E0" w:rsidRDefault="4273AC2A" w:rsidP="00A37636">
            <w:pPr>
              <w:pStyle w:val="KeyPointsListBullet2"/>
            </w:pPr>
            <w:r>
              <w:t xml:space="preserve">The </w:t>
            </w:r>
            <w:r w:rsidR="00F7022E">
              <w:t xml:space="preserve">policy challenge is to support </w:t>
            </w:r>
            <w:r>
              <w:t>a strong</w:t>
            </w:r>
            <w:r w:rsidR="20BFE855">
              <w:t xml:space="preserve"> and</w:t>
            </w:r>
            <w:r>
              <w:t xml:space="preserve"> rapid recovery, consistent with policy settings that can </w:t>
            </w:r>
            <w:r w:rsidR="18940662">
              <w:t xml:space="preserve">also </w:t>
            </w:r>
            <w:r>
              <w:t xml:space="preserve">drive faster productivity growth in the medium and long term. </w:t>
            </w:r>
          </w:p>
          <w:p w14:paraId="11A40C39" w14:textId="27D286CC" w:rsidR="00E2671A" w:rsidRDefault="00E2671A" w:rsidP="00C82F6A">
            <w:pPr>
              <w:pStyle w:val="KeyPointsListBullet"/>
              <w:spacing w:after="120"/>
            </w:pPr>
            <w:r>
              <w:t>Despite a 28</w:t>
            </w:r>
            <w:r>
              <w:noBreakHyphen/>
              <w:t>year recession</w:t>
            </w:r>
            <w:r>
              <w:noBreakHyphen/>
              <w:t xml:space="preserve">free streak, this country is no stranger to recessions. </w:t>
            </w:r>
          </w:p>
          <w:p w14:paraId="5D75AE56" w14:textId="09F2247A" w:rsidR="00E2671A" w:rsidRDefault="00E2671A" w:rsidP="00E2671A">
            <w:pPr>
              <w:pStyle w:val="KeyPointsListBullet2"/>
            </w:pPr>
            <w:r>
              <w:t xml:space="preserve">In </w:t>
            </w:r>
            <w:r w:rsidR="00C82F6A">
              <w:t xml:space="preserve">the past </w:t>
            </w:r>
            <w:r>
              <w:t>250 year</w:t>
            </w:r>
            <w:r w:rsidR="00C82F6A">
              <w:t>s</w:t>
            </w:r>
            <w:r>
              <w:t xml:space="preserve">, Australia has weathered severe recessions and recovery has usually been swift. </w:t>
            </w:r>
          </w:p>
          <w:p w14:paraId="06AE0BF6" w14:textId="2C6A8BF5" w:rsidR="00E2671A" w:rsidRDefault="00E2671A" w:rsidP="00E2671A">
            <w:pPr>
              <w:pStyle w:val="KeyPointsListBullet2"/>
            </w:pPr>
            <w:r>
              <w:t xml:space="preserve">However, labour markets are often weak </w:t>
            </w:r>
            <w:r w:rsidR="000A1E81">
              <w:t>long after the recession has ended</w:t>
            </w:r>
            <w:r>
              <w:t xml:space="preserve">. In some cases, </w:t>
            </w:r>
            <w:r w:rsidR="002630D5">
              <w:t xml:space="preserve">unemployment </w:t>
            </w:r>
            <w:r>
              <w:t>has remained high for over a decade after the</w:t>
            </w:r>
            <w:r w:rsidR="00845D04">
              <w:t xml:space="preserve"> initial</w:t>
            </w:r>
            <w:r>
              <w:t xml:space="preserve"> </w:t>
            </w:r>
            <w:r w:rsidR="00845D04">
              <w:t>downturn</w:t>
            </w:r>
            <w:r w:rsidR="002630D5">
              <w:t>, and ‘hidden unemployment’ (from lower participation rates) can further exacerbate this</w:t>
            </w:r>
            <w:r>
              <w:t>.</w:t>
            </w:r>
          </w:p>
          <w:p w14:paraId="3C7DB0CE" w14:textId="4C93E13A" w:rsidR="00377936" w:rsidRDefault="20024D90" w:rsidP="00C82F6A">
            <w:pPr>
              <w:pStyle w:val="KeyPointsListBullet"/>
              <w:spacing w:after="120"/>
            </w:pPr>
            <w:r>
              <w:t xml:space="preserve">Almost </w:t>
            </w:r>
            <w:r w:rsidR="3C64B141">
              <w:t xml:space="preserve">all </w:t>
            </w:r>
            <w:r>
              <w:t xml:space="preserve">of Australia’s longer-term growth in incomes and wages is attributable to </w:t>
            </w:r>
            <w:r w:rsidR="00B16BF5">
              <w:t xml:space="preserve">labour </w:t>
            </w:r>
            <w:r>
              <w:t>productivity growth</w:t>
            </w:r>
            <w:r w:rsidR="00AA544F">
              <w:t>, with</w:t>
            </w:r>
            <w:r w:rsidR="31ADD1E9">
              <w:t xml:space="preserve"> policy </w:t>
            </w:r>
            <w:r w:rsidR="00AA544F">
              <w:t>playing</w:t>
            </w:r>
            <w:r w:rsidR="31ADD1E9">
              <w:t xml:space="preserve"> a key ro</w:t>
            </w:r>
            <w:r w:rsidR="00E1276E">
              <w:t>le in driving this growth.</w:t>
            </w:r>
          </w:p>
          <w:p w14:paraId="0EDC845A" w14:textId="226A0130" w:rsidR="00E2671A" w:rsidRDefault="00377936" w:rsidP="00C82F6A">
            <w:pPr>
              <w:pStyle w:val="KeyPointsListBullet"/>
              <w:spacing w:after="120"/>
            </w:pPr>
            <w:r>
              <w:t>A</w:t>
            </w:r>
            <w:r w:rsidR="00E2671A">
              <w:t xml:space="preserve">ustralia’s economic fortunes </w:t>
            </w:r>
            <w:r w:rsidR="00E1276E">
              <w:t>have waxed and waned over time.</w:t>
            </w:r>
          </w:p>
          <w:p w14:paraId="3CCE3076" w14:textId="0B879F62" w:rsidR="00E2671A" w:rsidRDefault="00E2671A" w:rsidP="00E2671A">
            <w:pPr>
              <w:pStyle w:val="KeyPointsListBullet2"/>
            </w:pPr>
            <w:r>
              <w:t>At the turn of the Twentieth Century, Australia had the highest GDP per capita of any country in the world (including the United States</w:t>
            </w:r>
            <w:r w:rsidR="006B23F6">
              <w:t xml:space="preserve"> of America</w:t>
            </w:r>
            <w:r w:rsidR="00E1276E">
              <w:t>).</w:t>
            </w:r>
          </w:p>
          <w:p w14:paraId="4D25E872" w14:textId="6CFA3416" w:rsidR="00E2671A" w:rsidRDefault="002630D5" w:rsidP="00E2671A">
            <w:pPr>
              <w:pStyle w:val="KeyPointsListBullet2"/>
            </w:pPr>
            <w:r>
              <w:t>For much of the next century, Australia’s relative standing slipped, despite some periods of strong absolute productivity growth.</w:t>
            </w:r>
          </w:p>
          <w:p w14:paraId="4253457D" w14:textId="2626374F" w:rsidR="00E2671A" w:rsidRDefault="002D135D" w:rsidP="00E2671A">
            <w:pPr>
              <w:pStyle w:val="KeyPointsListBullet2"/>
            </w:pPr>
            <w:r>
              <w:t>And although Australia has always been a high income country, it is o</w:t>
            </w:r>
            <w:r w:rsidR="00E2671A">
              <w:t xml:space="preserve">nly in the last three decades </w:t>
            </w:r>
            <w:r>
              <w:t>that our relative income has improved against the frontier</w:t>
            </w:r>
            <w:r w:rsidR="00E2671A">
              <w:t xml:space="preserve">, </w:t>
            </w:r>
            <w:r>
              <w:t xml:space="preserve">due to </w:t>
            </w:r>
            <w:r w:rsidR="00E2671A">
              <w:t>growth in GDP</w:t>
            </w:r>
            <w:r w:rsidR="00FC2EE1">
              <w:t> </w:t>
            </w:r>
            <w:r w:rsidR="00E2671A">
              <w:t xml:space="preserve">per capita </w:t>
            </w:r>
            <w:r w:rsidR="00804D10">
              <w:t xml:space="preserve">outpacing </w:t>
            </w:r>
            <w:r w:rsidR="00E2671A">
              <w:t xml:space="preserve">all of the </w:t>
            </w:r>
            <w:r w:rsidR="00FB6E09">
              <w:t>G7</w:t>
            </w:r>
            <w:r w:rsidR="00EC6ECC">
              <w:t xml:space="preserve"> </w:t>
            </w:r>
            <w:r w:rsidR="006C09EB">
              <w:t>countries</w:t>
            </w:r>
            <w:r w:rsidR="00E2671A">
              <w:t>.</w:t>
            </w:r>
          </w:p>
          <w:p w14:paraId="0F9DB1B7" w14:textId="77777777" w:rsidR="00E2671A" w:rsidRDefault="00E2671A" w:rsidP="00C82F6A">
            <w:pPr>
              <w:pStyle w:val="KeyPointsListBullet"/>
              <w:spacing w:after="120"/>
            </w:pPr>
            <w:r>
              <w:t xml:space="preserve">Australian policymaking has both shaped, and been shaped by, our economic environment. </w:t>
            </w:r>
          </w:p>
          <w:p w14:paraId="2FB78323" w14:textId="2420CF23" w:rsidR="00E2671A" w:rsidRDefault="00E2671A" w:rsidP="00E2671A">
            <w:pPr>
              <w:pStyle w:val="KeyPointsListBullet2"/>
            </w:pPr>
            <w:r>
              <w:t xml:space="preserve">In the decades following Federation, Australia developed a policy framework </w:t>
            </w:r>
            <w:r w:rsidR="009920B8">
              <w:t xml:space="preserve">that </w:t>
            </w:r>
            <w:r>
              <w:t xml:space="preserve">included inward looking and protectionist elements, </w:t>
            </w:r>
            <w:r w:rsidR="00FC2EE1">
              <w:t>such as</w:t>
            </w:r>
            <w:r>
              <w:t xml:space="preserve"> tariffs, import quotas, export controls and a </w:t>
            </w:r>
            <w:r w:rsidR="00E1276E">
              <w:t>highly regulated labour market.</w:t>
            </w:r>
          </w:p>
          <w:p w14:paraId="2E2E9E66" w14:textId="4F65E70A" w:rsidR="00E2671A" w:rsidRDefault="00E2671A" w:rsidP="00E2671A">
            <w:pPr>
              <w:pStyle w:val="KeyPointsListBullet2"/>
            </w:pPr>
            <w:r>
              <w:t>This ‘Fortress Australia’ policy was designed to</w:t>
            </w:r>
            <w:r w:rsidR="00C72597">
              <w:t xml:space="preserve"> </w:t>
            </w:r>
            <w:r w:rsidR="00764C33">
              <w:t xml:space="preserve">boost </w:t>
            </w:r>
            <w:r w:rsidR="00C72597">
              <w:t>population growth, maintain</w:t>
            </w:r>
            <w:r>
              <w:t xml:space="preserve"> stable </w:t>
            </w:r>
            <w:r w:rsidR="00C72597">
              <w:t>economic</w:t>
            </w:r>
            <w:r w:rsidR="00A4752A">
              <w:t xml:space="preserve"> </w:t>
            </w:r>
            <w:r w:rsidR="00B00BA5">
              <w:t>growth</w:t>
            </w:r>
            <w:r>
              <w:t xml:space="preserve">, and </w:t>
            </w:r>
            <w:r w:rsidR="00C72597">
              <w:t xml:space="preserve">achieve an </w:t>
            </w:r>
            <w:r>
              <w:t>equitable distribution of incomes</w:t>
            </w:r>
            <w:r w:rsidR="00380BCB">
              <w:t>.</w:t>
            </w:r>
            <w:r>
              <w:t xml:space="preserve"> </w:t>
            </w:r>
            <w:r w:rsidR="005F491F">
              <w:t xml:space="preserve">But </w:t>
            </w:r>
            <w:r>
              <w:t xml:space="preserve">over time the weaknesses of this model </w:t>
            </w:r>
            <w:r w:rsidR="00725673">
              <w:t>became evident</w:t>
            </w:r>
            <w:r w:rsidR="002630D5">
              <w:t xml:space="preserve"> and started to undermine its very purposes</w:t>
            </w:r>
            <w:r>
              <w:t xml:space="preserve">. </w:t>
            </w:r>
          </w:p>
          <w:p w14:paraId="4D7F69DF" w14:textId="2B006362" w:rsidR="00492690" w:rsidRDefault="00267E81" w:rsidP="00C82F6A">
            <w:pPr>
              <w:pStyle w:val="KeyPointsListBullet"/>
              <w:spacing w:after="0"/>
            </w:pPr>
            <w:r>
              <w:t>A</w:t>
            </w:r>
            <w:r w:rsidR="00E2671A">
              <w:t xml:space="preserve"> series of </w:t>
            </w:r>
            <w:r w:rsidR="0049657C">
              <w:t xml:space="preserve">macro and </w:t>
            </w:r>
            <w:r w:rsidR="00E2671A">
              <w:t>microeconomic reforms</w:t>
            </w:r>
            <w:r>
              <w:t xml:space="preserve"> dismantled Fortress Australia, </w:t>
            </w:r>
            <w:r w:rsidR="00E2671A">
              <w:t xml:space="preserve">gradually </w:t>
            </w:r>
            <w:r w:rsidR="00804D10">
              <w:t xml:space="preserve">exposed </w:t>
            </w:r>
            <w:r w:rsidR="00E2671A">
              <w:t xml:space="preserve">the economy to competition and allowed resources to be allocated more efficiently. </w:t>
            </w:r>
          </w:p>
        </w:tc>
      </w:tr>
      <w:tr w:rsidR="00492690" w14:paraId="37F31C21" w14:textId="77777777" w:rsidTr="0C9D299B">
        <w:tc>
          <w:tcPr>
            <w:tcW w:w="5000" w:type="pct"/>
            <w:tcBorders>
              <w:top w:val="nil"/>
              <w:left w:val="nil"/>
              <w:bottom w:val="single" w:sz="6" w:space="0" w:color="78A22F" w:themeColor="accent1"/>
              <w:right w:val="nil"/>
            </w:tcBorders>
            <w:shd w:val="clear" w:color="auto" w:fill="F2F2F2" w:themeFill="background1" w:themeFillShade="F2"/>
          </w:tcPr>
          <w:p w14:paraId="1D03DAF1" w14:textId="77777777" w:rsidR="00492690" w:rsidRDefault="00492690">
            <w:pPr>
              <w:pStyle w:val="Box"/>
              <w:spacing w:before="0" w:line="120" w:lineRule="exact"/>
            </w:pPr>
          </w:p>
        </w:tc>
      </w:tr>
      <w:tr w:rsidR="00492690" w:rsidRPr="000863A5" w14:paraId="603BA9BE" w14:textId="77777777" w:rsidTr="0C9D299B">
        <w:tc>
          <w:tcPr>
            <w:tcW w:w="5000" w:type="pct"/>
            <w:tcBorders>
              <w:top w:val="single" w:sz="6" w:space="0" w:color="78A22F" w:themeColor="accent1"/>
              <w:left w:val="nil"/>
              <w:bottom w:val="nil"/>
              <w:right w:val="nil"/>
            </w:tcBorders>
          </w:tcPr>
          <w:p w14:paraId="048AE9E5" w14:textId="5D8B2E3C" w:rsidR="00492690" w:rsidRPr="00626D32" w:rsidRDefault="00492690" w:rsidP="0034244A">
            <w:pPr>
              <w:pStyle w:val="BoxSpaceBelow"/>
            </w:pPr>
          </w:p>
        </w:tc>
      </w:tr>
    </w:tbl>
    <w:p w14:paraId="6BEBB6A9" w14:textId="04A34BD9" w:rsidR="00201D2B" w:rsidRPr="005C1F59" w:rsidRDefault="00782BF3" w:rsidP="006563BD">
      <w:pPr>
        <w:pStyle w:val="Heading2"/>
        <w:rPr>
          <w:rFonts w:cs="Arial"/>
          <w:spacing w:val="-6"/>
        </w:rPr>
      </w:pPr>
      <w:bookmarkStart w:id="9" w:name="_Toc56080371"/>
      <w:r w:rsidRPr="005C1F59">
        <w:rPr>
          <w:rFonts w:cs="Arial"/>
          <w:noProof/>
        </w:rPr>
        <w:lastRenderedPageBreak/>
        <w:t>1</w:t>
      </w:r>
      <w:r w:rsidR="00256048" w:rsidRPr="005C1F59">
        <w:rPr>
          <w:rFonts w:cs="Arial"/>
        </w:rPr>
        <w:tab/>
      </w:r>
      <w:r w:rsidR="003D7FC9" w:rsidRPr="005C1F59">
        <w:rPr>
          <w:rFonts w:cs="Arial"/>
          <w:spacing w:val="-6"/>
        </w:rPr>
        <w:t>COVID-19 has ended Australia’s recession-free streak</w:t>
      </w:r>
      <w:bookmarkEnd w:id="9"/>
    </w:p>
    <w:p w14:paraId="4CCB6D07" w14:textId="20A0203B" w:rsidR="1E10B3AC" w:rsidRDefault="1E10B3AC" w:rsidP="39E4A95C">
      <w:pPr>
        <w:pStyle w:val="BodyText"/>
      </w:pPr>
      <w:r>
        <w:t>The COVID</w:t>
      </w:r>
      <w:r w:rsidR="00FA6B80">
        <w:t>-</w:t>
      </w:r>
      <w:r>
        <w:t>19 pandemic has ended Australia’s 28</w:t>
      </w:r>
      <w:r w:rsidR="00A403C3">
        <w:noBreakHyphen/>
      </w:r>
      <w:r>
        <w:t xml:space="preserve">year </w:t>
      </w:r>
      <w:r w:rsidR="00C53E12">
        <w:t>recession free streak</w:t>
      </w:r>
      <w:r>
        <w:t xml:space="preserve">. We have already experienced the most disruptive shock to employment </w:t>
      </w:r>
      <w:r w:rsidR="00585233">
        <w:t>s</w:t>
      </w:r>
      <w:r w:rsidR="0001594F">
        <w:t xml:space="preserve">ince the ABS has </w:t>
      </w:r>
      <w:r w:rsidR="00920D9B">
        <w:t>kept</w:t>
      </w:r>
      <w:r w:rsidR="0001594F">
        <w:t xml:space="preserve"> </w:t>
      </w:r>
      <w:r w:rsidR="00585233">
        <w:t>record</w:t>
      </w:r>
      <w:r w:rsidR="0001594F">
        <w:t>s</w:t>
      </w:r>
      <w:r w:rsidR="00585233">
        <w:t xml:space="preserve">, </w:t>
      </w:r>
      <w:r w:rsidR="05FF7711">
        <w:t xml:space="preserve">with </w:t>
      </w:r>
      <w:r w:rsidR="00CB6C4D">
        <w:t>nearly 1</w:t>
      </w:r>
      <w:r>
        <w:t xml:space="preserve"> million Australians l</w:t>
      </w:r>
      <w:r w:rsidR="64316358">
        <w:t xml:space="preserve">osing </w:t>
      </w:r>
      <w:r>
        <w:t>their job</w:t>
      </w:r>
      <w:r w:rsidR="3A015971">
        <w:t>s</w:t>
      </w:r>
      <w:r>
        <w:t xml:space="preserve"> </w:t>
      </w:r>
      <w:r w:rsidR="000C48C0">
        <w:t xml:space="preserve">in March as </w:t>
      </w:r>
      <w:r>
        <w:t>nationwide lockdowns were enforced</w:t>
      </w:r>
      <w:r w:rsidR="388A8231">
        <w:t xml:space="preserve"> </w:t>
      </w:r>
      <w:r w:rsidR="00066191" w:rsidRPr="00066191">
        <w:rPr>
          <w:szCs w:val="24"/>
        </w:rPr>
        <w:t>(ABS 2020c)</w:t>
      </w:r>
      <w:r w:rsidR="1579819D">
        <w:t>.</w:t>
      </w:r>
      <w:r>
        <w:t xml:space="preserve"> </w:t>
      </w:r>
      <w:r w:rsidR="00D64E60" w:rsidRPr="000558EE">
        <w:t>Household consumption fell 12.1</w:t>
      </w:r>
      <w:r w:rsidR="0049480B">
        <w:t> per cent</w:t>
      </w:r>
      <w:r w:rsidR="00D64E60" w:rsidRPr="000558EE">
        <w:t xml:space="preserve"> </w:t>
      </w:r>
      <w:r w:rsidR="005B17B7" w:rsidRPr="000558EE">
        <w:t>in the June quarter</w:t>
      </w:r>
      <w:r w:rsidR="00D00AB5" w:rsidRPr="000558EE">
        <w:t xml:space="preserve"> a</w:t>
      </w:r>
      <w:r w:rsidR="009243A4">
        <w:t>nd</w:t>
      </w:r>
      <w:r w:rsidR="00D00AB5" w:rsidRPr="000558EE">
        <w:t xml:space="preserve"> GDP fell </w:t>
      </w:r>
      <w:r w:rsidR="0049480B">
        <w:t xml:space="preserve">7.0 per cent (the largest fall since the ABS </w:t>
      </w:r>
      <w:r w:rsidR="00A45AA5">
        <w:t>began</w:t>
      </w:r>
      <w:r w:rsidR="0049480B">
        <w:t xml:space="preserve"> keeping records</w:t>
      </w:r>
      <w:r w:rsidR="0042718C">
        <w:t xml:space="preserve"> </w:t>
      </w:r>
      <w:r w:rsidR="00FC3C8A">
        <w:t xml:space="preserve">in </w:t>
      </w:r>
      <w:r w:rsidR="00FA62C8">
        <w:t>1975</w:t>
      </w:r>
      <w:r w:rsidR="00FB6E09">
        <w:t>, figure 1</w:t>
      </w:r>
      <w:r w:rsidR="0049480B">
        <w:t>)</w:t>
      </w:r>
      <w:r w:rsidR="00E25A4B">
        <w:t xml:space="preserve"> </w:t>
      </w:r>
      <w:r w:rsidR="00066191" w:rsidRPr="00066191">
        <w:rPr>
          <w:szCs w:val="24"/>
        </w:rPr>
        <w:t>(ABS 2020b)</w:t>
      </w:r>
      <w:r w:rsidR="000558EE" w:rsidRPr="000558EE">
        <w:t xml:space="preserve">. </w:t>
      </w:r>
    </w:p>
    <w:p w14:paraId="3322744B" w14:textId="3F79A7B6" w:rsidR="00AD6167" w:rsidRDefault="00AD6167" w:rsidP="00AD616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6167" w14:paraId="7705EA80" w14:textId="77777777" w:rsidTr="29E7BBAE">
        <w:trPr>
          <w:tblHeader/>
        </w:trPr>
        <w:tc>
          <w:tcPr>
            <w:tcW w:w="5000" w:type="pct"/>
            <w:tcBorders>
              <w:top w:val="single" w:sz="6" w:space="0" w:color="78A22F" w:themeColor="accent1"/>
              <w:left w:val="nil"/>
              <w:bottom w:val="nil"/>
              <w:right w:val="nil"/>
            </w:tcBorders>
            <w:shd w:val="clear" w:color="auto" w:fill="auto"/>
          </w:tcPr>
          <w:p w14:paraId="4BD4376A" w14:textId="4859D44A" w:rsidR="00AD6167" w:rsidRDefault="00AD6167" w:rsidP="00AD6167">
            <w:pPr>
              <w:pStyle w:val="FigureTitle"/>
            </w:pPr>
            <w:r w:rsidRPr="0021235D">
              <w:rPr>
                <w:b w:val="0"/>
                <w:sz w:val="24"/>
                <w:szCs w:val="24"/>
              </w:rPr>
              <w:t xml:space="preserve">Figure </w:t>
            </w:r>
            <w:r w:rsidR="0094184E" w:rsidRPr="0021235D">
              <w:rPr>
                <w:b w:val="0"/>
                <w:noProof/>
                <w:sz w:val="24"/>
                <w:szCs w:val="24"/>
              </w:rPr>
              <w:t>1</w:t>
            </w:r>
            <w:r w:rsidRPr="0021235D">
              <w:rPr>
                <w:sz w:val="24"/>
                <w:szCs w:val="24"/>
              </w:rPr>
              <w:tab/>
            </w:r>
            <w:r w:rsidR="00335E60" w:rsidRPr="0021235D">
              <w:rPr>
                <w:sz w:val="24"/>
                <w:szCs w:val="24"/>
              </w:rPr>
              <w:t>COVID</w:t>
            </w:r>
            <w:r w:rsidR="00804D10" w:rsidRPr="0021235D">
              <w:rPr>
                <w:sz w:val="24"/>
                <w:szCs w:val="24"/>
              </w:rPr>
              <w:t>-19</w:t>
            </w:r>
            <w:r w:rsidR="00335E60" w:rsidRPr="0021235D">
              <w:rPr>
                <w:sz w:val="24"/>
                <w:szCs w:val="24"/>
              </w:rPr>
              <w:t xml:space="preserve"> caused the</w:t>
            </w:r>
            <w:r w:rsidRPr="0021235D">
              <w:rPr>
                <w:sz w:val="24"/>
                <w:szCs w:val="24"/>
              </w:rPr>
              <w:t xml:space="preserve"> largest</w:t>
            </w:r>
            <w:r w:rsidR="00335E60" w:rsidRPr="0021235D">
              <w:rPr>
                <w:sz w:val="24"/>
                <w:szCs w:val="24"/>
              </w:rPr>
              <w:t xml:space="preserve"> quarterly</w:t>
            </w:r>
            <w:r w:rsidRPr="0021235D">
              <w:rPr>
                <w:sz w:val="24"/>
                <w:szCs w:val="24"/>
              </w:rPr>
              <w:t xml:space="preserve"> fall in GDP </w:t>
            </w:r>
            <w:r w:rsidR="00335E60" w:rsidRPr="0021235D">
              <w:rPr>
                <w:sz w:val="24"/>
                <w:szCs w:val="24"/>
              </w:rPr>
              <w:t>on record</w:t>
            </w:r>
          </w:p>
          <w:p w14:paraId="275EB301" w14:textId="77777777" w:rsidR="00AD6167" w:rsidRPr="00176D3F" w:rsidRDefault="00A826BE" w:rsidP="00335E60">
            <w:pPr>
              <w:pStyle w:val="Subtitle"/>
            </w:pPr>
            <w:r>
              <w:t>Quarterly growth</w:t>
            </w:r>
            <w:r w:rsidR="00335E60">
              <w:t xml:space="preserve"> in</w:t>
            </w:r>
            <w:r>
              <w:t xml:space="preserve"> </w:t>
            </w:r>
            <w:r w:rsidR="00335E60">
              <w:t>GDP</w:t>
            </w:r>
            <w:r w:rsidR="006B2A33" w:rsidRPr="00FC79E6">
              <w:rPr>
                <w:rStyle w:val="NoteLabel"/>
              </w:rPr>
              <w:t>a</w:t>
            </w:r>
            <w:r w:rsidR="006B2A33">
              <w:rPr>
                <w:rStyle w:val="NoteLabel"/>
              </w:rPr>
              <w:t xml:space="preserve"> </w:t>
            </w:r>
            <w:r w:rsidRPr="00FC79E6">
              <w:t>between</w:t>
            </w:r>
            <w:r>
              <w:t xml:space="preserve"> </w:t>
            </w:r>
            <w:r w:rsidR="00241E78">
              <w:t>December </w:t>
            </w:r>
            <w:r>
              <w:t xml:space="preserve">1959 </w:t>
            </w:r>
            <w:r w:rsidR="00F06374">
              <w:t>and</w:t>
            </w:r>
            <w:r>
              <w:t xml:space="preserve"> June 2020</w:t>
            </w:r>
            <w:r>
              <w:rPr>
                <w:rStyle w:val="NoteLabel"/>
              </w:rPr>
              <w:t xml:space="preserve"> </w:t>
            </w:r>
          </w:p>
        </w:tc>
      </w:tr>
      <w:tr w:rsidR="00AD6167" w14:paraId="1D4A4FB8"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D6167" w:rsidRPr="00B1465D" w14:paraId="25552CA8" w14:textId="77777777" w:rsidTr="29E7BBAE">
              <w:trPr>
                <w:tblHeader/>
                <w:jc w:val="center"/>
              </w:trPr>
              <w:tc>
                <w:tcPr>
                  <w:tcW w:w="5000" w:type="pct"/>
                  <w:tcBorders>
                    <w:top w:val="nil"/>
                    <w:bottom w:val="nil"/>
                  </w:tcBorders>
                </w:tcPr>
                <w:p w14:paraId="39023918" w14:textId="1F02AA43" w:rsidR="00AD6167" w:rsidRPr="00B1465D" w:rsidRDefault="0090111C" w:rsidP="00102D24">
                  <w:pPr>
                    <w:pStyle w:val="Figure"/>
                    <w:spacing w:before="100" w:beforeAutospacing="1" w:after="60"/>
                    <w:rPr>
                      <w:rFonts w:ascii="Arial" w:hAnsi="Arial" w:cs="Arial"/>
                      <w:sz w:val="18"/>
                      <w:szCs w:val="18"/>
                    </w:rPr>
                  </w:pPr>
                  <w:r w:rsidRPr="0090111C">
                    <w:rPr>
                      <w:rFonts w:ascii="Arial" w:hAnsi="Arial" w:cs="Arial"/>
                      <w:noProof/>
                      <w:sz w:val="18"/>
                      <w:szCs w:val="18"/>
                    </w:rPr>
                    <w:drawing>
                      <wp:inline distT="0" distB="0" distL="0" distR="0" wp14:anchorId="6AAD297C" wp14:editId="4786F21A">
                        <wp:extent cx="5414645" cy="3180715"/>
                        <wp:effectExtent l="0" t="0" r="0" b="635"/>
                        <wp:docPr id="6" name="Picture 6" descr="This chart displays Australian GDP growth (chain volume measures) per quarter over the period 1959-2020. The COVID-19 pandemic is associated with a GDP growth rate of approximately -7 per cent in the June 2020 quarter. This fall is approximately 3 times larger than the second largest fall in GDP growth over the same period of approximately -2 per cent during the 1974 oil cri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4645" cy="3180715"/>
                                </a:xfrm>
                                <a:prstGeom prst="rect">
                                  <a:avLst/>
                                </a:prstGeom>
                                <a:noFill/>
                                <a:ln>
                                  <a:noFill/>
                                </a:ln>
                              </pic:spPr>
                            </pic:pic>
                          </a:graphicData>
                        </a:graphic>
                      </wp:inline>
                    </w:drawing>
                  </w:r>
                </w:p>
              </w:tc>
            </w:tr>
          </w:tbl>
          <w:p w14:paraId="4F9EE1D4" w14:textId="77777777" w:rsidR="00AD6167" w:rsidRDefault="00AD6167" w:rsidP="00AD6167">
            <w:pPr>
              <w:pStyle w:val="Figure"/>
            </w:pPr>
          </w:p>
        </w:tc>
      </w:tr>
      <w:tr w:rsidR="00AD6167" w:rsidRPr="00176D3F" w14:paraId="41DD5889" w14:textId="77777777" w:rsidTr="29E7BBAE">
        <w:tc>
          <w:tcPr>
            <w:tcW w:w="5000" w:type="pct"/>
            <w:tcBorders>
              <w:top w:val="nil"/>
              <w:left w:val="nil"/>
              <w:bottom w:val="nil"/>
              <w:right w:val="nil"/>
            </w:tcBorders>
            <w:shd w:val="clear" w:color="auto" w:fill="auto"/>
          </w:tcPr>
          <w:p w14:paraId="46E1072E" w14:textId="77777777" w:rsidR="00AD6167" w:rsidRPr="00176D3F" w:rsidRDefault="00AD6167" w:rsidP="00AD6167">
            <w:pPr>
              <w:pStyle w:val="Note"/>
            </w:pPr>
            <w:r>
              <w:rPr>
                <w:rStyle w:val="NoteLabel"/>
              </w:rPr>
              <w:t>a</w:t>
            </w:r>
            <w:r w:rsidR="00335E60">
              <w:t xml:space="preserve"> Gross Domestic Product, c</w:t>
            </w:r>
            <w:r>
              <w:t xml:space="preserve">hain volume measures. </w:t>
            </w:r>
          </w:p>
        </w:tc>
      </w:tr>
      <w:tr w:rsidR="00AD6167" w:rsidRPr="00176D3F" w14:paraId="34161FB7" w14:textId="77777777" w:rsidTr="29E7BBAE">
        <w:tc>
          <w:tcPr>
            <w:tcW w:w="5000" w:type="pct"/>
            <w:tcBorders>
              <w:top w:val="nil"/>
              <w:left w:val="nil"/>
              <w:bottom w:val="nil"/>
              <w:right w:val="nil"/>
            </w:tcBorders>
            <w:shd w:val="clear" w:color="auto" w:fill="auto"/>
          </w:tcPr>
          <w:p w14:paraId="639A5E07" w14:textId="77777777" w:rsidR="00AD6167" w:rsidRPr="00176D3F" w:rsidRDefault="00AD6167" w:rsidP="00E1276E">
            <w:pPr>
              <w:pStyle w:val="Source"/>
              <w:spacing w:after="0"/>
            </w:pPr>
            <w:r>
              <w:rPr>
                <w:i/>
              </w:rPr>
              <w:t>S</w:t>
            </w:r>
            <w:r w:rsidRPr="00784A05">
              <w:rPr>
                <w:i/>
              </w:rPr>
              <w:t>ource</w:t>
            </w:r>
            <w:r w:rsidRPr="00176D3F">
              <w:t xml:space="preserve">: </w:t>
            </w:r>
            <w:r w:rsidRPr="00FC79E6">
              <w:rPr>
                <w:rStyle w:val="SourceChar"/>
              </w:rPr>
              <w:t>ABS (</w:t>
            </w:r>
            <w:r w:rsidRPr="00A37636">
              <w:rPr>
                <w:rStyle w:val="SourceChar"/>
                <w:i/>
                <w:iCs/>
              </w:rPr>
              <w:t>Australian National Accounts: National Income, Expenditure and Product, June 2020</w:t>
            </w:r>
            <w:r w:rsidRPr="00804D10">
              <w:rPr>
                <w:rStyle w:val="SourceChar"/>
              </w:rPr>
              <w:t xml:space="preserve">, </w:t>
            </w:r>
            <w:r w:rsidRPr="00FC79E6">
              <w:rPr>
                <w:rStyle w:val="SourceChar"/>
              </w:rPr>
              <w:t>Cat. no. 5206.0, table 1).</w:t>
            </w:r>
          </w:p>
        </w:tc>
      </w:tr>
      <w:tr w:rsidR="00AD6167" w14:paraId="4C5D579C" w14:textId="77777777" w:rsidTr="29E7BBAE">
        <w:tc>
          <w:tcPr>
            <w:tcW w:w="5000" w:type="pct"/>
            <w:tcBorders>
              <w:top w:val="nil"/>
              <w:left w:val="nil"/>
              <w:bottom w:val="single" w:sz="6" w:space="0" w:color="78A22F" w:themeColor="accent1"/>
              <w:right w:val="nil"/>
            </w:tcBorders>
            <w:shd w:val="clear" w:color="auto" w:fill="auto"/>
          </w:tcPr>
          <w:p w14:paraId="4FCB7BE8" w14:textId="77777777" w:rsidR="00AD6167" w:rsidRDefault="00AD6167" w:rsidP="00AD6167">
            <w:pPr>
              <w:pStyle w:val="Figurespace"/>
            </w:pPr>
          </w:p>
        </w:tc>
      </w:tr>
      <w:tr w:rsidR="00AD6167" w:rsidRPr="000863A5" w14:paraId="20A8E5E9" w14:textId="77777777" w:rsidTr="29E7BBAE">
        <w:tc>
          <w:tcPr>
            <w:tcW w:w="5000" w:type="pct"/>
            <w:tcBorders>
              <w:top w:val="single" w:sz="6" w:space="0" w:color="78A22F" w:themeColor="accent1"/>
              <w:left w:val="nil"/>
              <w:bottom w:val="nil"/>
              <w:right w:val="nil"/>
            </w:tcBorders>
          </w:tcPr>
          <w:p w14:paraId="33F6DDD4" w14:textId="3923CAE2" w:rsidR="00AD6167" w:rsidRPr="00626D32" w:rsidRDefault="00AD6167" w:rsidP="00AD6167">
            <w:pPr>
              <w:pStyle w:val="BoxSpaceBelow"/>
            </w:pPr>
          </w:p>
        </w:tc>
      </w:tr>
    </w:tbl>
    <w:p w14:paraId="0A88D199" w14:textId="75EF051E" w:rsidR="0085040D" w:rsidRPr="0085040D" w:rsidRDefault="00FB6E09" w:rsidP="00FB6E09">
      <w:pPr>
        <w:pStyle w:val="BodyText"/>
      </w:pPr>
      <w:r>
        <w:t xml:space="preserve">Recessions often mean that fiscal, monetary and other arms of policy are rapidly adapted to address the immediate challenge. This can make a contribution to long term living standards, because the severity of recession and the speed of recovery can make a difference to the longer term trajectory of growth, particularly </w:t>
      </w:r>
      <w:r w:rsidR="009124C5">
        <w:t>given the</w:t>
      </w:r>
      <w:r>
        <w:t xml:space="preserve"> scarring </w:t>
      </w:r>
      <w:r w:rsidR="009124C5">
        <w:t>effects of major downturns</w:t>
      </w:r>
      <w:r>
        <w:t xml:space="preserve"> (such as workers losing skills and connection with the labour market). </w:t>
      </w:r>
      <w:r w:rsidR="00C83F38">
        <w:t>However, l</w:t>
      </w:r>
      <w:r>
        <w:t>ong</w:t>
      </w:r>
      <w:r w:rsidR="00C36542">
        <w:noBreakHyphen/>
      </w:r>
      <w:r>
        <w:t>term living standards are also affected by underlying structural policies and institutions whose effects can play out over a longer period. Past recessions have often caused a rethink of those broader policy settings.</w:t>
      </w:r>
      <w:r w:rsidR="0085040D">
        <w:t xml:space="preserve"> </w:t>
      </w:r>
    </w:p>
    <w:p w14:paraId="3DDD85AB" w14:textId="33185CA2" w:rsidR="004A75D3" w:rsidRPr="004A75D3" w:rsidRDefault="00782BF3" w:rsidP="006563BD">
      <w:pPr>
        <w:pStyle w:val="Heading2"/>
      </w:pPr>
      <w:bookmarkStart w:id="10" w:name="_Toc56080372"/>
      <w:r>
        <w:rPr>
          <w:noProof/>
        </w:rPr>
        <w:lastRenderedPageBreak/>
        <w:t>2</w:t>
      </w:r>
      <w:r w:rsidR="004A75D3">
        <w:tab/>
      </w:r>
      <w:r w:rsidR="002650A5">
        <w:t>Learning from past recessions</w:t>
      </w:r>
      <w:bookmarkEnd w:id="10"/>
    </w:p>
    <w:p w14:paraId="765DB59A" w14:textId="3F8EF44F" w:rsidR="005D4E54" w:rsidRDefault="005D4E54" w:rsidP="005D4E54">
      <w:pPr>
        <w:pStyle w:val="BodyText"/>
      </w:pPr>
      <w:r>
        <w:t xml:space="preserve">In just under 250 years of European settlement, Australia has </w:t>
      </w:r>
      <w:r w:rsidR="00414027">
        <w:t>experienced</w:t>
      </w:r>
      <w:r>
        <w:t xml:space="preserve"> many recessions</w:t>
      </w:r>
      <w:r w:rsidR="00C7199A">
        <w:t>.</w:t>
      </w:r>
      <w:r w:rsidR="004F2ED9" w:rsidRPr="0008559C">
        <w:rPr>
          <w:rStyle w:val="FootnoteReference"/>
        </w:rPr>
        <w:footnoteReference w:id="2"/>
      </w:r>
      <w:r w:rsidR="004A6DAE">
        <w:t xml:space="preserve"> In each case the economy has recovered, although </w:t>
      </w:r>
      <w:r>
        <w:t>often with long</w:t>
      </w:r>
      <w:r>
        <w:noBreakHyphen/>
        <w:t xml:space="preserve">lived, harmful effects </w:t>
      </w:r>
      <w:r w:rsidR="00153413">
        <w:t xml:space="preserve">on </w:t>
      </w:r>
      <w:r w:rsidR="001E71EB">
        <w:t>households</w:t>
      </w:r>
      <w:r w:rsidR="00153413">
        <w:t xml:space="preserve"> </w:t>
      </w:r>
      <w:r>
        <w:t>due to high unemployment (figure </w:t>
      </w:r>
      <w:r w:rsidR="00AD6167">
        <w:t>2</w:t>
      </w:r>
      <w:r>
        <w:t>). For example, during both the 1890s depression and the Great Depression, Australia’s unemployment rate reached a peak of about 20 per cent (figure </w:t>
      </w:r>
      <w:r w:rsidR="006126EC">
        <w:t>2</w:t>
      </w:r>
      <w:r>
        <w:t>).</w:t>
      </w:r>
      <w:r w:rsidRPr="0008559C">
        <w:rPr>
          <w:rStyle w:val="FootnoteReference"/>
        </w:rPr>
        <w:footnoteReference w:id="3"/>
      </w:r>
      <w:r>
        <w:t xml:space="preserve"> </w:t>
      </w:r>
    </w:p>
    <w:p w14:paraId="040CD5E7" w14:textId="3F95B914" w:rsidR="00163C5F" w:rsidRDefault="005D4E54" w:rsidP="000862B6">
      <w:pPr>
        <w:pStyle w:val="BodyText"/>
      </w:pPr>
      <w:r>
        <w:t xml:space="preserve">Australia has experienced only three </w:t>
      </w:r>
      <w:r w:rsidR="00575068">
        <w:t xml:space="preserve">recessions </w:t>
      </w:r>
      <w:r>
        <w:t xml:space="preserve">severe enough to be commonly referred to as ‘depressions’: 1840 to 1842, 1890 to 1896, and 1930 to 1933 </w:t>
      </w:r>
      <w:r w:rsidR="00C304C7" w:rsidRPr="00C304C7">
        <w:rPr>
          <w:szCs w:val="24"/>
        </w:rPr>
        <w:t>(Madsen 2015, p. 34)</w:t>
      </w:r>
      <w:r>
        <w:t xml:space="preserve">. Most Australian recessions have tended to be more ‘demand’ driven rather than ‘supply’ driven </w:t>
      </w:r>
      <w:r w:rsidR="008D318C">
        <w:t>(apart from</w:t>
      </w:r>
      <w:r>
        <w:t xml:space="preserve"> the oil crisis and subsequent ‘stagflation’ of the 1970s</w:t>
      </w:r>
      <w:r w:rsidR="008D318C">
        <w:t>)</w:t>
      </w:r>
      <w:r>
        <w:t xml:space="preserve">. </w:t>
      </w:r>
      <w:r w:rsidR="00C2146E">
        <w:t xml:space="preserve">That is, they were characterised by the combination of low inflation in addition to low output growth </w:t>
      </w:r>
      <w:r w:rsidR="00B502F1" w:rsidRPr="00B502F1">
        <w:rPr>
          <w:szCs w:val="24"/>
        </w:rPr>
        <w:t>(Fisher, Otto and Voss 1996)</w:t>
      </w:r>
      <w:r w:rsidR="00665B95">
        <w:t>.</w:t>
      </w:r>
      <w:r>
        <w:t xml:space="preserve">  </w:t>
      </w:r>
    </w:p>
    <w:p w14:paraId="7B76A341" w14:textId="71900CAF" w:rsidR="00D27280" w:rsidRDefault="005E2B10" w:rsidP="005D4E54">
      <w:pPr>
        <w:pStyle w:val="BodyText"/>
      </w:pPr>
      <w:r>
        <w:t>Australia’s only</w:t>
      </w:r>
      <w:r w:rsidR="00325ACD">
        <w:t xml:space="preserve"> previous</w:t>
      </w:r>
      <w:r>
        <w:t xml:space="preserve"> pandemic driven economic downturn, which followed the arrival of the Spanish Flu, </w:t>
      </w:r>
      <w:r w:rsidR="0085040D">
        <w:t>appeared to be both sharp and short. Disentangling the economic effects of the war and the pandemic is difficult. Nonetheless,</w:t>
      </w:r>
      <w:r w:rsidR="0085040D" w:rsidDel="00A85759">
        <w:t xml:space="preserve"> </w:t>
      </w:r>
      <w:r w:rsidR="00FC79E6">
        <w:t xml:space="preserve">Bishop </w:t>
      </w:r>
      <w:r w:rsidR="00FC79E6" w:rsidRPr="00FC79E6">
        <w:t>(2020)</w:t>
      </w:r>
      <w:r w:rsidR="0085040D">
        <w:t xml:space="preserve"> argues that the majority of the 3 per cent rise in ‘unemployment’ (</w:t>
      </w:r>
      <w:r w:rsidR="00793166">
        <w:t>which,</w:t>
      </w:r>
      <w:r w:rsidR="0085040D">
        <w:t xml:space="preserve"> at the time</w:t>
      </w:r>
      <w:r w:rsidR="00793166">
        <w:t>,</w:t>
      </w:r>
      <w:r w:rsidR="0085040D">
        <w:t xml:space="preserve"> included both those seeking work and those </w:t>
      </w:r>
      <w:r w:rsidR="00EF75A6">
        <w:t xml:space="preserve">incapacitated from work </w:t>
      </w:r>
      <w:r w:rsidR="0085040D">
        <w:t xml:space="preserve">due to illness) during the pandemic can be attributed to the effects of the Spanish Flu. This consisted mainly of people who were unable to work due to illness (2 per cent), with the remainder unable to find work due to weak demand (1 per cent). </w:t>
      </w:r>
      <w:r w:rsidR="003761B6">
        <w:t xml:space="preserve">While the </w:t>
      </w:r>
      <w:r w:rsidR="00D27280">
        <w:t xml:space="preserve">economic recovery from the Spanish Flu appears V-shaped at face value, </w:t>
      </w:r>
      <w:r w:rsidR="00A85759">
        <w:t>Bishop</w:t>
      </w:r>
      <w:r w:rsidR="00D27280">
        <w:t xml:space="preserve"> note</w:t>
      </w:r>
      <w:r w:rsidR="005B2CBF">
        <w:t>s</w:t>
      </w:r>
      <w:r w:rsidR="00D27280">
        <w:t>:</w:t>
      </w:r>
    </w:p>
    <w:p w14:paraId="1161F87E" w14:textId="1A051C87" w:rsidR="00344381" w:rsidRDefault="00D27280" w:rsidP="00FC79E6">
      <w:pPr>
        <w:pStyle w:val="Quote"/>
      </w:pPr>
      <w:r>
        <w:t xml:space="preserve">Overall, the effects of the Spanish </w:t>
      </w:r>
      <w:r w:rsidR="00AE04A6">
        <w:t xml:space="preserve">Flu </w:t>
      </w:r>
      <w:r>
        <w:t>on Australian GDP are very hard (if not impossible) to pin down due to the inability to control for other factors</w:t>
      </w:r>
      <w:r w:rsidR="00272753">
        <w:t xml:space="preserve"> [such as the war]</w:t>
      </w:r>
      <w:r>
        <w:t xml:space="preserve"> that influenced economic growth</w:t>
      </w:r>
      <w:r w:rsidR="001A4D92">
        <w:t>.</w:t>
      </w:r>
      <w:r w:rsidR="00895305">
        <w:t xml:space="preserve"> </w:t>
      </w:r>
      <w:r w:rsidR="00FC79E6" w:rsidRPr="00FC79E6">
        <w:rPr>
          <w:szCs w:val="24"/>
        </w:rPr>
        <w:t>(Bishop 2020, p. 14)</w:t>
      </w:r>
    </w:p>
    <w:p w14:paraId="25E5569E" w14:textId="674A5E58" w:rsidR="00163C5F" w:rsidRDefault="00163C5F" w:rsidP="00163C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63C5F" w14:paraId="1402B8B1" w14:textId="77777777" w:rsidTr="29E7BBAE">
        <w:trPr>
          <w:tblHeader/>
        </w:trPr>
        <w:tc>
          <w:tcPr>
            <w:tcW w:w="5000" w:type="pct"/>
            <w:tcBorders>
              <w:top w:val="single" w:sz="6" w:space="0" w:color="78A22F" w:themeColor="accent1"/>
              <w:left w:val="nil"/>
              <w:bottom w:val="nil"/>
              <w:right w:val="nil"/>
            </w:tcBorders>
            <w:shd w:val="clear" w:color="auto" w:fill="auto"/>
          </w:tcPr>
          <w:p w14:paraId="6A38A5C4" w14:textId="77777777" w:rsidR="00163C5F" w:rsidRPr="0021235D" w:rsidRDefault="00736E22" w:rsidP="00736E22">
            <w:pPr>
              <w:pStyle w:val="FigureTitle"/>
              <w:rPr>
                <w:rFonts w:ascii="Arial Bold" w:hAnsi="Arial Bold"/>
                <w:spacing w:val="-4"/>
                <w:sz w:val="24"/>
                <w:szCs w:val="24"/>
              </w:rPr>
            </w:pPr>
            <w:r w:rsidRPr="0021235D">
              <w:rPr>
                <w:b w:val="0"/>
                <w:sz w:val="24"/>
                <w:szCs w:val="24"/>
              </w:rPr>
              <w:t xml:space="preserve">Figure </w:t>
            </w:r>
            <w:r w:rsidR="00AD6167" w:rsidRPr="0021235D">
              <w:rPr>
                <w:b w:val="0"/>
                <w:sz w:val="24"/>
                <w:szCs w:val="24"/>
              </w:rPr>
              <w:t>2</w:t>
            </w:r>
            <w:r w:rsidR="00163C5F" w:rsidRPr="0021235D">
              <w:rPr>
                <w:sz w:val="24"/>
                <w:szCs w:val="24"/>
              </w:rPr>
              <w:tab/>
            </w:r>
            <w:r w:rsidR="00163C5F" w:rsidRPr="0021235D">
              <w:rPr>
                <w:rFonts w:ascii="Arial Bold" w:hAnsi="Arial Bold"/>
                <w:spacing w:val="-4"/>
                <w:sz w:val="24"/>
                <w:szCs w:val="24"/>
              </w:rPr>
              <w:t>Despite weathering many recessions</w:t>
            </w:r>
            <w:r w:rsidR="00163C5F" w:rsidRPr="0090111C">
              <w:rPr>
                <w:rStyle w:val="NoteLabel"/>
                <w:rFonts w:ascii="Arial Bold" w:hAnsi="Arial Bold"/>
                <w:b/>
                <w:spacing w:val="-4"/>
                <w:position w:val="10"/>
                <w:szCs w:val="18"/>
              </w:rPr>
              <w:t>a</w:t>
            </w:r>
            <w:r w:rsidR="00163C5F" w:rsidRPr="0021235D">
              <w:rPr>
                <w:rFonts w:ascii="Arial Bold" w:hAnsi="Arial Bold"/>
                <w:spacing w:val="-4"/>
                <w:sz w:val="24"/>
                <w:szCs w:val="24"/>
              </w:rPr>
              <w:t>,</w:t>
            </w:r>
            <w:r w:rsidR="00163C5F" w:rsidRPr="0021235D">
              <w:rPr>
                <w:rStyle w:val="NoteLabel"/>
                <w:rFonts w:ascii="Arial Bold" w:hAnsi="Arial Bold"/>
                <w:b/>
                <w:spacing w:val="-4"/>
                <w:sz w:val="24"/>
                <w:szCs w:val="24"/>
              </w:rPr>
              <w:t xml:space="preserve"> </w:t>
            </w:r>
            <w:r w:rsidR="00163C5F" w:rsidRPr="0021235D">
              <w:rPr>
                <w:rFonts w:ascii="Arial Bold" w:hAnsi="Arial Bold"/>
                <w:spacing w:val="-4"/>
                <w:sz w:val="24"/>
                <w:szCs w:val="24"/>
              </w:rPr>
              <w:t>the Australian economy has always recovered</w:t>
            </w:r>
          </w:p>
          <w:p w14:paraId="1A3C3D27" w14:textId="3D56CB04" w:rsidR="00163C5F" w:rsidRPr="00176D3F" w:rsidRDefault="00163C5F" w:rsidP="00736E22">
            <w:pPr>
              <w:pStyle w:val="Subtitle"/>
            </w:pPr>
            <w:r>
              <w:t>Australian real GDP</w:t>
            </w:r>
            <w:r w:rsidR="00484B17">
              <w:t xml:space="preserve"> per capita</w:t>
            </w:r>
            <w:r>
              <w:t xml:space="preserve"> and unemployment from 1861 to 2010 with recessions marked</w:t>
            </w:r>
          </w:p>
        </w:tc>
      </w:tr>
      <w:tr w:rsidR="00163C5F" w14:paraId="52459A54" w14:textId="77777777" w:rsidTr="29E7BBAE">
        <w:trPr>
          <w:hidden w:val="0"/>
        </w:trPr>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163C5F" w:rsidRPr="00B1465D" w14:paraId="4E478985" w14:textId="77777777" w:rsidTr="29E7BBAE">
              <w:trPr>
                <w:tblHeader/>
                <w:jc w:val="center"/>
                <w:hidden w:val="0"/>
              </w:trPr>
              <w:tc>
                <w:tcPr>
                  <w:tcW w:w="8505" w:type="dxa"/>
                  <w:tcBorders>
                    <w:top w:val="nil"/>
                    <w:bottom w:val="nil"/>
                  </w:tcBorders>
                </w:tcPr>
                <w:p w14:paraId="477428A1" w14:textId="54C72097" w:rsidR="00163C5F" w:rsidRPr="00B1465D" w:rsidRDefault="006758DD" w:rsidP="006758DD">
                  <w:pPr>
                    <w:pStyle w:val="Figure"/>
                    <w:spacing w:before="60" w:after="0"/>
                    <w:rPr>
                      <w:rFonts w:ascii="Arial" w:hAnsi="Arial" w:cs="Arial"/>
                      <w:sz w:val="18"/>
                      <w:szCs w:val="18"/>
                    </w:rPr>
                  </w:pPr>
                  <w:r w:rsidRPr="006758DD">
                    <w:rPr>
                      <w:rStyle w:val="CommentReference"/>
                      <w:rFonts w:ascii="Arial" w:hAnsi="Arial" w:cs="Arial"/>
                      <w:b w:val="0"/>
                      <w:noProof/>
                      <w:vanish w:val="0"/>
                      <w:color w:val="auto"/>
                      <w:sz w:val="18"/>
                      <w:szCs w:val="18"/>
                    </w:rPr>
                    <w:drawing>
                      <wp:inline distT="0" distB="0" distL="0" distR="0" wp14:anchorId="2E60BCBE" wp14:editId="4766FB65">
                        <wp:extent cx="5430520" cy="3307715"/>
                        <wp:effectExtent l="0" t="0" r="0" b="6985"/>
                        <wp:docPr id="10" name="Picture 10" descr="This chart displays Real GDP per capita in Australian dollars over the period 1861-2010 with periods of recessions highlighted. Recessions are often associated with small periods of stagnant or negative GDP per capita growth, but these periods are temporary. Over the long-term Australia has always recovered and GDP per capita continues to r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0520" cy="3307715"/>
                                </a:xfrm>
                                <a:prstGeom prst="rect">
                                  <a:avLst/>
                                </a:prstGeom>
                                <a:noFill/>
                                <a:ln>
                                  <a:noFill/>
                                </a:ln>
                              </pic:spPr>
                            </pic:pic>
                          </a:graphicData>
                        </a:graphic>
                      </wp:inline>
                    </w:drawing>
                  </w:r>
                  <w:r w:rsidR="00590446" w:rsidRPr="00590446">
                    <w:rPr>
                      <w:rStyle w:val="CommentReference"/>
                      <w:rFonts w:ascii="Arial" w:hAnsi="Arial" w:cs="Arial"/>
                      <w:b w:val="0"/>
                      <w:vanish w:val="0"/>
                      <w:color w:val="auto"/>
                      <w:sz w:val="18"/>
                      <w:szCs w:val="18"/>
                    </w:rPr>
                    <w:t xml:space="preserve"> </w:t>
                  </w:r>
                </w:p>
              </w:tc>
            </w:tr>
          </w:tbl>
          <w:p w14:paraId="297395C6" w14:textId="77777777" w:rsidR="00163C5F" w:rsidRDefault="00163C5F" w:rsidP="00736E22">
            <w:pPr>
              <w:pStyle w:val="Figure"/>
            </w:pPr>
          </w:p>
        </w:tc>
      </w:tr>
      <w:tr w:rsidR="00163C5F" w14:paraId="1EF644B4" w14:textId="77777777" w:rsidTr="29E7BBAE">
        <w:tblPrEx>
          <w:tblCellMar>
            <w:left w:w="108" w:type="dxa"/>
            <w:right w:w="108" w:type="dxa"/>
          </w:tblCellMar>
        </w:tblPrEx>
        <w:tc>
          <w:tcPr>
            <w:tcW w:w="5000" w:type="pct"/>
            <w:tcBorders>
              <w:top w:val="nil"/>
              <w:left w:val="nil"/>
              <w:bottom w:val="nil"/>
              <w:right w:val="nil"/>
            </w:tcBorders>
            <w:shd w:val="clear" w:color="auto" w:fill="auto"/>
          </w:tcPr>
          <w:p w14:paraId="533E7AB5" w14:textId="54061819" w:rsidR="00163C5F" w:rsidRPr="003B683D" w:rsidRDefault="006758DD" w:rsidP="006758DD">
            <w:pPr>
              <w:pStyle w:val="Figure"/>
              <w:spacing w:before="0" w:after="60"/>
              <w:rPr>
                <w:rFonts w:ascii="Arial" w:hAnsi="Arial" w:cs="Arial"/>
                <w:noProof/>
                <w:sz w:val="18"/>
                <w:szCs w:val="18"/>
              </w:rPr>
            </w:pPr>
            <w:r w:rsidRPr="006758DD">
              <w:rPr>
                <w:rFonts w:ascii="Arial" w:hAnsi="Arial" w:cs="Arial"/>
                <w:noProof/>
                <w:sz w:val="18"/>
                <w:szCs w:val="18"/>
              </w:rPr>
              <w:drawing>
                <wp:inline distT="0" distB="0" distL="0" distR="0" wp14:anchorId="2C0936E4" wp14:editId="5F59928C">
                  <wp:extent cx="5430520" cy="3315970"/>
                  <wp:effectExtent l="0" t="0" r="0" b="0"/>
                  <wp:docPr id="13" name="Picture 13" descr="This chart displays the unemployment rate (per cent) over the period 1861-2010 with periods of recessions highlighted. Recessions are associated with temporarily high unemployment rates. For example, the unemployment rate rose to approximately 20 per cent during The Great Depression. The unemployment rate typically recovers following a recession, but this recovery takes longer than GDP per capi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30520" cy="3315970"/>
                          </a:xfrm>
                          <a:prstGeom prst="rect">
                            <a:avLst/>
                          </a:prstGeom>
                          <a:noFill/>
                          <a:ln>
                            <a:noFill/>
                          </a:ln>
                        </pic:spPr>
                      </pic:pic>
                    </a:graphicData>
                  </a:graphic>
                </wp:inline>
              </w:drawing>
            </w:r>
          </w:p>
        </w:tc>
      </w:tr>
      <w:tr w:rsidR="00163C5F" w:rsidRPr="00176D3F" w14:paraId="381F1147" w14:textId="77777777" w:rsidTr="29E7BBAE">
        <w:tc>
          <w:tcPr>
            <w:tcW w:w="5000" w:type="pct"/>
            <w:tcBorders>
              <w:top w:val="nil"/>
              <w:left w:val="nil"/>
              <w:bottom w:val="nil"/>
              <w:right w:val="nil"/>
            </w:tcBorders>
            <w:shd w:val="clear" w:color="auto" w:fill="auto"/>
          </w:tcPr>
          <w:p w14:paraId="68B663C9" w14:textId="507391EA" w:rsidR="00163C5F" w:rsidRPr="00176D3F" w:rsidRDefault="00163C5F" w:rsidP="00530E19">
            <w:pPr>
              <w:pStyle w:val="Note"/>
              <w:spacing w:before="0"/>
            </w:pPr>
            <w:r>
              <w:rPr>
                <w:rStyle w:val="NoteLabel"/>
              </w:rPr>
              <w:t>a</w:t>
            </w:r>
            <w:r>
              <w:t xml:space="preserve"> Due to the absence of</w:t>
            </w:r>
            <w:r w:rsidR="00681743">
              <w:t xml:space="preserve"> official</w:t>
            </w:r>
            <w:r>
              <w:t xml:space="preserve"> quarterly data, this chart defines</w:t>
            </w:r>
            <w:r w:rsidR="00CE207C">
              <w:t xml:space="preserve"> a</w:t>
            </w:r>
            <w:r>
              <w:t xml:space="preserve"> recession as a year of negative growth in real GDP rather than the technical definition of a recession — two consecutive quarters of negative growth. </w:t>
            </w:r>
          </w:p>
        </w:tc>
      </w:tr>
      <w:tr w:rsidR="00163C5F" w:rsidRPr="00176D3F" w14:paraId="1D04C7D9" w14:textId="77777777" w:rsidTr="29E7BBAE">
        <w:tc>
          <w:tcPr>
            <w:tcW w:w="5000" w:type="pct"/>
            <w:tcBorders>
              <w:top w:val="nil"/>
              <w:left w:val="nil"/>
              <w:bottom w:val="nil"/>
              <w:right w:val="nil"/>
            </w:tcBorders>
            <w:shd w:val="clear" w:color="auto" w:fill="auto"/>
          </w:tcPr>
          <w:p w14:paraId="1AE6A2EB" w14:textId="4C753BFC" w:rsidR="00163C5F" w:rsidRPr="00176D3F" w:rsidRDefault="00163C5F" w:rsidP="0021235D">
            <w:pPr>
              <w:pStyle w:val="Source"/>
              <w:spacing w:after="0"/>
            </w:pPr>
            <w:r>
              <w:rPr>
                <w:i/>
              </w:rPr>
              <w:t>S</w:t>
            </w:r>
            <w:r w:rsidRPr="00784A05">
              <w:rPr>
                <w:i/>
              </w:rPr>
              <w:t>ource</w:t>
            </w:r>
            <w:r w:rsidRPr="00176D3F">
              <w:t>:</w:t>
            </w:r>
            <w:r>
              <w:t xml:space="preserve"> Butlin, Dixon and Lloyd</w:t>
            </w:r>
            <w:r w:rsidRPr="00176D3F">
              <w:t xml:space="preserve"> </w:t>
            </w:r>
            <w:r w:rsidRPr="00AE0F20">
              <w:rPr>
                <w:rFonts w:cs="Arial"/>
              </w:rPr>
              <w:t>(2015)</w:t>
            </w:r>
            <w:r>
              <w:t>.</w:t>
            </w:r>
          </w:p>
        </w:tc>
      </w:tr>
      <w:tr w:rsidR="00163C5F" w14:paraId="79CEDBE0" w14:textId="77777777" w:rsidTr="29E7BBAE">
        <w:tc>
          <w:tcPr>
            <w:tcW w:w="5000" w:type="pct"/>
            <w:tcBorders>
              <w:top w:val="nil"/>
              <w:left w:val="nil"/>
              <w:bottom w:val="single" w:sz="6" w:space="0" w:color="78A22F" w:themeColor="accent1"/>
              <w:right w:val="nil"/>
            </w:tcBorders>
            <w:shd w:val="clear" w:color="auto" w:fill="auto"/>
          </w:tcPr>
          <w:p w14:paraId="5B738554" w14:textId="77777777" w:rsidR="00163C5F" w:rsidRDefault="00163C5F" w:rsidP="00736E22">
            <w:pPr>
              <w:pStyle w:val="Figurespace"/>
            </w:pPr>
          </w:p>
        </w:tc>
      </w:tr>
      <w:tr w:rsidR="00163C5F" w:rsidRPr="000863A5" w14:paraId="252DF99F" w14:textId="77777777" w:rsidTr="29E7BBAE">
        <w:tc>
          <w:tcPr>
            <w:tcW w:w="5000" w:type="pct"/>
            <w:tcBorders>
              <w:top w:val="single" w:sz="6" w:space="0" w:color="78A22F" w:themeColor="accent1"/>
              <w:left w:val="nil"/>
              <w:bottom w:val="nil"/>
              <w:right w:val="nil"/>
            </w:tcBorders>
          </w:tcPr>
          <w:p w14:paraId="0FD623F4" w14:textId="77B4BC58" w:rsidR="00163C5F" w:rsidRPr="00626D32" w:rsidRDefault="00163C5F" w:rsidP="00736E22">
            <w:pPr>
              <w:pStyle w:val="BoxSpaceBelow"/>
            </w:pPr>
          </w:p>
        </w:tc>
      </w:tr>
    </w:tbl>
    <w:p w14:paraId="6FCE0227" w14:textId="2AA78954" w:rsidR="00D106B8" w:rsidRDefault="00A37636" w:rsidP="00D106B8">
      <w:pPr>
        <w:pStyle w:val="Heading3"/>
      </w:pPr>
      <w:r>
        <w:lastRenderedPageBreak/>
        <w:t>Employment recovery tends to lag</w:t>
      </w:r>
    </w:p>
    <w:p w14:paraId="47920CC4" w14:textId="4900A2AE" w:rsidR="002618F3" w:rsidRDefault="00C44FEE" w:rsidP="00BE6295">
      <w:pPr>
        <w:pStyle w:val="BodyText"/>
        <w:rPr>
          <w:spacing w:val="-2"/>
        </w:rPr>
      </w:pPr>
      <w:r w:rsidRPr="002618F3">
        <w:rPr>
          <w:spacing w:val="-2"/>
        </w:rPr>
        <w:t xml:space="preserve">Australia’s </w:t>
      </w:r>
      <w:r w:rsidR="00027529" w:rsidRPr="002618F3">
        <w:rPr>
          <w:spacing w:val="-2"/>
        </w:rPr>
        <w:t>most recent</w:t>
      </w:r>
      <w:r w:rsidRPr="002618F3">
        <w:rPr>
          <w:spacing w:val="-2"/>
        </w:rPr>
        <w:t xml:space="preserve"> recession</w:t>
      </w:r>
      <w:r w:rsidR="00654C4F" w:rsidRPr="002618F3">
        <w:rPr>
          <w:spacing w:val="-2"/>
        </w:rPr>
        <w:t xml:space="preserve"> (1990-91)</w:t>
      </w:r>
      <w:r w:rsidR="002D5CBD" w:rsidRPr="002618F3">
        <w:rPr>
          <w:spacing w:val="-2"/>
        </w:rPr>
        <w:t xml:space="preserve">, the worst since the </w:t>
      </w:r>
      <w:r w:rsidR="00E43B8A" w:rsidRPr="002618F3">
        <w:rPr>
          <w:spacing w:val="-2"/>
        </w:rPr>
        <w:t>G</w:t>
      </w:r>
      <w:r w:rsidR="002D5CBD" w:rsidRPr="002618F3">
        <w:rPr>
          <w:spacing w:val="-2"/>
        </w:rPr>
        <w:t xml:space="preserve">reat </w:t>
      </w:r>
      <w:r w:rsidR="00E43B8A" w:rsidRPr="002618F3">
        <w:rPr>
          <w:spacing w:val="-2"/>
        </w:rPr>
        <w:t>D</w:t>
      </w:r>
      <w:r w:rsidR="002D5CBD" w:rsidRPr="002618F3">
        <w:rPr>
          <w:spacing w:val="-2"/>
        </w:rPr>
        <w:t>epression</w:t>
      </w:r>
      <w:r w:rsidR="00F650D9" w:rsidRPr="002618F3">
        <w:rPr>
          <w:spacing w:val="-2"/>
        </w:rPr>
        <w:t>,</w:t>
      </w:r>
      <w:r w:rsidR="002D5CBD" w:rsidRPr="002618F3">
        <w:rPr>
          <w:spacing w:val="-2"/>
        </w:rPr>
        <w:t xml:space="preserve"> </w:t>
      </w:r>
      <w:r w:rsidR="002D11D4" w:rsidRPr="002618F3">
        <w:rPr>
          <w:spacing w:val="-2"/>
        </w:rPr>
        <w:t xml:space="preserve">is a good example of </w:t>
      </w:r>
      <w:r w:rsidR="00F650D9" w:rsidRPr="002618F3">
        <w:rPr>
          <w:spacing w:val="-2"/>
        </w:rPr>
        <w:t xml:space="preserve">the characteristics of </w:t>
      </w:r>
      <w:r w:rsidR="00DC70AF" w:rsidRPr="002618F3">
        <w:rPr>
          <w:spacing w:val="-2"/>
        </w:rPr>
        <w:t>previous</w:t>
      </w:r>
      <w:r w:rsidR="00F650D9" w:rsidRPr="002618F3">
        <w:rPr>
          <w:spacing w:val="-2"/>
        </w:rPr>
        <w:t xml:space="preserve"> </w:t>
      </w:r>
      <w:r w:rsidR="00F57494" w:rsidRPr="002618F3">
        <w:rPr>
          <w:spacing w:val="-2"/>
        </w:rPr>
        <w:t>downturns</w:t>
      </w:r>
      <w:r w:rsidR="00F650D9" w:rsidRPr="002618F3">
        <w:rPr>
          <w:spacing w:val="-2"/>
        </w:rPr>
        <w:t xml:space="preserve">. </w:t>
      </w:r>
      <w:r w:rsidR="00275FF3" w:rsidRPr="002618F3">
        <w:rPr>
          <w:spacing w:val="-2"/>
        </w:rPr>
        <w:t>Specifically</w:t>
      </w:r>
      <w:r w:rsidR="00F650D9" w:rsidRPr="002618F3">
        <w:rPr>
          <w:spacing w:val="-2"/>
        </w:rPr>
        <w:t xml:space="preserve">, </w:t>
      </w:r>
      <w:r w:rsidR="00BB7AA2" w:rsidRPr="002618F3">
        <w:rPr>
          <w:spacing w:val="-2"/>
        </w:rPr>
        <w:t>growth and productivity recovered</w:t>
      </w:r>
      <w:r w:rsidR="00225194" w:rsidRPr="002618F3">
        <w:rPr>
          <w:spacing w:val="-2"/>
        </w:rPr>
        <w:t xml:space="preserve"> relatively quickly</w:t>
      </w:r>
      <w:r w:rsidR="00BB7AA2" w:rsidRPr="002618F3">
        <w:rPr>
          <w:spacing w:val="-2"/>
        </w:rPr>
        <w:t xml:space="preserve"> </w:t>
      </w:r>
      <w:r w:rsidR="00FE5E1B" w:rsidRPr="002618F3">
        <w:rPr>
          <w:spacing w:val="-2"/>
        </w:rPr>
        <w:t xml:space="preserve">but labour market impacts </w:t>
      </w:r>
      <w:r w:rsidR="006F4361" w:rsidRPr="002618F3">
        <w:rPr>
          <w:spacing w:val="-2"/>
        </w:rPr>
        <w:t>persisted,</w:t>
      </w:r>
      <w:r w:rsidR="00941679" w:rsidRPr="002618F3">
        <w:rPr>
          <w:spacing w:val="-2"/>
        </w:rPr>
        <w:t xml:space="preserve"> and </w:t>
      </w:r>
      <w:r w:rsidR="007B2125" w:rsidRPr="002618F3">
        <w:rPr>
          <w:spacing w:val="-2"/>
        </w:rPr>
        <w:t>some</w:t>
      </w:r>
      <w:r w:rsidR="00B21C89" w:rsidRPr="002618F3">
        <w:rPr>
          <w:spacing w:val="-2"/>
        </w:rPr>
        <w:t xml:space="preserve"> indicators</w:t>
      </w:r>
      <w:r w:rsidR="00357994" w:rsidRPr="002618F3">
        <w:rPr>
          <w:spacing w:val="-2"/>
        </w:rPr>
        <w:t xml:space="preserve"> </w:t>
      </w:r>
      <w:r w:rsidR="007B2125" w:rsidRPr="002618F3">
        <w:rPr>
          <w:spacing w:val="-2"/>
        </w:rPr>
        <w:t xml:space="preserve">never </w:t>
      </w:r>
      <w:r w:rsidR="00E3156C" w:rsidRPr="002618F3">
        <w:rPr>
          <w:spacing w:val="-2"/>
        </w:rPr>
        <w:t xml:space="preserve">fully </w:t>
      </w:r>
      <w:r w:rsidR="007B2125" w:rsidRPr="002618F3">
        <w:rPr>
          <w:spacing w:val="-2"/>
        </w:rPr>
        <w:t>recovered</w:t>
      </w:r>
      <w:r w:rsidR="00B54B56" w:rsidRPr="002618F3">
        <w:rPr>
          <w:spacing w:val="-2"/>
        </w:rPr>
        <w:t xml:space="preserve"> (figures 3 and 4)</w:t>
      </w:r>
      <w:r w:rsidR="007B2125" w:rsidRPr="002618F3">
        <w:rPr>
          <w:spacing w:val="-2"/>
        </w:rPr>
        <w:t xml:space="preserve">. </w:t>
      </w:r>
      <w:r w:rsidR="007A1D7C" w:rsidRPr="002618F3">
        <w:rPr>
          <w:spacing w:val="-2"/>
        </w:rPr>
        <w:t>Indeed, productivity grew so fast in the period following this recession that economists sometimes talk of Australia’s ‘productivity revival’</w:t>
      </w:r>
      <w:r w:rsidR="00364C94" w:rsidRPr="002618F3">
        <w:rPr>
          <w:spacing w:val="-2"/>
        </w:rPr>
        <w:t xml:space="preserve"> </w:t>
      </w:r>
      <w:r w:rsidR="007A1D7C" w:rsidRPr="002618F3">
        <w:rPr>
          <w:spacing w:val="-2"/>
        </w:rPr>
        <w:t>of the 1990s</w:t>
      </w:r>
      <w:r w:rsidR="00CD5273" w:rsidRPr="002618F3">
        <w:rPr>
          <w:spacing w:val="-2"/>
        </w:rPr>
        <w:t xml:space="preserve"> </w:t>
      </w:r>
      <w:r w:rsidR="00CD5273" w:rsidRPr="002618F3">
        <w:rPr>
          <w:spacing w:val="-2"/>
          <w:szCs w:val="24"/>
        </w:rPr>
        <w:t>(Parham 2004)</w:t>
      </w:r>
      <w:r w:rsidR="007A1D7C" w:rsidRPr="002618F3">
        <w:rPr>
          <w:spacing w:val="-2"/>
        </w:rPr>
        <w:t xml:space="preserve">. However, </w:t>
      </w:r>
      <w:r w:rsidR="00357994" w:rsidRPr="002618F3">
        <w:rPr>
          <w:spacing w:val="-2"/>
        </w:rPr>
        <w:t>employment</w:t>
      </w:r>
      <w:r w:rsidR="007A1D7C" w:rsidRPr="002618F3">
        <w:rPr>
          <w:spacing w:val="-2"/>
        </w:rPr>
        <w:t xml:space="preserve"> recovered </w:t>
      </w:r>
      <w:r w:rsidR="00357994" w:rsidRPr="002618F3">
        <w:rPr>
          <w:spacing w:val="-2"/>
        </w:rPr>
        <w:t>slowly</w:t>
      </w:r>
      <w:r w:rsidR="007A1D7C" w:rsidRPr="002618F3">
        <w:rPr>
          <w:spacing w:val="-2"/>
        </w:rPr>
        <w:t xml:space="preserve"> during this period, </w:t>
      </w:r>
      <w:r w:rsidR="002911B4" w:rsidRPr="002618F3">
        <w:rPr>
          <w:spacing w:val="-2"/>
        </w:rPr>
        <w:t xml:space="preserve">with the unemployment rate </w:t>
      </w:r>
      <w:r w:rsidR="007A1D7C" w:rsidRPr="002618F3">
        <w:rPr>
          <w:spacing w:val="-2"/>
        </w:rPr>
        <w:t>only falling below pre</w:t>
      </w:r>
      <w:r w:rsidR="007A1D7C" w:rsidRPr="002618F3">
        <w:rPr>
          <w:spacing w:val="-2"/>
        </w:rPr>
        <w:noBreakHyphen/>
        <w:t>recession levels in 2003</w:t>
      </w:r>
      <w:r w:rsidR="007A1D7C" w:rsidRPr="002618F3">
        <w:rPr>
          <w:spacing w:val="-2"/>
        </w:rPr>
        <w:noBreakHyphen/>
        <w:t>04</w:t>
      </w:r>
      <w:r w:rsidR="00111420" w:rsidRPr="002618F3">
        <w:rPr>
          <w:spacing w:val="-2"/>
        </w:rPr>
        <w:t>,</w:t>
      </w:r>
      <w:r w:rsidR="007A1D7C" w:rsidRPr="002618F3">
        <w:rPr>
          <w:spacing w:val="-2"/>
        </w:rPr>
        <w:t xml:space="preserve"> 13 years after the end of the recession</w:t>
      </w:r>
      <w:r w:rsidR="002911B4" w:rsidRPr="002618F3">
        <w:rPr>
          <w:spacing w:val="-2"/>
        </w:rPr>
        <w:t xml:space="preserve">. </w:t>
      </w:r>
      <w:r w:rsidR="00E24634" w:rsidRPr="002618F3">
        <w:rPr>
          <w:spacing w:val="-2"/>
        </w:rPr>
        <w:t>A higher rate</w:t>
      </w:r>
      <w:r w:rsidR="002911B4" w:rsidRPr="002618F3">
        <w:rPr>
          <w:spacing w:val="-2"/>
        </w:rPr>
        <w:t xml:space="preserve"> of underemployment </w:t>
      </w:r>
      <w:r w:rsidR="0080240A" w:rsidRPr="002618F3">
        <w:rPr>
          <w:spacing w:val="-2"/>
        </w:rPr>
        <w:t>has</w:t>
      </w:r>
      <w:r w:rsidR="007D5008" w:rsidRPr="002618F3">
        <w:rPr>
          <w:spacing w:val="-2"/>
        </w:rPr>
        <w:t xml:space="preserve"> persisted,</w:t>
      </w:r>
      <w:r w:rsidR="0080240A" w:rsidRPr="002618F3">
        <w:rPr>
          <w:spacing w:val="-2"/>
        </w:rPr>
        <w:t xml:space="preserve"> although it is doubtful that this reflects the lingering impact of the recession. G</w:t>
      </w:r>
      <w:r w:rsidR="007A1D7C" w:rsidRPr="002618F3">
        <w:rPr>
          <w:spacing w:val="-2"/>
        </w:rPr>
        <w:t xml:space="preserve">iven that most of the effect was concentrated </w:t>
      </w:r>
      <w:r w:rsidR="00B95958" w:rsidRPr="002618F3">
        <w:rPr>
          <w:spacing w:val="-2"/>
        </w:rPr>
        <w:t>among</w:t>
      </w:r>
      <w:r w:rsidR="007A1D7C" w:rsidRPr="002618F3">
        <w:rPr>
          <w:spacing w:val="-2"/>
        </w:rPr>
        <w:t xml:space="preserve"> 15–24 year </w:t>
      </w:r>
      <w:r w:rsidR="00770D3F" w:rsidRPr="002618F3">
        <w:rPr>
          <w:spacing w:val="-2"/>
        </w:rPr>
        <w:t>old</w:t>
      </w:r>
      <w:r w:rsidR="006C509E" w:rsidRPr="002618F3">
        <w:rPr>
          <w:spacing w:val="-2"/>
        </w:rPr>
        <w:t>s</w:t>
      </w:r>
      <w:r w:rsidR="007A1D7C" w:rsidRPr="002618F3">
        <w:rPr>
          <w:spacing w:val="-2"/>
        </w:rPr>
        <w:t xml:space="preserve">, it </w:t>
      </w:r>
      <w:r w:rsidR="00E71A94" w:rsidRPr="002618F3">
        <w:rPr>
          <w:spacing w:val="-2"/>
        </w:rPr>
        <w:t xml:space="preserve">is </w:t>
      </w:r>
      <w:r w:rsidR="007A1D7C" w:rsidRPr="002618F3">
        <w:rPr>
          <w:spacing w:val="-2"/>
        </w:rPr>
        <w:t xml:space="preserve">likely that </w:t>
      </w:r>
      <w:r w:rsidR="00C31880" w:rsidRPr="002618F3">
        <w:rPr>
          <w:spacing w:val="-2"/>
        </w:rPr>
        <w:t>persistent underemployment</w:t>
      </w:r>
      <w:r w:rsidR="007A1D7C" w:rsidRPr="002618F3">
        <w:rPr>
          <w:spacing w:val="-2"/>
        </w:rPr>
        <w:t xml:space="preserve"> also reflect</w:t>
      </w:r>
      <w:r w:rsidR="00BE4A19" w:rsidRPr="002618F3">
        <w:rPr>
          <w:spacing w:val="-2"/>
        </w:rPr>
        <w:t>ed</w:t>
      </w:r>
      <w:r w:rsidR="007A1D7C" w:rsidRPr="002618F3">
        <w:rPr>
          <w:spacing w:val="-2"/>
        </w:rPr>
        <w:t xml:space="preserve"> structural changes in the economy</w:t>
      </w:r>
      <w:r w:rsidR="003703CA" w:rsidRPr="002618F3">
        <w:rPr>
          <w:spacing w:val="-2"/>
        </w:rPr>
        <w:t xml:space="preserve"> </w:t>
      </w:r>
      <w:r w:rsidR="003703CA" w:rsidRPr="002618F3">
        <w:rPr>
          <w:spacing w:val="-2"/>
          <w:szCs w:val="24"/>
        </w:rPr>
        <w:t>(Vandenbroek 2018)</w:t>
      </w:r>
      <w:r w:rsidR="007A1D7C" w:rsidRPr="002618F3">
        <w:rPr>
          <w:spacing w:val="-2"/>
        </w:rPr>
        <w:t xml:space="preserve">. For example, </w:t>
      </w:r>
      <w:r w:rsidR="009A6266" w:rsidRPr="002618F3">
        <w:rPr>
          <w:spacing w:val="-2"/>
        </w:rPr>
        <w:t>the increase in the</w:t>
      </w:r>
      <w:r w:rsidR="007A1D7C" w:rsidRPr="002618F3">
        <w:rPr>
          <w:spacing w:val="-2"/>
        </w:rPr>
        <w:t xml:space="preserve"> proportion of </w:t>
      </w:r>
      <w:r w:rsidR="009D4F25" w:rsidRPr="002618F3">
        <w:rPr>
          <w:spacing w:val="-2"/>
        </w:rPr>
        <w:t xml:space="preserve">individuals participating in </w:t>
      </w:r>
      <w:r w:rsidR="007A1D7C" w:rsidRPr="002618F3">
        <w:rPr>
          <w:spacing w:val="-2"/>
        </w:rPr>
        <w:t>part</w:t>
      </w:r>
      <w:r w:rsidR="007A1D7C" w:rsidRPr="002618F3">
        <w:rPr>
          <w:spacing w:val="-2"/>
        </w:rPr>
        <w:noBreakHyphen/>
        <w:t xml:space="preserve">time work </w:t>
      </w:r>
      <w:r w:rsidR="002911B4" w:rsidRPr="002618F3">
        <w:rPr>
          <w:spacing w:val="-2"/>
        </w:rPr>
        <w:t xml:space="preserve">is likely to have made </w:t>
      </w:r>
      <w:r w:rsidR="007A1D7C" w:rsidRPr="002618F3">
        <w:rPr>
          <w:spacing w:val="-2"/>
        </w:rPr>
        <w:t xml:space="preserve">underemployment </w:t>
      </w:r>
      <w:r w:rsidR="002911B4" w:rsidRPr="002618F3">
        <w:rPr>
          <w:spacing w:val="-2"/>
        </w:rPr>
        <w:t xml:space="preserve">more </w:t>
      </w:r>
      <w:r w:rsidR="00CA6258" w:rsidRPr="002618F3">
        <w:rPr>
          <w:spacing w:val="-2"/>
        </w:rPr>
        <w:t>prevalent</w:t>
      </w:r>
      <w:r w:rsidR="002911B4" w:rsidRPr="002618F3">
        <w:rPr>
          <w:spacing w:val="-2"/>
        </w:rPr>
        <w:t xml:space="preserve"> than when</w:t>
      </w:r>
      <w:r w:rsidR="007A1D7C" w:rsidRPr="002618F3">
        <w:rPr>
          <w:spacing w:val="-2"/>
        </w:rPr>
        <w:t xml:space="preserve"> full</w:t>
      </w:r>
      <w:r w:rsidR="007A1D7C" w:rsidRPr="002618F3">
        <w:rPr>
          <w:spacing w:val="-2"/>
        </w:rPr>
        <w:noBreakHyphen/>
        <w:t>time work was the norm</w:t>
      </w:r>
      <w:r w:rsidR="00B03676" w:rsidRPr="002618F3">
        <w:rPr>
          <w:spacing w:val="-2"/>
        </w:rPr>
        <w:t>.</w:t>
      </w:r>
      <w:r w:rsidR="00832FD4" w:rsidRPr="002618F3">
        <w:rPr>
          <w:rStyle w:val="FootnoteReference"/>
          <w:spacing w:val="-2"/>
        </w:rPr>
        <w:footnoteReference w:id="4"/>
      </w:r>
    </w:p>
    <w:p w14:paraId="236EFE1C" w14:textId="38A6A55E" w:rsidR="00AE5FEF" w:rsidRDefault="00AE5FEF" w:rsidP="00CE01F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5FEF" w14:paraId="30EC9DF5" w14:textId="77777777" w:rsidTr="00CE01F3">
        <w:trPr>
          <w:tblHeader/>
        </w:trPr>
        <w:tc>
          <w:tcPr>
            <w:tcW w:w="5000" w:type="pct"/>
            <w:tcBorders>
              <w:top w:val="single" w:sz="6" w:space="0" w:color="78A22F"/>
              <w:left w:val="nil"/>
              <w:bottom w:val="nil"/>
              <w:right w:val="nil"/>
            </w:tcBorders>
            <w:shd w:val="clear" w:color="auto" w:fill="auto"/>
          </w:tcPr>
          <w:p w14:paraId="291EEDE0" w14:textId="09BEEDD3" w:rsidR="00AE5FEF" w:rsidRPr="00F70442" w:rsidRDefault="00AE5FEF" w:rsidP="00AE5FEF">
            <w:pPr>
              <w:pStyle w:val="FigureTitle"/>
              <w:rPr>
                <w:rFonts w:ascii="Arial Bold" w:hAnsi="Arial Bold"/>
                <w:spacing w:val="-8"/>
                <w:sz w:val="24"/>
                <w:szCs w:val="24"/>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00B069E4">
              <w:rPr>
                <w:b w:val="0"/>
              </w:rPr>
              <w:t>3</w:t>
            </w:r>
            <w:r>
              <w:tab/>
            </w:r>
            <w:r w:rsidRPr="00F70442">
              <w:rPr>
                <w:rFonts w:ascii="Arial Bold" w:hAnsi="Arial Bold"/>
                <w:spacing w:val="-8"/>
                <w:sz w:val="24"/>
                <w:szCs w:val="24"/>
              </w:rPr>
              <w:t>The 1990s recession had a mild effect on GDP and productivity …</w:t>
            </w:r>
          </w:p>
          <w:p w14:paraId="37FAF097" w14:textId="1BD9184E" w:rsidR="00AE5FEF" w:rsidRPr="00C6160E" w:rsidRDefault="00AE5FEF" w:rsidP="00CE01F3">
            <w:pPr>
              <w:pStyle w:val="Subtitle"/>
              <w:rPr>
                <w:spacing w:val="-4"/>
              </w:rPr>
            </w:pPr>
            <w:r w:rsidRPr="00C6160E">
              <w:rPr>
                <w:spacing w:val="-4"/>
              </w:rPr>
              <w:t>Real GDP per capita (left) and labour productivity (right) from 1988-89 to 2003</w:t>
            </w:r>
            <w:r w:rsidRPr="00C6160E">
              <w:rPr>
                <w:spacing w:val="-4"/>
              </w:rPr>
              <w:noBreakHyphen/>
              <w:t>04</w:t>
            </w:r>
          </w:p>
        </w:tc>
      </w:tr>
      <w:tr w:rsidR="00AE5FEF" w14:paraId="42AA4ECA" w14:textId="77777777" w:rsidTr="00CE01F3">
        <w:tc>
          <w:tcPr>
            <w:tcW w:w="5000" w:type="pct"/>
            <w:tcBorders>
              <w:top w:val="nil"/>
              <w:left w:val="nil"/>
              <w:bottom w:val="nil"/>
              <w:right w:val="nil"/>
            </w:tcBorders>
            <w:shd w:val="clear" w:color="auto" w:fill="auto"/>
            <w:tcMar>
              <w:top w:w="28" w:type="dxa"/>
              <w:bottom w:w="28" w:type="dxa"/>
            </w:tcMar>
          </w:tcPr>
          <w:p w14:paraId="08305E9C" w14:textId="38D2A380" w:rsidR="00AE5FEF" w:rsidRDefault="00C6160E" w:rsidP="00CE01F3">
            <w:pPr>
              <w:pStyle w:val="Figure"/>
            </w:pPr>
            <w:r w:rsidRPr="00C6160E">
              <w:rPr>
                <w:noProof/>
              </w:rPr>
              <w:drawing>
                <wp:inline distT="0" distB="0" distL="0" distR="0" wp14:anchorId="0C748F66" wp14:editId="027A0A12">
                  <wp:extent cx="2687320" cy="2759075"/>
                  <wp:effectExtent l="0" t="0" r="0" b="3175"/>
                  <wp:docPr id="21" name="Picture 21" descr="This chart displays GDP per capita in AUD 2017-18 prices over the period 1988-2004. GDP per capita stagnated during the 1990s recession before recovering and continuing a trend of long run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7320" cy="2759075"/>
                          </a:xfrm>
                          <a:prstGeom prst="rect">
                            <a:avLst/>
                          </a:prstGeom>
                          <a:noFill/>
                          <a:ln>
                            <a:noFill/>
                          </a:ln>
                        </pic:spPr>
                      </pic:pic>
                    </a:graphicData>
                  </a:graphic>
                </wp:inline>
              </w:drawing>
            </w:r>
            <w:r w:rsidRPr="00C6160E">
              <w:rPr>
                <w:noProof/>
              </w:rPr>
              <w:drawing>
                <wp:inline distT="0" distB="0" distL="0" distR="0" wp14:anchorId="7AB8CDC3" wp14:editId="31B1CAD6">
                  <wp:extent cx="2687320" cy="2751455"/>
                  <wp:effectExtent l="0" t="0" r="0" b="0"/>
                  <wp:docPr id="23" name="Picture 23" descr="This chart displays the labour productivity in Australia over the period 1988-2004. Labour productivity growth was little effected by the 1990-91 recession and had some of its strongest growth following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7320" cy="2751455"/>
                          </a:xfrm>
                          <a:prstGeom prst="rect">
                            <a:avLst/>
                          </a:prstGeom>
                          <a:noFill/>
                          <a:ln>
                            <a:noFill/>
                          </a:ln>
                        </pic:spPr>
                      </pic:pic>
                    </a:graphicData>
                  </a:graphic>
                </wp:inline>
              </w:drawing>
            </w:r>
          </w:p>
        </w:tc>
      </w:tr>
      <w:tr w:rsidR="00AE5FEF" w:rsidRPr="00176D3F" w14:paraId="5D67A2EF" w14:textId="77777777" w:rsidTr="00CE01F3">
        <w:tc>
          <w:tcPr>
            <w:tcW w:w="5000" w:type="pct"/>
            <w:tcBorders>
              <w:top w:val="nil"/>
              <w:left w:val="nil"/>
              <w:bottom w:val="nil"/>
              <w:right w:val="nil"/>
            </w:tcBorders>
            <w:shd w:val="clear" w:color="auto" w:fill="auto"/>
          </w:tcPr>
          <w:p w14:paraId="22DEEE45" w14:textId="62ED85FE" w:rsidR="00AE5FEF" w:rsidRPr="00C6160E" w:rsidRDefault="00B069E4" w:rsidP="00B069E4">
            <w:pPr>
              <w:pStyle w:val="Source"/>
              <w:spacing w:after="0"/>
              <w:rPr>
                <w:spacing w:val="-4"/>
              </w:rPr>
            </w:pPr>
            <w:r w:rsidRPr="00C6160E">
              <w:rPr>
                <w:i/>
                <w:spacing w:val="-4"/>
              </w:rPr>
              <w:t>Source</w:t>
            </w:r>
            <w:r w:rsidRPr="00C6160E">
              <w:rPr>
                <w:spacing w:val="-4"/>
              </w:rPr>
              <w:t>: ABS (</w:t>
            </w:r>
            <w:r w:rsidRPr="00C6160E">
              <w:rPr>
                <w:i/>
                <w:iCs/>
                <w:spacing w:val="-4"/>
              </w:rPr>
              <w:t>Australian National Accounts: National Income, Expenditure and Product, Dec 2019</w:t>
            </w:r>
            <w:r w:rsidRPr="00C6160E">
              <w:rPr>
                <w:spacing w:val="-4"/>
              </w:rPr>
              <w:t>, Cat. no. 5206.0, table 1).</w:t>
            </w:r>
          </w:p>
        </w:tc>
      </w:tr>
      <w:tr w:rsidR="00AE5FEF" w14:paraId="6CF3F4D3" w14:textId="77777777" w:rsidTr="00CE01F3">
        <w:tc>
          <w:tcPr>
            <w:tcW w:w="5000" w:type="pct"/>
            <w:tcBorders>
              <w:top w:val="nil"/>
              <w:left w:val="nil"/>
              <w:bottom w:val="single" w:sz="6" w:space="0" w:color="78A22F"/>
              <w:right w:val="nil"/>
            </w:tcBorders>
            <w:shd w:val="clear" w:color="auto" w:fill="auto"/>
          </w:tcPr>
          <w:p w14:paraId="6BE28ACE" w14:textId="77777777" w:rsidR="00AE5FEF" w:rsidRDefault="00AE5FEF" w:rsidP="00C6160E">
            <w:pPr>
              <w:pStyle w:val="Figurespace"/>
              <w:keepNext w:val="0"/>
            </w:pPr>
          </w:p>
        </w:tc>
      </w:tr>
    </w:tbl>
    <w:p w14:paraId="69E86464" w14:textId="0B5F3E58" w:rsidR="00C6160E" w:rsidRDefault="00C6160E" w:rsidP="00CE01F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6160E" w14:paraId="55EAD4EE" w14:textId="77777777" w:rsidTr="00CE01F3">
        <w:trPr>
          <w:tblHeader/>
        </w:trPr>
        <w:tc>
          <w:tcPr>
            <w:tcW w:w="5000" w:type="pct"/>
            <w:tcBorders>
              <w:top w:val="single" w:sz="6" w:space="0" w:color="78A22F"/>
              <w:left w:val="nil"/>
              <w:bottom w:val="nil"/>
              <w:right w:val="nil"/>
            </w:tcBorders>
            <w:shd w:val="clear" w:color="auto" w:fill="auto"/>
          </w:tcPr>
          <w:p w14:paraId="6B1BE6F2" w14:textId="77777777" w:rsidR="00C6160E" w:rsidRPr="00C6160E" w:rsidRDefault="00C6160E" w:rsidP="00C6160E">
            <w:pPr>
              <w:pStyle w:val="FigureTitle"/>
              <w:rPr>
                <w:sz w:val="24"/>
                <w:szCs w:val="24"/>
              </w:rPr>
            </w:pPr>
            <w:r w:rsidRPr="00C6160E">
              <w:rPr>
                <w:b w:val="0"/>
                <w:sz w:val="24"/>
                <w:szCs w:val="24"/>
              </w:rPr>
              <w:t xml:space="preserve">Figure </w:t>
            </w:r>
            <w:r w:rsidRPr="00C6160E">
              <w:rPr>
                <w:b w:val="0"/>
                <w:sz w:val="24"/>
                <w:szCs w:val="24"/>
              </w:rPr>
              <w:fldChar w:fldCharType="begin"/>
            </w:r>
            <w:r w:rsidRPr="00C6160E">
              <w:rPr>
                <w:b w:val="0"/>
                <w:sz w:val="24"/>
                <w:szCs w:val="24"/>
              </w:rPr>
              <w:instrText xml:space="preserve"> COMMENTS  \* MERGEFORMAT </w:instrText>
            </w:r>
            <w:r w:rsidRPr="00C6160E">
              <w:rPr>
                <w:b w:val="0"/>
                <w:sz w:val="24"/>
                <w:szCs w:val="24"/>
              </w:rPr>
              <w:fldChar w:fldCharType="end"/>
            </w:r>
            <w:r w:rsidRPr="00C6160E">
              <w:rPr>
                <w:b w:val="0"/>
                <w:sz w:val="24"/>
                <w:szCs w:val="24"/>
              </w:rPr>
              <w:t>4</w:t>
            </w:r>
            <w:r w:rsidRPr="00C6160E">
              <w:rPr>
                <w:sz w:val="24"/>
                <w:szCs w:val="24"/>
              </w:rPr>
              <w:tab/>
              <w:t>… but unemployment remained higher for 13 years, and underemployment remained high throughout the period</w:t>
            </w:r>
          </w:p>
          <w:p w14:paraId="6F381782" w14:textId="19786A00" w:rsidR="00C6160E" w:rsidRPr="00176D3F" w:rsidRDefault="00C6160E" w:rsidP="00CE01F3">
            <w:pPr>
              <w:pStyle w:val="Subtitle"/>
            </w:pPr>
            <w:r w:rsidRPr="00C6160E">
              <w:t>Unemployment (left) and underemployment</w:t>
            </w:r>
            <w:r w:rsidRPr="00C6160E">
              <w:rPr>
                <w:rStyle w:val="NoteLabel"/>
              </w:rPr>
              <w:t>a</w:t>
            </w:r>
            <w:r w:rsidRPr="00C6160E">
              <w:t xml:space="preserve"> (right) from 1988-89 to 2003-04</w:t>
            </w:r>
          </w:p>
        </w:tc>
      </w:tr>
      <w:tr w:rsidR="00C6160E" w14:paraId="14CF1D54" w14:textId="77777777" w:rsidTr="00CE01F3">
        <w:tc>
          <w:tcPr>
            <w:tcW w:w="5000" w:type="pct"/>
            <w:tcBorders>
              <w:top w:val="nil"/>
              <w:left w:val="nil"/>
              <w:bottom w:val="nil"/>
              <w:right w:val="nil"/>
            </w:tcBorders>
            <w:shd w:val="clear" w:color="auto" w:fill="auto"/>
            <w:tcMar>
              <w:top w:w="28" w:type="dxa"/>
              <w:bottom w:w="28" w:type="dxa"/>
            </w:tcMar>
          </w:tcPr>
          <w:p w14:paraId="0C438196" w14:textId="19F2878E" w:rsidR="00C6160E" w:rsidRDefault="00C6160E" w:rsidP="00C6160E">
            <w:pPr>
              <w:pStyle w:val="Figure"/>
              <w:spacing w:after="60"/>
            </w:pPr>
            <w:r w:rsidRPr="00C6160E">
              <w:rPr>
                <w:noProof/>
              </w:rPr>
              <w:drawing>
                <wp:inline distT="0" distB="0" distL="0" distR="0" wp14:anchorId="70562756" wp14:editId="5B1A139C">
                  <wp:extent cx="2664000" cy="2773181"/>
                  <wp:effectExtent l="0" t="0" r="3175" b="8255"/>
                  <wp:docPr id="24" name="Picture 24" descr="This chart displays Australia’s unemployment rate over the period 1988-2004. The unemployment rate increased from around 6 per cent to approximately 10 per cent during the 1990s recession before recovering to around 6 per cent by 20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4000" cy="2773181"/>
                          </a:xfrm>
                          <a:prstGeom prst="rect">
                            <a:avLst/>
                          </a:prstGeom>
                          <a:noFill/>
                          <a:ln>
                            <a:noFill/>
                          </a:ln>
                        </pic:spPr>
                      </pic:pic>
                    </a:graphicData>
                  </a:graphic>
                </wp:inline>
              </w:drawing>
            </w:r>
            <w:r w:rsidRPr="00C6160E">
              <w:rPr>
                <w:noProof/>
              </w:rPr>
              <w:drawing>
                <wp:inline distT="0" distB="0" distL="0" distR="0" wp14:anchorId="1421A299" wp14:editId="5E2E527D">
                  <wp:extent cx="2664000" cy="2773181"/>
                  <wp:effectExtent l="0" t="0" r="3175" b="8255"/>
                  <wp:docPr id="25" name="Picture 25" descr="This chart displays Australia’s underemployment rate in per cent over the period 1988-2004. The underemployment rate increased from around 4 per cent to around 7 percent during the 1990s recession and remained at approximately 7 per cent for the rest of th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4000" cy="2773181"/>
                          </a:xfrm>
                          <a:prstGeom prst="rect">
                            <a:avLst/>
                          </a:prstGeom>
                          <a:noFill/>
                          <a:ln>
                            <a:noFill/>
                          </a:ln>
                        </pic:spPr>
                      </pic:pic>
                    </a:graphicData>
                  </a:graphic>
                </wp:inline>
              </w:drawing>
            </w:r>
          </w:p>
        </w:tc>
      </w:tr>
      <w:tr w:rsidR="00C6160E" w:rsidRPr="00176D3F" w14:paraId="17E898CF" w14:textId="77777777" w:rsidTr="00CE01F3">
        <w:tc>
          <w:tcPr>
            <w:tcW w:w="5000" w:type="pct"/>
            <w:tcBorders>
              <w:top w:val="nil"/>
              <w:left w:val="nil"/>
              <w:bottom w:val="nil"/>
              <w:right w:val="nil"/>
            </w:tcBorders>
            <w:shd w:val="clear" w:color="auto" w:fill="auto"/>
          </w:tcPr>
          <w:p w14:paraId="68A4DE14" w14:textId="52121444" w:rsidR="00C6160E" w:rsidRPr="00176D3F" w:rsidRDefault="00C6160E" w:rsidP="00CE01F3">
            <w:pPr>
              <w:pStyle w:val="Note"/>
            </w:pPr>
            <w:r>
              <w:rPr>
                <w:rStyle w:val="NoteLabel"/>
              </w:rPr>
              <w:t>a</w:t>
            </w:r>
            <w:r>
              <w:t xml:space="preserve"> </w:t>
            </w:r>
            <w:r w:rsidRPr="00C6160E">
              <w:t>Underemployment consists of part time workers who would like to work more hours and full-time workers who have recently been forced to become part time.</w:t>
            </w:r>
          </w:p>
        </w:tc>
      </w:tr>
      <w:tr w:rsidR="00C6160E" w:rsidRPr="00176D3F" w14:paraId="5DB42892" w14:textId="77777777" w:rsidTr="00CE01F3">
        <w:tc>
          <w:tcPr>
            <w:tcW w:w="5000" w:type="pct"/>
            <w:tcBorders>
              <w:top w:val="nil"/>
              <w:left w:val="nil"/>
              <w:bottom w:val="nil"/>
              <w:right w:val="nil"/>
            </w:tcBorders>
            <w:shd w:val="clear" w:color="auto" w:fill="auto"/>
          </w:tcPr>
          <w:p w14:paraId="513AF41F" w14:textId="3D5373A2" w:rsidR="00C6160E" w:rsidRPr="00176D3F" w:rsidRDefault="00C6160E" w:rsidP="00C6160E">
            <w:pPr>
              <w:pStyle w:val="Source"/>
              <w:spacing w:after="0"/>
            </w:pPr>
            <w:r w:rsidRPr="0023363B">
              <w:rPr>
                <w:i/>
                <w:spacing w:val="-6"/>
              </w:rPr>
              <w:t>Sources</w:t>
            </w:r>
            <w:r w:rsidRPr="0023363B">
              <w:rPr>
                <w:spacing w:val="-6"/>
              </w:rPr>
              <w:t>: Unemployment: ABS (</w:t>
            </w:r>
            <w:r w:rsidRPr="0023363B">
              <w:rPr>
                <w:i/>
                <w:iCs/>
                <w:spacing w:val="-6"/>
              </w:rPr>
              <w:t>Labour Force, Australia, Detailed - Electronic Delivery, Nov, 2009</w:t>
            </w:r>
            <w:r>
              <w:rPr>
                <w:spacing w:val="-6"/>
              </w:rPr>
              <w:t xml:space="preserve">, Cat. no. </w:t>
            </w:r>
            <w:r w:rsidRPr="0023363B">
              <w:rPr>
                <w:spacing w:val="-6"/>
              </w:rPr>
              <w:t>6291.0.55.001, table 16A); underemployment: ABS (</w:t>
            </w:r>
            <w:r w:rsidRPr="0023363B">
              <w:rPr>
                <w:i/>
                <w:iCs/>
                <w:spacing w:val="-6"/>
              </w:rPr>
              <w:t>Labour Force, Australia, Dec 2009</w:t>
            </w:r>
            <w:r w:rsidRPr="0023363B">
              <w:rPr>
                <w:spacing w:val="-6"/>
              </w:rPr>
              <w:t>, Cat. no. 6202.0, table 20)</w:t>
            </w:r>
            <w:r>
              <w:rPr>
                <w:spacing w:val="-6"/>
              </w:rPr>
              <w:t>.</w:t>
            </w:r>
          </w:p>
        </w:tc>
      </w:tr>
      <w:tr w:rsidR="00C6160E" w14:paraId="0AA8804F" w14:textId="77777777" w:rsidTr="00CE01F3">
        <w:tc>
          <w:tcPr>
            <w:tcW w:w="5000" w:type="pct"/>
            <w:tcBorders>
              <w:top w:val="nil"/>
              <w:left w:val="nil"/>
              <w:bottom w:val="single" w:sz="6" w:space="0" w:color="78A22F"/>
              <w:right w:val="nil"/>
            </w:tcBorders>
            <w:shd w:val="clear" w:color="auto" w:fill="auto"/>
          </w:tcPr>
          <w:p w14:paraId="638544AD" w14:textId="77777777" w:rsidR="00C6160E" w:rsidRDefault="00C6160E" w:rsidP="00CE01F3">
            <w:pPr>
              <w:pStyle w:val="Figurespace"/>
            </w:pPr>
          </w:p>
        </w:tc>
      </w:tr>
      <w:tr w:rsidR="00C6160E" w:rsidRPr="000863A5" w14:paraId="5EA1D6DC" w14:textId="77777777" w:rsidTr="00CE01F3">
        <w:tc>
          <w:tcPr>
            <w:tcW w:w="5000" w:type="pct"/>
            <w:tcBorders>
              <w:top w:val="single" w:sz="6" w:space="0" w:color="78A22F"/>
              <w:left w:val="nil"/>
              <w:bottom w:val="nil"/>
              <w:right w:val="nil"/>
            </w:tcBorders>
          </w:tcPr>
          <w:p w14:paraId="7D4F19E8" w14:textId="7DC861DC" w:rsidR="00C6160E" w:rsidRPr="00626D32" w:rsidRDefault="00C6160E" w:rsidP="00CE01F3">
            <w:pPr>
              <w:pStyle w:val="BoxSpaceBelow"/>
            </w:pPr>
          </w:p>
        </w:tc>
      </w:tr>
    </w:tbl>
    <w:p w14:paraId="69F30386" w14:textId="77777777" w:rsidR="0001594F" w:rsidRDefault="00491E5C" w:rsidP="00FC79E6">
      <w:pPr>
        <w:pStyle w:val="Heading3"/>
      </w:pPr>
      <w:r>
        <w:t xml:space="preserve">The </w:t>
      </w:r>
      <w:r w:rsidR="0001594F">
        <w:t>COVID-19 recovery and aftermath</w:t>
      </w:r>
    </w:p>
    <w:p w14:paraId="2ADB0F7C" w14:textId="77777777" w:rsidR="000D2A30" w:rsidRDefault="000D2A30" w:rsidP="002618F3">
      <w:pPr>
        <w:pStyle w:val="Heading4"/>
        <w:spacing w:before="240"/>
      </w:pPr>
      <w:r>
        <w:t>Will we see a V</w:t>
      </w:r>
      <w:r>
        <w:noBreakHyphen/>
        <w:t>shaped recover</w:t>
      </w:r>
      <w:r w:rsidR="00A810CF">
        <w:t>y</w:t>
      </w:r>
      <w:r>
        <w:t>?</w:t>
      </w:r>
    </w:p>
    <w:p w14:paraId="5E6478E7" w14:textId="3AAF7B4A" w:rsidR="00FC69BE" w:rsidRDefault="003F6722" w:rsidP="00FC69BE">
      <w:pPr>
        <w:pStyle w:val="BodyText"/>
      </w:pPr>
      <w:r>
        <w:t xml:space="preserve">Determining the shape and duration of the recession caused by COVID-19 is highly speculative </w:t>
      </w:r>
      <w:r w:rsidR="00EC2FC7">
        <w:t>given the</w:t>
      </w:r>
      <w:r w:rsidR="00963EF6">
        <w:t xml:space="preserve"> </w:t>
      </w:r>
      <w:r w:rsidR="00B45486">
        <w:t>unusual</w:t>
      </w:r>
      <w:r w:rsidR="00EC2FC7">
        <w:t xml:space="preserve"> circumstances that brought it about. </w:t>
      </w:r>
      <w:r w:rsidR="00FC69BE">
        <w:t xml:space="preserve">The emergence of COVID-19 would </w:t>
      </w:r>
      <w:r w:rsidR="00F24398">
        <w:t>likely</w:t>
      </w:r>
      <w:r w:rsidR="00FC69BE">
        <w:t xml:space="preserve"> have had a significant adverse impact on economic growth even in the absence of government</w:t>
      </w:r>
      <w:r w:rsidR="00846C92">
        <w:t>-</w:t>
      </w:r>
      <w:r w:rsidR="00FC69BE">
        <w:t xml:space="preserve">imposed restrictions on activity, due to a voluntary reduction in economic activity out of fear of infection. </w:t>
      </w:r>
    </w:p>
    <w:p w14:paraId="30AF16C2" w14:textId="1055FBB8" w:rsidR="0001594F" w:rsidRDefault="00640367" w:rsidP="00FC79E6">
      <w:pPr>
        <w:pStyle w:val="BodyText"/>
      </w:pPr>
      <w:r>
        <w:t xml:space="preserve">To the extent that the </w:t>
      </w:r>
      <w:r w:rsidR="00581B1E">
        <w:t>reduction of COVID-19 cases and the consequential</w:t>
      </w:r>
      <w:r>
        <w:t xml:space="preserve"> removal of restrictions acts to spark recovery, the trajectory could mirror the characteristics of past, demand</w:t>
      </w:r>
      <w:r>
        <w:noBreakHyphen/>
        <w:t>driven recessions. GDP per capita and labour productivity have generally recovered quickly from these recessions. By contrast, unemployment/underemployment often persists, though in the case of the unemployment caused by the Spanish Flu, the recovery appears to have been relatively swift.</w:t>
      </w:r>
      <w:r w:rsidR="00814FB1">
        <w:t xml:space="preserve"> </w:t>
      </w:r>
      <w:r w:rsidR="00F119FF">
        <w:t>Moreover, in</w:t>
      </w:r>
      <w:r w:rsidR="00814FB1">
        <w:t xml:space="preserve"> previous recessions there have also been persistent </w:t>
      </w:r>
      <w:r w:rsidR="00814FB1">
        <w:lastRenderedPageBreak/>
        <w:t>falls in labour force participation, due to discouraged workers</w:t>
      </w:r>
      <w:r w:rsidR="00F119FF">
        <w:t xml:space="preserve"> leaving the labour force</w:t>
      </w:r>
      <w:r w:rsidR="00814FB1">
        <w:t xml:space="preserve">, and </w:t>
      </w:r>
      <w:r w:rsidR="00F119FF">
        <w:t>the current economic downturn appears to also show some signs of this effect.</w:t>
      </w:r>
      <w:r w:rsidR="00F119FF">
        <w:rPr>
          <w:rStyle w:val="FootnoteReference"/>
        </w:rPr>
        <w:footnoteReference w:id="5"/>
      </w:r>
    </w:p>
    <w:p w14:paraId="4808EA2A" w14:textId="7CB0EAB4" w:rsidR="00AA5376" w:rsidRDefault="006B7AD0">
      <w:pPr>
        <w:pStyle w:val="BodyText"/>
      </w:pPr>
      <w:r>
        <w:t>This</w:t>
      </w:r>
      <w:r w:rsidR="004E31E7">
        <w:t xml:space="preserve"> recession has some characteristics that may differentiate it from both past demand</w:t>
      </w:r>
      <w:r w:rsidR="004E31E7">
        <w:noBreakHyphen/>
        <w:t xml:space="preserve">driven recessions or </w:t>
      </w:r>
      <w:r w:rsidR="00F6352D">
        <w:t xml:space="preserve">even the economic downturn caused by the Spanish </w:t>
      </w:r>
      <w:r w:rsidR="00AE04A6">
        <w:t>Flu</w:t>
      </w:r>
      <w:r w:rsidR="00F6352D">
        <w:t xml:space="preserve">. </w:t>
      </w:r>
      <w:r w:rsidR="00640367">
        <w:t xml:space="preserve">For example, unlike the Spanish </w:t>
      </w:r>
      <w:r w:rsidR="00F24398">
        <w:t xml:space="preserve">Flu </w:t>
      </w:r>
      <w:r w:rsidR="00640367">
        <w:t>epidemic</w:t>
      </w:r>
      <w:r w:rsidR="008F32E3">
        <w:t xml:space="preserve"> —</w:t>
      </w:r>
      <w:r w:rsidR="00640367">
        <w:t xml:space="preserve"> during which herd immunity was eventually reached</w:t>
      </w:r>
      <w:r w:rsidR="002D4027">
        <w:t xml:space="preserve"> —</w:t>
      </w:r>
      <w:r w:rsidR="00640367">
        <w:t xml:space="preserve"> at least some restrictions on economic activity </w:t>
      </w:r>
      <w:r w:rsidR="008A1A34">
        <w:t>could</w:t>
      </w:r>
      <w:r w:rsidR="00640367">
        <w:t xml:space="preserve"> persist until a viable treatment or vaccine is widely available. </w:t>
      </w:r>
      <w:r w:rsidR="00AA5376">
        <w:t>That is, even if the virus is successfully suppressed</w:t>
      </w:r>
      <w:r w:rsidR="000A1DB2">
        <w:t xml:space="preserve">, there will be an ongoing risk of virus outbreaks, and </w:t>
      </w:r>
      <w:r w:rsidR="00AA5376">
        <w:t xml:space="preserve">international travel </w:t>
      </w:r>
      <w:r w:rsidR="0008310A">
        <w:t xml:space="preserve">(and possibly trade) </w:t>
      </w:r>
      <w:r w:rsidR="00AA5376">
        <w:t>will need to be restricted</w:t>
      </w:r>
      <w:r w:rsidR="008564ED">
        <w:t xml:space="preserve">. </w:t>
      </w:r>
      <w:r w:rsidR="00AA5376">
        <w:t xml:space="preserve">This means that the severity and length of the economic crisis will be </w:t>
      </w:r>
      <w:r w:rsidR="00640367">
        <w:t>driven by</w:t>
      </w:r>
      <w:r w:rsidR="00AA5376">
        <w:t xml:space="preserve"> how long it takes to discover a vaccine or treatment. </w:t>
      </w:r>
    </w:p>
    <w:p w14:paraId="190C375C" w14:textId="71D75D57" w:rsidR="003A45A4" w:rsidRDefault="00AA5376" w:rsidP="00674119">
      <w:pPr>
        <w:pStyle w:val="BodyText"/>
        <w:tabs>
          <w:tab w:val="left" w:pos="5772"/>
        </w:tabs>
      </w:pPr>
      <w:r>
        <w:t>There are</w:t>
      </w:r>
      <w:r w:rsidR="007D070D">
        <w:t xml:space="preserve"> two</w:t>
      </w:r>
      <w:r>
        <w:t xml:space="preserve"> structural </w:t>
      </w:r>
      <w:r w:rsidR="007D070D">
        <w:t>changes</w:t>
      </w:r>
      <w:r w:rsidR="00B53B79">
        <w:t xml:space="preserve"> </w:t>
      </w:r>
      <w:r>
        <w:t xml:space="preserve">in the economy </w:t>
      </w:r>
      <w:r w:rsidR="004E06CA">
        <w:t xml:space="preserve">acting </w:t>
      </w:r>
      <w:r w:rsidR="00737763">
        <w:t xml:space="preserve">in opposition </w:t>
      </w:r>
      <w:r w:rsidR="004E06CA">
        <w:t xml:space="preserve">to </w:t>
      </w:r>
      <w:r w:rsidR="00737763">
        <w:t>either</w:t>
      </w:r>
      <w:r w:rsidR="004E06CA">
        <w:t xml:space="preserve"> d</w:t>
      </w:r>
      <w:r>
        <w:t xml:space="preserve">ampen </w:t>
      </w:r>
      <w:r w:rsidR="004E06CA">
        <w:t>or strengthen</w:t>
      </w:r>
      <w:r>
        <w:t xml:space="preserve"> the prospects </w:t>
      </w:r>
      <w:r w:rsidR="004E06CA">
        <w:t xml:space="preserve">of </w:t>
      </w:r>
      <w:r>
        <w:t>a swift recovery.</w:t>
      </w:r>
      <w:r w:rsidR="007D070D">
        <w:t xml:space="preserve"> First, many employees are able to work remotely and many consumers shop online, creating new jobs and allowing existing employees to work through the pandemic. Second, and opposing this, </w:t>
      </w:r>
      <w:r>
        <w:t xml:space="preserve">about 90 per cent of employment is in </w:t>
      </w:r>
      <w:r w:rsidRPr="000C469D">
        <w:t xml:space="preserve">services, and </w:t>
      </w:r>
      <w:r w:rsidR="00F65428">
        <w:t xml:space="preserve">many aspects of </w:t>
      </w:r>
      <w:r w:rsidRPr="000C469D">
        <w:t>service</w:t>
      </w:r>
      <w:r w:rsidR="00F65428">
        <w:t xml:space="preserve"> delivery</w:t>
      </w:r>
      <w:r w:rsidRPr="000C469D">
        <w:t xml:space="preserve"> require</w:t>
      </w:r>
      <w:r w:rsidR="00F65428">
        <w:t>s</w:t>
      </w:r>
      <w:r w:rsidRPr="000C469D">
        <w:t xml:space="preserve"> face</w:t>
      </w:r>
      <w:r w:rsidRPr="000C469D">
        <w:noBreakHyphen/>
        <w:t>to</w:t>
      </w:r>
      <w:r w:rsidRPr="000C469D">
        <w:noBreakHyphen/>
        <w:t xml:space="preserve">face </w:t>
      </w:r>
      <w:r w:rsidR="00135798">
        <w:t>interaction</w:t>
      </w:r>
      <w:r w:rsidR="0049585B">
        <w:t xml:space="preserve"> </w:t>
      </w:r>
      <w:r w:rsidR="0049585B" w:rsidRPr="0049585B">
        <w:rPr>
          <w:szCs w:val="24"/>
        </w:rPr>
        <w:t>(ABS 2020d)</w:t>
      </w:r>
      <w:r w:rsidR="00F17BF5">
        <w:t xml:space="preserve">. </w:t>
      </w:r>
      <w:r w:rsidR="000540C6">
        <w:t xml:space="preserve">If </w:t>
      </w:r>
      <w:r w:rsidR="002F4E11">
        <w:t>the pandemic</w:t>
      </w:r>
      <w:r w:rsidR="005A7384">
        <w:t xml:space="preserve"> </w:t>
      </w:r>
      <w:r w:rsidR="000540C6">
        <w:t>persist</w:t>
      </w:r>
      <w:r w:rsidR="002F4E11">
        <w:t>s</w:t>
      </w:r>
      <w:r w:rsidR="0099709E">
        <w:t xml:space="preserve">, </w:t>
      </w:r>
      <w:r w:rsidR="002F4E11">
        <w:t>this</w:t>
      </w:r>
      <w:r w:rsidR="0099709E">
        <w:t xml:space="preserve"> </w:t>
      </w:r>
      <w:r w:rsidR="005A7384">
        <w:t xml:space="preserve">may limit the employment prospects of </w:t>
      </w:r>
      <w:r w:rsidR="00B50A11">
        <w:t xml:space="preserve">individuals that operate in </w:t>
      </w:r>
      <w:r w:rsidR="004D622B">
        <w:t>indu</w:t>
      </w:r>
      <w:r w:rsidR="004C38D2">
        <w:t xml:space="preserve">stries </w:t>
      </w:r>
      <w:r w:rsidR="00855AE7" w:rsidRPr="00855AE7">
        <w:t>that</w:t>
      </w:r>
      <w:r w:rsidR="004C38D2">
        <w:t xml:space="preserve"> require </w:t>
      </w:r>
      <w:r w:rsidR="00D2498E">
        <w:t>face-to-face interaction.</w:t>
      </w:r>
      <w:r w:rsidR="005A7384">
        <w:t xml:space="preserve"> </w:t>
      </w:r>
      <w:r w:rsidR="007D070D">
        <w:t>How the greater ability to work from home will ultimately balance out the greater proportion of service sector employment remains to be seen.</w:t>
      </w:r>
    </w:p>
    <w:p w14:paraId="04B47FB2" w14:textId="2298D4D9" w:rsidR="000D2A30" w:rsidRDefault="000D2A30" w:rsidP="00FC79E6">
      <w:pPr>
        <w:pStyle w:val="Heading4"/>
      </w:pPr>
      <w:r>
        <w:t xml:space="preserve">Potential productivity </w:t>
      </w:r>
      <w:r w:rsidR="00AA7C09">
        <w:t xml:space="preserve">effects </w:t>
      </w:r>
      <w:r>
        <w:t>of the pandemic</w:t>
      </w:r>
    </w:p>
    <w:p w14:paraId="1B9376C7" w14:textId="496B6BC3" w:rsidR="00E71A94" w:rsidRDefault="00A557DA" w:rsidP="00674119">
      <w:pPr>
        <w:pStyle w:val="BodyText"/>
        <w:tabs>
          <w:tab w:val="left" w:pos="5772"/>
        </w:tabs>
      </w:pPr>
      <w:r>
        <w:t xml:space="preserve">In the long </w:t>
      </w:r>
      <w:r w:rsidR="006B255B">
        <w:t xml:space="preserve">term, this pandemic </w:t>
      </w:r>
      <w:r w:rsidR="00E71A94">
        <w:t xml:space="preserve">is likely to affect </w:t>
      </w:r>
      <w:r w:rsidR="000B1BBC">
        <w:t>productivity,</w:t>
      </w:r>
      <w:r w:rsidR="00E71A94">
        <w:t xml:space="preserve"> but the magnitude and </w:t>
      </w:r>
      <w:r w:rsidR="008E5900">
        <w:t xml:space="preserve">direction </w:t>
      </w:r>
      <w:r w:rsidR="00E71A94">
        <w:t>of these effects is uncertain</w:t>
      </w:r>
      <w:r w:rsidR="006B255B">
        <w:t>.</w:t>
      </w:r>
      <w:r w:rsidR="00C5642F">
        <w:t xml:space="preserve"> </w:t>
      </w:r>
    </w:p>
    <w:p w14:paraId="03408318" w14:textId="36B38AE6" w:rsidR="00C5642F" w:rsidRDefault="00DD2FA7" w:rsidP="00674119">
      <w:pPr>
        <w:pStyle w:val="BodyText"/>
        <w:tabs>
          <w:tab w:val="left" w:pos="5772"/>
        </w:tabs>
      </w:pPr>
      <w:r>
        <w:t xml:space="preserve">On a positive note, the </w:t>
      </w:r>
      <w:r w:rsidR="00364933">
        <w:t xml:space="preserve">quick adaptability of the economy has been impressive. </w:t>
      </w:r>
      <w:r w:rsidR="00C5642F">
        <w:t xml:space="preserve">About </w:t>
      </w:r>
      <w:r w:rsidR="00660676">
        <w:t>50 per </w:t>
      </w:r>
      <w:r w:rsidR="008E5900">
        <w:t>cent of the workforce ha</w:t>
      </w:r>
      <w:r w:rsidR="001620DF">
        <w:t>d</w:t>
      </w:r>
      <w:r w:rsidR="00C5642F">
        <w:t xml:space="preserve"> moved to working from home</w:t>
      </w:r>
      <w:r w:rsidR="001620DF">
        <w:t xml:space="preserve"> by September 2020</w:t>
      </w:r>
      <w:r w:rsidR="00C5642F">
        <w:t xml:space="preserve">, with early indications </w:t>
      </w:r>
      <w:r w:rsidR="003A4B68">
        <w:t>of a smooth transition</w:t>
      </w:r>
      <w:r w:rsidR="00FB0DC0">
        <w:t xml:space="preserve"> </w:t>
      </w:r>
      <w:r w:rsidR="00066191" w:rsidRPr="00066191">
        <w:rPr>
          <w:szCs w:val="24"/>
        </w:rPr>
        <w:t>(ABS 2020a)</w:t>
      </w:r>
      <w:r w:rsidR="00C5642F">
        <w:t>. Further</w:t>
      </w:r>
      <w:r w:rsidR="00951F56">
        <w:t>more,</w:t>
      </w:r>
      <w:r w:rsidR="00C5642F">
        <w:t xml:space="preserve"> many firms have innovated to make their services more</w:t>
      </w:r>
      <w:r w:rsidR="00181704">
        <w:t xml:space="preserve"> </w:t>
      </w:r>
      <w:r w:rsidR="00F77834">
        <w:t>accessible</w:t>
      </w:r>
      <w:r w:rsidR="00C5642F">
        <w:t xml:space="preserve"> </w:t>
      </w:r>
      <w:r w:rsidR="00531F31">
        <w:t>remotely</w:t>
      </w:r>
      <w:r w:rsidR="00857FDA">
        <w:t xml:space="preserve"> </w:t>
      </w:r>
      <w:r w:rsidR="00C5642F">
        <w:t>(including high end restaurants resorting to takeaway, greater use of virtual exercise classes).</w:t>
      </w:r>
      <w:r w:rsidR="006B255B">
        <w:t xml:space="preserve"> </w:t>
      </w:r>
      <w:r w:rsidR="004810B6">
        <w:t>For large portions of the year b</w:t>
      </w:r>
      <w:r w:rsidR="00162AC6">
        <w:t xml:space="preserve">oth health and education services shifted to online or remote delivery to some extent. </w:t>
      </w:r>
      <w:r w:rsidR="006B255B">
        <w:t xml:space="preserve">The </w:t>
      </w:r>
      <w:r w:rsidR="005B2304">
        <w:t xml:space="preserve">increased pressure on firms to facilitate both remote work and remote delivery to consumers will likely have </w:t>
      </w:r>
      <w:r w:rsidR="008E5900">
        <w:t xml:space="preserve">a </w:t>
      </w:r>
      <w:r w:rsidR="005B2304" w:rsidDel="006E4FFA">
        <w:t>long</w:t>
      </w:r>
      <w:r w:rsidR="006E4FFA">
        <w:t>-lasting</w:t>
      </w:r>
      <w:r w:rsidR="005B2304">
        <w:t xml:space="preserve"> increase in the tradability of services. </w:t>
      </w:r>
      <w:r w:rsidR="00674119">
        <w:t>This could result in greater capital</w:t>
      </w:r>
      <w:r w:rsidR="00674119">
        <w:noBreakHyphen/>
        <w:t xml:space="preserve">intensity of services and </w:t>
      </w:r>
      <w:r w:rsidR="005A756F">
        <w:t xml:space="preserve">more </w:t>
      </w:r>
      <w:r w:rsidR="00674119">
        <w:t>competitive pressures</w:t>
      </w:r>
      <w:r w:rsidR="00C5642F">
        <w:t xml:space="preserve"> </w:t>
      </w:r>
      <w:r w:rsidR="00084D80">
        <w:t>that</w:t>
      </w:r>
      <w:r w:rsidR="00C5642F">
        <w:t xml:space="preserve"> would result in greater productivity growth</w:t>
      </w:r>
      <w:r w:rsidR="00674119">
        <w:t xml:space="preserve">. </w:t>
      </w:r>
    </w:p>
    <w:p w14:paraId="5CF1D82E" w14:textId="6AA90F62" w:rsidR="00364933" w:rsidRDefault="00EA2155" w:rsidP="004E5B3E">
      <w:pPr>
        <w:pStyle w:val="BodyText"/>
      </w:pPr>
      <w:r>
        <w:lastRenderedPageBreak/>
        <w:t xml:space="preserve">However, a </w:t>
      </w:r>
      <w:r w:rsidR="00C5642F">
        <w:t xml:space="preserve">sustained reliance on remote work </w:t>
      </w:r>
      <w:r w:rsidR="00364933">
        <w:t>is a double edged sword</w:t>
      </w:r>
      <w:r w:rsidR="00C5642F">
        <w:t xml:space="preserve">. </w:t>
      </w:r>
      <w:r w:rsidR="001F6E8A">
        <w:t>On the one hand</w:t>
      </w:r>
      <w:r w:rsidR="009327DA">
        <w:t>, the</w:t>
      </w:r>
      <w:r w:rsidR="00392132">
        <w:t xml:space="preserve">re may be </w:t>
      </w:r>
      <w:r w:rsidR="008D28CD">
        <w:t>an</w:t>
      </w:r>
      <w:r w:rsidR="009327DA">
        <w:t xml:space="preserve"> </w:t>
      </w:r>
      <w:r w:rsidR="00594CA8">
        <w:t>increase</w:t>
      </w:r>
      <w:r w:rsidR="00435FEA">
        <w:t xml:space="preserve"> in leisure</w:t>
      </w:r>
      <w:r w:rsidR="00392132">
        <w:t xml:space="preserve"> time</w:t>
      </w:r>
      <w:r w:rsidR="00435FEA">
        <w:t xml:space="preserve"> </w:t>
      </w:r>
      <w:r w:rsidR="009B5A8F">
        <w:t>(or at least flexibility for those with caring responsibilities)</w:t>
      </w:r>
      <w:r w:rsidR="00435FEA">
        <w:t xml:space="preserve"> due to reduced commute times</w:t>
      </w:r>
      <w:r w:rsidR="00915398">
        <w:t>,</w:t>
      </w:r>
      <w:r w:rsidR="0052537C">
        <w:t xml:space="preserve"> and </w:t>
      </w:r>
      <w:r w:rsidR="00803135">
        <w:t xml:space="preserve">improved </w:t>
      </w:r>
      <w:r w:rsidR="009A1C3F">
        <w:t>human capital as workers and firms adopt the technology required to work from home</w:t>
      </w:r>
      <w:r w:rsidR="00394737">
        <w:t xml:space="preserve"> </w:t>
      </w:r>
      <w:r w:rsidR="00394737" w:rsidRPr="00394737">
        <w:rPr>
          <w:szCs w:val="24"/>
        </w:rPr>
        <w:t>(Quiggin 2020)</w:t>
      </w:r>
      <w:r w:rsidR="00435FEA">
        <w:t>.</w:t>
      </w:r>
      <w:r w:rsidR="00533679">
        <w:t xml:space="preserve"> </w:t>
      </w:r>
      <w:r w:rsidR="00605D94">
        <w:t>Additional</w:t>
      </w:r>
      <w:r w:rsidR="005554A7">
        <w:t>l</w:t>
      </w:r>
      <w:r w:rsidR="00605D94">
        <w:t>y,</w:t>
      </w:r>
      <w:r w:rsidR="00C5642F">
        <w:t xml:space="preserve"> </w:t>
      </w:r>
      <w:r w:rsidR="005554A7">
        <w:t xml:space="preserve">weakening the link between </w:t>
      </w:r>
      <w:r w:rsidR="004B2592">
        <w:t>geography</w:t>
      </w:r>
      <w:r w:rsidR="005554A7">
        <w:t xml:space="preserve"> and employment could lead to better matching of employees and employers</w:t>
      </w:r>
      <w:r w:rsidR="00AF4B7D">
        <w:t xml:space="preserve"> </w:t>
      </w:r>
      <w:r w:rsidR="00807FFA" w:rsidRPr="00807FFA">
        <w:rPr>
          <w:szCs w:val="24"/>
        </w:rPr>
        <w:t>(Zenou 2009)</w:t>
      </w:r>
      <w:r w:rsidR="004B2592">
        <w:t>.</w:t>
      </w:r>
      <w:r w:rsidR="00F86FB3">
        <w:t xml:space="preserve"> </w:t>
      </w:r>
      <w:r w:rsidR="00330BE7">
        <w:t>On the other hand</w:t>
      </w:r>
      <w:r w:rsidR="00645606">
        <w:t xml:space="preserve">, </w:t>
      </w:r>
      <w:r w:rsidR="00572BC6">
        <w:t>r</w:t>
      </w:r>
      <w:r w:rsidR="00C5642F">
        <w:t xml:space="preserve">emote </w:t>
      </w:r>
      <w:r w:rsidR="00E63B39">
        <w:t xml:space="preserve">work </w:t>
      </w:r>
      <w:r w:rsidR="00480BE9">
        <w:t xml:space="preserve">has risks </w:t>
      </w:r>
      <w:r w:rsidR="0088272D">
        <w:t>—</w:t>
      </w:r>
      <w:r w:rsidR="00C5642F">
        <w:t xml:space="preserve"> both to the productivity of businesses and the divide between work and leisure</w:t>
      </w:r>
      <w:r w:rsidR="00402E64">
        <w:t>.</w:t>
      </w:r>
      <w:r w:rsidR="00364933">
        <w:t xml:space="preserve"> </w:t>
      </w:r>
      <w:r w:rsidR="005C6314">
        <w:t>Innovation</w:t>
      </w:r>
      <w:r w:rsidR="00F10924">
        <w:t xml:space="preserve"> is elusive and often occurs through </w:t>
      </w:r>
      <w:r w:rsidR="004B5D6D">
        <w:t>serendipitous person</w:t>
      </w:r>
      <w:r w:rsidR="00F636CE">
        <w:noBreakHyphen/>
      </w:r>
      <w:r w:rsidR="00740D65">
        <w:t>to</w:t>
      </w:r>
      <w:r w:rsidR="00F636CE">
        <w:noBreakHyphen/>
      </w:r>
      <w:r w:rsidR="004B5D6D">
        <w:t>person exchange</w:t>
      </w:r>
      <w:r w:rsidR="002B46FC">
        <w:t xml:space="preserve">. </w:t>
      </w:r>
      <w:r w:rsidR="00740D65">
        <w:t>W</w:t>
      </w:r>
      <w:r w:rsidR="003C3083">
        <w:t>hile</w:t>
      </w:r>
      <w:r w:rsidR="005C6314">
        <w:t xml:space="preserve"> </w:t>
      </w:r>
      <w:r w:rsidR="00B8107B">
        <w:t xml:space="preserve">new ideas </w:t>
      </w:r>
      <w:r w:rsidR="00364933">
        <w:t>can</w:t>
      </w:r>
      <w:r w:rsidR="00B8107B">
        <w:t xml:space="preserve"> foster through virtual exchange</w:t>
      </w:r>
      <w:r w:rsidR="00834D4F">
        <w:t>,</w:t>
      </w:r>
      <w:r w:rsidR="00B8107B">
        <w:t xml:space="preserve"> it is</w:t>
      </w:r>
      <w:r w:rsidR="00364933">
        <w:t xml:space="preserve"> perhaps</w:t>
      </w:r>
      <w:r w:rsidR="00B8107B">
        <w:t xml:space="preserve"> less likely. </w:t>
      </w:r>
      <w:r w:rsidR="00AA10B2">
        <w:t>A</w:t>
      </w:r>
      <w:r w:rsidR="00C71B35">
        <w:t xml:space="preserve"> prolonged period of </w:t>
      </w:r>
      <w:r w:rsidR="00596B5E">
        <w:t>remote work</w:t>
      </w:r>
      <w:r w:rsidR="00C71B35">
        <w:t xml:space="preserve"> </w:t>
      </w:r>
      <w:r w:rsidR="009B3A9D">
        <w:t xml:space="preserve">may </w:t>
      </w:r>
      <w:r w:rsidR="00C71B35">
        <w:t xml:space="preserve">reduce the </w:t>
      </w:r>
      <w:r w:rsidR="00632B90">
        <w:t>organic development of ideas</w:t>
      </w:r>
      <w:r w:rsidR="00FC4D17">
        <w:t xml:space="preserve">, </w:t>
      </w:r>
      <w:r w:rsidR="00454A8D">
        <w:t xml:space="preserve">dampening </w:t>
      </w:r>
      <w:r w:rsidR="008A71BA">
        <w:t>potential</w:t>
      </w:r>
      <w:r w:rsidR="00454A8D">
        <w:t xml:space="preserve"> productivity gains </w:t>
      </w:r>
      <w:r w:rsidR="00530E50">
        <w:t>had</w:t>
      </w:r>
      <w:r w:rsidR="00454A8D">
        <w:t xml:space="preserve"> these ideas </w:t>
      </w:r>
      <w:r w:rsidR="00FC4D17">
        <w:t>c</w:t>
      </w:r>
      <w:r w:rsidR="00530E50">
        <w:t>o</w:t>
      </w:r>
      <w:r w:rsidR="00FC4D17">
        <w:t>me to fruition.</w:t>
      </w:r>
      <w:r w:rsidR="00971B9E">
        <w:t xml:space="preserve"> </w:t>
      </w:r>
    </w:p>
    <w:p w14:paraId="44FF39D9" w14:textId="04AEDE72" w:rsidR="00D7423F" w:rsidRDefault="00154CF6">
      <w:pPr>
        <w:pStyle w:val="BodyText"/>
      </w:pPr>
      <w:r>
        <w:t xml:space="preserve">The effects of </w:t>
      </w:r>
      <w:r w:rsidR="00E50AC5">
        <w:t>pandemic</w:t>
      </w:r>
      <w:r>
        <w:t xml:space="preserve"> are not isolated to </w:t>
      </w:r>
      <w:r w:rsidR="00E50AC5">
        <w:t>domestic consumption and production</w:t>
      </w:r>
      <w:r>
        <w:t>; c</w:t>
      </w:r>
      <w:r w:rsidR="00DD0E88">
        <w:t xml:space="preserve">ountries </w:t>
      </w:r>
      <w:r w:rsidR="00D85B81">
        <w:t>have significantly reduced international trade and travel</w:t>
      </w:r>
      <w:r w:rsidR="007432B5">
        <w:t xml:space="preserve">. </w:t>
      </w:r>
      <w:r w:rsidR="00646450">
        <w:t>Multinational vertical supply chains are under threat as transaction costs increase</w:t>
      </w:r>
      <w:r w:rsidR="00646450" w:rsidDel="00154CF6">
        <w:t xml:space="preserve"> </w:t>
      </w:r>
      <w:r w:rsidR="00A16305">
        <w:t>threatening accrued productivity gains</w:t>
      </w:r>
      <w:r w:rsidR="00646450">
        <w:t xml:space="preserve">. </w:t>
      </w:r>
      <w:r w:rsidR="00C94EEB">
        <w:t>I</w:t>
      </w:r>
      <w:r w:rsidR="00280F07">
        <w:t xml:space="preserve">n </w:t>
      </w:r>
      <w:r w:rsidR="00C94EEB">
        <w:t>response</w:t>
      </w:r>
      <w:r w:rsidR="009B43DB">
        <w:t>,</w:t>
      </w:r>
      <w:r w:rsidR="00C94EEB">
        <w:t xml:space="preserve"> c</w:t>
      </w:r>
      <w:r w:rsidR="0043354B">
        <w:t>ountries wil</w:t>
      </w:r>
      <w:r w:rsidR="004F7A63">
        <w:t xml:space="preserve">l likely </w:t>
      </w:r>
      <w:r w:rsidR="00280F07">
        <w:t>increase the diversification of their economies to become</w:t>
      </w:r>
      <w:r w:rsidR="00A41C04">
        <w:t xml:space="preserve"> more self-sustaining</w:t>
      </w:r>
      <w:r w:rsidR="00334E1E">
        <w:t>. While this</w:t>
      </w:r>
      <w:r w:rsidR="00756687">
        <w:t xml:space="preserve"> may </w:t>
      </w:r>
      <w:r w:rsidR="00D7423F">
        <w:t>improve</w:t>
      </w:r>
      <w:r w:rsidR="00756687">
        <w:t xml:space="preserve"> resilienc</w:t>
      </w:r>
      <w:r w:rsidR="00F372CB">
        <w:t>e</w:t>
      </w:r>
      <w:r w:rsidR="00756687">
        <w:t xml:space="preserve"> to future shocks</w:t>
      </w:r>
      <w:r w:rsidR="00280F07">
        <w:t>,</w:t>
      </w:r>
      <w:r w:rsidR="00756687">
        <w:t xml:space="preserve"> </w:t>
      </w:r>
      <w:r w:rsidR="00145CE9">
        <w:t>it</w:t>
      </w:r>
      <w:r w:rsidR="00756687">
        <w:t xml:space="preserve"> </w:t>
      </w:r>
      <w:r w:rsidR="00F372CB">
        <w:t>risks reducing</w:t>
      </w:r>
      <w:r w:rsidR="00E32874">
        <w:t xml:space="preserve"> competitive pressure and lower</w:t>
      </w:r>
      <w:r w:rsidR="009857E9">
        <w:t>ing</w:t>
      </w:r>
      <w:r w:rsidR="00E32874">
        <w:t xml:space="preserve"> the scale of production</w:t>
      </w:r>
      <w:r w:rsidR="00016726">
        <w:t xml:space="preserve"> </w:t>
      </w:r>
      <w:r w:rsidR="00370706">
        <w:t>(</w:t>
      </w:r>
      <w:r w:rsidR="00016726">
        <w:t>reduc</w:t>
      </w:r>
      <w:r w:rsidR="00E30711">
        <w:t>ing</w:t>
      </w:r>
      <w:r w:rsidR="00016726">
        <w:t xml:space="preserve"> the scope for specialisation</w:t>
      </w:r>
      <w:r w:rsidR="00370706">
        <w:t>)</w:t>
      </w:r>
      <w:r w:rsidR="00756687">
        <w:t xml:space="preserve">. </w:t>
      </w:r>
      <w:r w:rsidR="00695990">
        <w:t>Additionally</w:t>
      </w:r>
      <w:r w:rsidR="00B22A9C">
        <w:t>,</w:t>
      </w:r>
      <w:r w:rsidR="00695990">
        <w:t xml:space="preserve"> a</w:t>
      </w:r>
      <w:r w:rsidR="00BD3A4B">
        <w:t>s cross-border labour mobility is restricted</w:t>
      </w:r>
      <w:r w:rsidR="00031E8D">
        <w:t>,</w:t>
      </w:r>
      <w:r w:rsidR="00BD3A4B">
        <w:t xml:space="preserve"> c</w:t>
      </w:r>
      <w:r w:rsidR="0046231B">
        <w:t xml:space="preserve">ountries may </w:t>
      </w:r>
      <w:r w:rsidR="00DA1B8B">
        <w:t>find it difficult to meet</w:t>
      </w:r>
      <w:r w:rsidR="00443C74">
        <w:t xml:space="preserve"> some of their more specialised</w:t>
      </w:r>
      <w:r w:rsidR="00DA1B8B">
        <w:t xml:space="preserve"> labour </w:t>
      </w:r>
      <w:r w:rsidR="00443C74">
        <w:t>needs</w:t>
      </w:r>
      <w:r w:rsidR="00783726">
        <w:t>.</w:t>
      </w:r>
      <w:r w:rsidR="00D7423F">
        <w:t xml:space="preserve"> </w:t>
      </w:r>
    </w:p>
    <w:p w14:paraId="0E5B2236" w14:textId="3ABDEF1D" w:rsidR="004E5B3E" w:rsidRPr="00756687" w:rsidRDefault="00E14423" w:rsidP="00AC683F">
      <w:pPr>
        <w:pStyle w:val="BodyText"/>
      </w:pPr>
      <w:r>
        <w:t>COVID-19 represents a significant adjustment for the Australian economy</w:t>
      </w:r>
      <w:r w:rsidR="0021007B">
        <w:t xml:space="preserve">. There are positive and negative </w:t>
      </w:r>
      <w:r w:rsidR="0012763C">
        <w:t xml:space="preserve">effects </w:t>
      </w:r>
      <w:r w:rsidR="000306C7">
        <w:t>due to the</w:t>
      </w:r>
      <w:r w:rsidR="0012763C">
        <w:t xml:space="preserve"> </w:t>
      </w:r>
      <w:r w:rsidR="00781EC8">
        <w:t>reallocation of resources</w:t>
      </w:r>
      <w:r w:rsidR="0053781F">
        <w:t>;</w:t>
      </w:r>
      <w:r w:rsidR="0012763C">
        <w:t xml:space="preserve"> in aggregate </w:t>
      </w:r>
      <w:r w:rsidR="00781EC8">
        <w:t>how this effects productivity is unknown</w:t>
      </w:r>
      <w:r w:rsidR="0012763C">
        <w:t xml:space="preserve">. However, </w:t>
      </w:r>
      <w:r w:rsidR="00781EC8">
        <w:t xml:space="preserve">we do know that </w:t>
      </w:r>
      <w:r w:rsidR="00AB61D1">
        <w:t xml:space="preserve">facilitating adjustment will be essential to a fast recovery. </w:t>
      </w:r>
    </w:p>
    <w:p w14:paraId="593C2611" w14:textId="644A8050" w:rsidR="00DF44DB" w:rsidRDefault="009E07DF" w:rsidP="00E52540">
      <w:pPr>
        <w:pStyle w:val="Heading4"/>
      </w:pPr>
      <w:r>
        <w:t>Policy’s role in</w:t>
      </w:r>
      <w:r w:rsidR="00076888">
        <w:t xml:space="preserve"> </w:t>
      </w:r>
      <w:r w:rsidR="0053232C">
        <w:t>supporting the</w:t>
      </w:r>
      <w:r w:rsidR="00F00C3A">
        <w:t xml:space="preserve"> efficient</w:t>
      </w:r>
      <w:r w:rsidR="0053232C">
        <w:t xml:space="preserve"> reallocation of resources</w:t>
      </w:r>
    </w:p>
    <w:p w14:paraId="4EDAB655" w14:textId="1640AD65" w:rsidR="00B52A64" w:rsidRDefault="00B52A64" w:rsidP="006563BD">
      <w:pPr>
        <w:pStyle w:val="BodyText"/>
      </w:pPr>
      <w:r>
        <w:t>The COVID-19 pandemic has created significant uncertainty about the future shape and composition of the economy. The staggered lifting of restrictions, the potential for enduring changes in consumer preferences</w:t>
      </w:r>
      <w:r w:rsidR="002E33BA">
        <w:t xml:space="preserve"> and work </w:t>
      </w:r>
      <w:r w:rsidR="002E33BA" w:rsidDel="00DA4629">
        <w:t>patterns</w:t>
      </w:r>
      <w:r w:rsidR="00DA4629">
        <w:t xml:space="preserve"> and</w:t>
      </w:r>
      <w:r>
        <w:t xml:space="preserve"> shifts in global trade and investment mean that recovery is unlikely to restore the economy to its pre-COVID structure</w:t>
      </w:r>
      <w:r w:rsidR="006A1E12">
        <w:t>.</w:t>
      </w:r>
      <w:r w:rsidR="00E258BE">
        <w:t xml:space="preserve"> </w:t>
      </w:r>
    </w:p>
    <w:p w14:paraId="4C9A8709" w14:textId="027C57B6" w:rsidR="00B52A64" w:rsidRDefault="00262ADC" w:rsidP="006563BD">
      <w:pPr>
        <w:pStyle w:val="BodyText"/>
      </w:pPr>
      <w:r>
        <w:t xml:space="preserve">Amidst this uncertainty, </w:t>
      </w:r>
      <w:r w:rsidR="009F2207">
        <w:t xml:space="preserve">individuals and businesses will </w:t>
      </w:r>
      <w:r w:rsidR="008B4A13">
        <w:t>make decisions</w:t>
      </w:r>
      <w:r w:rsidR="00540337">
        <w:t xml:space="preserve"> about how to </w:t>
      </w:r>
      <w:r w:rsidR="00A21CF4">
        <w:t xml:space="preserve">best adjust </w:t>
      </w:r>
      <w:r w:rsidR="00B52A64">
        <w:t>to the temporary changes in the economic</w:t>
      </w:r>
      <w:r w:rsidR="00A21CF4">
        <w:t xml:space="preserve"> environment</w:t>
      </w:r>
      <w:r w:rsidR="001B0520">
        <w:t xml:space="preserve">. </w:t>
      </w:r>
      <w:r w:rsidR="00B52A64">
        <w:t xml:space="preserve">They will do this with information (subjective beliefs and the diffuse knowledge </w:t>
      </w:r>
      <w:r w:rsidR="009249ED">
        <w:t xml:space="preserve">which </w:t>
      </w:r>
      <w:r w:rsidR="00B52A64">
        <w:t xml:space="preserve">aggregates up into prices) </w:t>
      </w:r>
      <w:r w:rsidR="00997198">
        <w:t>that</w:t>
      </w:r>
      <w:r w:rsidR="00B52A64">
        <w:t xml:space="preserve">, although imperfect, is no worse than </w:t>
      </w:r>
      <w:r w:rsidR="00530E19">
        <w:t>—</w:t>
      </w:r>
      <w:r w:rsidR="00B52A64">
        <w:t xml:space="preserve"> and often better than </w:t>
      </w:r>
      <w:r w:rsidR="00530E19">
        <w:t>—</w:t>
      </w:r>
      <w:r w:rsidR="00B52A64">
        <w:t xml:space="preserve"> information available to policymakers.</w:t>
      </w:r>
      <w:r w:rsidR="001B0520">
        <w:t xml:space="preserve"> </w:t>
      </w:r>
    </w:p>
    <w:p w14:paraId="0D979BF1" w14:textId="38CF997C" w:rsidR="00B52A64" w:rsidRDefault="00DE40CB" w:rsidP="006563BD">
      <w:pPr>
        <w:pStyle w:val="BodyText"/>
      </w:pPr>
      <w:r>
        <w:t>Government</w:t>
      </w:r>
      <w:r w:rsidR="008E7773">
        <w:t>’</w:t>
      </w:r>
      <w:r>
        <w:t xml:space="preserve">s role </w:t>
      </w:r>
      <w:r w:rsidR="007F5C92">
        <w:t>is to</w:t>
      </w:r>
      <w:r>
        <w:t xml:space="preserve"> empower </w:t>
      </w:r>
      <w:r w:rsidR="007F5C92">
        <w:t>not impede individuals and businesses</w:t>
      </w:r>
      <w:r w:rsidR="00CB13A9">
        <w:t xml:space="preserve"> to make efficient</w:t>
      </w:r>
      <w:r w:rsidR="007F5C92">
        <w:t xml:space="preserve"> </w:t>
      </w:r>
      <w:r w:rsidR="00CB13A9">
        <w:t xml:space="preserve">allocations of </w:t>
      </w:r>
      <w:r w:rsidR="00B52A64">
        <w:t>inputs</w:t>
      </w:r>
      <w:r w:rsidR="007F5C92">
        <w:t xml:space="preserve">. </w:t>
      </w:r>
      <w:r w:rsidR="00B52A64">
        <w:t xml:space="preserve">This is an important principle even in times of relative macro-economic stability: an economy’s resources should be allocated to their highest value use. It is arguably even more important during a period of significant reallocation (such as in a recession and subsequent recovery) when the </w:t>
      </w:r>
      <w:r w:rsidR="00B52A64" w:rsidRPr="00A12721">
        <w:rPr>
          <w:i/>
        </w:rPr>
        <w:t>speed</w:t>
      </w:r>
      <w:r w:rsidR="00B52A64">
        <w:t xml:space="preserve"> and </w:t>
      </w:r>
      <w:r w:rsidR="00B52A64" w:rsidRPr="00A12721">
        <w:rPr>
          <w:i/>
        </w:rPr>
        <w:t>smoothness</w:t>
      </w:r>
      <w:r w:rsidR="00B52A64">
        <w:t xml:space="preserve"> of the adjustment is important as well as the </w:t>
      </w:r>
      <w:r w:rsidR="00B52A64" w:rsidRPr="00A12721">
        <w:rPr>
          <w:i/>
        </w:rPr>
        <w:t>direction</w:t>
      </w:r>
      <w:r w:rsidR="00B52A64">
        <w:t xml:space="preserve"> of the reallocation (i.e. towards a more efficient allocation of resources).</w:t>
      </w:r>
    </w:p>
    <w:p w14:paraId="0BEBC54D" w14:textId="7AD4867D" w:rsidR="004273BD" w:rsidRPr="00530E19" w:rsidRDefault="000A5645" w:rsidP="006563BD">
      <w:pPr>
        <w:pStyle w:val="BodyText"/>
        <w:rPr>
          <w:spacing w:val="-4"/>
        </w:rPr>
      </w:pPr>
      <w:r w:rsidRPr="00530E19">
        <w:rPr>
          <w:spacing w:val="-4"/>
        </w:rPr>
        <w:lastRenderedPageBreak/>
        <w:t xml:space="preserve">Legacy features of the Australian policy landscape </w:t>
      </w:r>
      <w:r w:rsidR="00E52540" w:rsidRPr="00530E19">
        <w:rPr>
          <w:spacing w:val="-4"/>
        </w:rPr>
        <w:t>may</w:t>
      </w:r>
      <w:r w:rsidRPr="00530E19">
        <w:rPr>
          <w:spacing w:val="-4"/>
        </w:rPr>
        <w:t xml:space="preserve">, unless reformed, inhibit the economy’s response to COVID-19. </w:t>
      </w:r>
      <w:r w:rsidR="00837581" w:rsidRPr="00530E19">
        <w:rPr>
          <w:spacing w:val="-4"/>
        </w:rPr>
        <w:t xml:space="preserve">For example, </w:t>
      </w:r>
      <w:r w:rsidR="006C6365" w:rsidRPr="00530E19">
        <w:rPr>
          <w:spacing w:val="-4"/>
        </w:rPr>
        <w:t xml:space="preserve">land use regulations </w:t>
      </w:r>
      <w:r w:rsidR="009032C7" w:rsidRPr="00530E19">
        <w:rPr>
          <w:spacing w:val="-4"/>
        </w:rPr>
        <w:t xml:space="preserve">inhibit </w:t>
      </w:r>
      <w:r w:rsidR="00663C14" w:rsidRPr="00530E19">
        <w:rPr>
          <w:spacing w:val="-4"/>
        </w:rPr>
        <w:t xml:space="preserve">movement of capital and labour for businesses and </w:t>
      </w:r>
      <w:r w:rsidR="008C3D3E" w:rsidRPr="00530E19">
        <w:rPr>
          <w:spacing w:val="-4"/>
        </w:rPr>
        <w:t xml:space="preserve">workers. </w:t>
      </w:r>
      <w:r w:rsidR="00CC1306" w:rsidRPr="00530E19">
        <w:rPr>
          <w:spacing w:val="-4"/>
        </w:rPr>
        <w:t xml:space="preserve">Additionally, </w:t>
      </w:r>
      <w:r w:rsidR="00C60C16" w:rsidRPr="00530E19">
        <w:rPr>
          <w:spacing w:val="-4"/>
        </w:rPr>
        <w:t>occupational licensing restrictions</w:t>
      </w:r>
      <w:r w:rsidR="00F77781" w:rsidRPr="00530E19">
        <w:rPr>
          <w:spacing w:val="-4"/>
        </w:rPr>
        <w:t>,</w:t>
      </w:r>
      <w:r w:rsidR="00C60C16" w:rsidRPr="00530E19">
        <w:rPr>
          <w:spacing w:val="-4"/>
        </w:rPr>
        <w:t xml:space="preserve"> </w:t>
      </w:r>
      <w:r w:rsidR="00213D80" w:rsidRPr="00530E19">
        <w:rPr>
          <w:spacing w:val="-4"/>
        </w:rPr>
        <w:t xml:space="preserve">while </w:t>
      </w:r>
      <w:r w:rsidR="00AC683F" w:rsidRPr="00530E19">
        <w:rPr>
          <w:spacing w:val="-4"/>
        </w:rPr>
        <w:t xml:space="preserve">sometimes </w:t>
      </w:r>
      <w:r w:rsidR="00213D80" w:rsidRPr="00530E19">
        <w:rPr>
          <w:spacing w:val="-4"/>
        </w:rPr>
        <w:t>necessary</w:t>
      </w:r>
      <w:r w:rsidRPr="00530E19">
        <w:rPr>
          <w:spacing w:val="-4"/>
        </w:rPr>
        <w:t>,</w:t>
      </w:r>
      <w:r w:rsidR="00213D80" w:rsidRPr="00530E19">
        <w:rPr>
          <w:spacing w:val="-4"/>
        </w:rPr>
        <w:t xml:space="preserve"> </w:t>
      </w:r>
      <w:r w:rsidR="00F92166" w:rsidRPr="00530E19">
        <w:rPr>
          <w:spacing w:val="-4"/>
        </w:rPr>
        <w:t>impose</w:t>
      </w:r>
      <w:r w:rsidR="00213D80" w:rsidRPr="00530E19">
        <w:rPr>
          <w:spacing w:val="-4"/>
        </w:rPr>
        <w:t xml:space="preserve"> </w:t>
      </w:r>
      <w:r w:rsidR="00C17037" w:rsidRPr="00530E19">
        <w:rPr>
          <w:spacing w:val="-4"/>
        </w:rPr>
        <w:t xml:space="preserve">a </w:t>
      </w:r>
      <w:r w:rsidR="007D7C84" w:rsidRPr="00530E19">
        <w:rPr>
          <w:spacing w:val="-4"/>
        </w:rPr>
        <w:t xml:space="preserve">transaction </w:t>
      </w:r>
      <w:r w:rsidR="001B0520" w:rsidRPr="00530E19">
        <w:rPr>
          <w:spacing w:val="-4"/>
        </w:rPr>
        <w:t>cost for</w:t>
      </w:r>
      <w:r w:rsidR="007D7C84" w:rsidRPr="00530E19">
        <w:rPr>
          <w:spacing w:val="-4"/>
        </w:rPr>
        <w:t xml:space="preserve"> workers </w:t>
      </w:r>
      <w:r w:rsidR="00627476" w:rsidRPr="00530E19">
        <w:rPr>
          <w:spacing w:val="-4"/>
        </w:rPr>
        <w:t xml:space="preserve">looking </w:t>
      </w:r>
      <w:r w:rsidR="008E7773" w:rsidRPr="00530E19">
        <w:rPr>
          <w:spacing w:val="-4"/>
        </w:rPr>
        <w:t xml:space="preserve">to </w:t>
      </w:r>
      <w:r w:rsidR="007E5FE1" w:rsidRPr="00530E19">
        <w:rPr>
          <w:spacing w:val="-4"/>
        </w:rPr>
        <w:t>change roles</w:t>
      </w:r>
      <w:r w:rsidR="00627476" w:rsidRPr="00530E19">
        <w:rPr>
          <w:spacing w:val="-4"/>
        </w:rPr>
        <w:t xml:space="preserve">. </w:t>
      </w:r>
      <w:r w:rsidR="00F77781" w:rsidRPr="00530E19">
        <w:rPr>
          <w:spacing w:val="-4"/>
        </w:rPr>
        <w:t>R</w:t>
      </w:r>
      <w:r w:rsidR="007E5FE1" w:rsidRPr="00530E19">
        <w:rPr>
          <w:spacing w:val="-4"/>
        </w:rPr>
        <w:t xml:space="preserve">egulatory barriers to business formation and expansion restrict the </w:t>
      </w:r>
      <w:r w:rsidR="0039144D" w:rsidRPr="00530E19">
        <w:rPr>
          <w:spacing w:val="-4"/>
        </w:rPr>
        <w:t xml:space="preserve">ability for </w:t>
      </w:r>
      <w:r w:rsidR="00F77781" w:rsidRPr="00530E19">
        <w:rPr>
          <w:spacing w:val="-4"/>
        </w:rPr>
        <w:t>companies</w:t>
      </w:r>
      <w:r w:rsidR="0039144D" w:rsidRPr="00530E19">
        <w:rPr>
          <w:spacing w:val="-4"/>
        </w:rPr>
        <w:t xml:space="preserve"> to expand into areas wh</w:t>
      </w:r>
      <w:r w:rsidR="002E2F0C" w:rsidRPr="00530E19">
        <w:rPr>
          <w:spacing w:val="-4"/>
        </w:rPr>
        <w:t>ich have received posi</w:t>
      </w:r>
      <w:r w:rsidR="003049A9" w:rsidRPr="00530E19">
        <w:rPr>
          <w:spacing w:val="-4"/>
        </w:rPr>
        <w:t>tive demand shocks due to COVID</w:t>
      </w:r>
      <w:r w:rsidR="003049A9" w:rsidRPr="00530E19">
        <w:rPr>
          <w:spacing w:val="-4"/>
        </w:rPr>
        <w:noBreakHyphen/>
      </w:r>
      <w:r w:rsidR="002E2F0C" w:rsidRPr="00530E19">
        <w:rPr>
          <w:spacing w:val="-4"/>
        </w:rPr>
        <w:t xml:space="preserve">19. </w:t>
      </w:r>
    </w:p>
    <w:p w14:paraId="76408FD0" w14:textId="7D3185B0" w:rsidR="00A514E1" w:rsidRDefault="00A514E1" w:rsidP="006563BD">
      <w:pPr>
        <w:pStyle w:val="BodyText"/>
      </w:pPr>
      <w:r>
        <w:t>In order to assess how the restrictiveness of our policy landscape will affect Australia’s ability to respond after a major shock, it is useful to take a historical perspective. Given that the last pandemic to affect Australia was in 1918, we review over a century of productivity evidence for insights to the current crisis.</w:t>
      </w:r>
    </w:p>
    <w:p w14:paraId="6EFCC7DA" w14:textId="37709FE5" w:rsidR="00375798" w:rsidRPr="004A75D3" w:rsidRDefault="00782BF3" w:rsidP="00375798">
      <w:pPr>
        <w:pStyle w:val="Heading2"/>
      </w:pPr>
      <w:bookmarkStart w:id="11" w:name="_Toc56080373"/>
      <w:r>
        <w:rPr>
          <w:noProof/>
        </w:rPr>
        <w:t>3</w:t>
      </w:r>
      <w:r w:rsidR="00375798">
        <w:tab/>
        <w:t>Working smarter not harder has been the key to Australia’s economic prosperity</w:t>
      </w:r>
      <w:bookmarkEnd w:id="11"/>
    </w:p>
    <w:p w14:paraId="728BEED4" w14:textId="30F118AB" w:rsidR="00375798" w:rsidRDefault="00375798" w:rsidP="00375798">
      <w:pPr>
        <w:pStyle w:val="Heading3"/>
        <w:spacing w:before="280"/>
      </w:pPr>
      <w:r>
        <w:t xml:space="preserve">What determines Australia’s material </w:t>
      </w:r>
      <w:r w:rsidR="00644F60">
        <w:t xml:space="preserve">living </w:t>
      </w:r>
      <w:r>
        <w:t>standards?</w:t>
      </w:r>
    </w:p>
    <w:p w14:paraId="7D5625EF" w14:textId="0081CA08" w:rsidR="00375798" w:rsidRPr="00530E19" w:rsidRDefault="00375798" w:rsidP="00375798">
      <w:pPr>
        <w:pStyle w:val="BodyText"/>
        <w:rPr>
          <w:spacing w:val="-2"/>
        </w:rPr>
      </w:pPr>
      <w:r w:rsidRPr="00530E19">
        <w:rPr>
          <w:spacing w:val="-2"/>
        </w:rPr>
        <w:t>Australia’s material living standards depend upon our ability to produce goods and services, and the price of our export products compared to the price of our imports (the ‘terms of trade’). Our ability to</w:t>
      </w:r>
      <w:r w:rsidRPr="00530E19" w:rsidDel="00FC2C92">
        <w:rPr>
          <w:spacing w:val="-2"/>
        </w:rPr>
        <w:t xml:space="preserve"> </w:t>
      </w:r>
      <w:r w:rsidRPr="00530E19">
        <w:rPr>
          <w:spacing w:val="-2"/>
        </w:rPr>
        <w:t>produce goods and services depends on our use of inputs (labour and capital) and how efficiently we use them (multifactor productivity). The terms of trade are driven by the prevailing prices on world markets and are largely out of the control of Australians. Labour input usage increases when more Australians</w:t>
      </w:r>
      <w:r w:rsidR="006F7821" w:rsidRPr="00530E19">
        <w:rPr>
          <w:spacing w:val="-2"/>
        </w:rPr>
        <w:t>:</w:t>
      </w:r>
      <w:r w:rsidRPr="00530E19">
        <w:rPr>
          <w:spacing w:val="-2"/>
        </w:rPr>
        <w:t xml:space="preserve"> are of working age (high ratio of young to the old and very young), participate in the labour force (high participation</w:t>
      </w:r>
      <w:r w:rsidR="005C0DFE" w:rsidRPr="00530E19">
        <w:rPr>
          <w:spacing w:val="-2"/>
        </w:rPr>
        <w:t> </w:t>
      </w:r>
      <w:r w:rsidRPr="00530E19">
        <w:rPr>
          <w:spacing w:val="-2"/>
        </w:rPr>
        <w:t xml:space="preserve">rate), find it easier to gain employment (low unemployment rate) and work more hours (high hours per employee). Australians can increase their use of capital in production by saving more (choosing to forgo spending their incomes today, to consume more tomorrow) or by </w:t>
      </w:r>
      <w:r w:rsidR="009857E9" w:rsidRPr="00530E19">
        <w:rPr>
          <w:spacing w:val="-2"/>
        </w:rPr>
        <w:t xml:space="preserve">accessing </w:t>
      </w:r>
      <w:r w:rsidRPr="00530E19">
        <w:rPr>
          <w:spacing w:val="-2"/>
        </w:rPr>
        <w:t>funds from overseas</w:t>
      </w:r>
      <w:r w:rsidR="009857E9" w:rsidRPr="00530E19">
        <w:rPr>
          <w:spacing w:val="-2"/>
        </w:rPr>
        <w:t>, via debt or equity</w:t>
      </w:r>
      <w:r w:rsidRPr="00530E19">
        <w:rPr>
          <w:spacing w:val="-2"/>
        </w:rPr>
        <w:t xml:space="preserve"> (foreign investment). </w:t>
      </w:r>
    </w:p>
    <w:p w14:paraId="6CFA49D1" w14:textId="5011A581" w:rsidR="00375798" w:rsidRPr="00530E19" w:rsidRDefault="00375798" w:rsidP="00375798">
      <w:pPr>
        <w:pStyle w:val="BodyText"/>
        <w:rPr>
          <w:spacing w:val="-2"/>
        </w:rPr>
      </w:pPr>
      <w:r w:rsidRPr="00530E19">
        <w:rPr>
          <w:spacing w:val="-2"/>
        </w:rPr>
        <w:t xml:space="preserve">Finally, </w:t>
      </w:r>
      <w:r w:rsidR="00464DFD" w:rsidRPr="00530E19">
        <w:rPr>
          <w:spacing w:val="-2"/>
        </w:rPr>
        <w:t xml:space="preserve">increases to </w:t>
      </w:r>
      <w:r w:rsidRPr="00530E19">
        <w:rPr>
          <w:spacing w:val="-2"/>
        </w:rPr>
        <w:t xml:space="preserve">multifactor productivity (MFP) originate from </w:t>
      </w:r>
      <w:r w:rsidR="002D1FC4" w:rsidRPr="00530E19">
        <w:rPr>
          <w:spacing w:val="-2"/>
        </w:rPr>
        <w:t>advancements</w:t>
      </w:r>
      <w:r w:rsidRPr="00530E19">
        <w:rPr>
          <w:spacing w:val="-2"/>
        </w:rPr>
        <w:t xml:space="preserve"> in technology (</w:t>
      </w:r>
      <w:r w:rsidR="00C65C06" w:rsidRPr="00530E19">
        <w:rPr>
          <w:spacing w:val="-2"/>
        </w:rPr>
        <w:t>for example</w:t>
      </w:r>
      <w:r w:rsidRPr="00530E19">
        <w:rPr>
          <w:spacing w:val="-2"/>
        </w:rPr>
        <w:t xml:space="preserve"> chainsaws replacing handsaws) or changes in business practices (for example, arrangement of workspaces, inventory management, online ordering, logistics). These MFP increases can come from </w:t>
      </w:r>
      <w:r w:rsidR="002D1FC4" w:rsidRPr="00530E19">
        <w:rPr>
          <w:spacing w:val="-2"/>
        </w:rPr>
        <w:t>innovations</w:t>
      </w:r>
      <w:r w:rsidR="00EF596D" w:rsidRPr="00530E19">
        <w:rPr>
          <w:spacing w:val="-2"/>
        </w:rPr>
        <w:t xml:space="preserve"> or changes in business practices</w:t>
      </w:r>
      <w:r w:rsidR="002D1FC4" w:rsidRPr="00530E19">
        <w:rPr>
          <w:spacing w:val="-2"/>
        </w:rPr>
        <w:t xml:space="preserve"> that</w:t>
      </w:r>
      <w:r w:rsidRPr="00530E19">
        <w:rPr>
          <w:spacing w:val="-2"/>
        </w:rPr>
        <w:t xml:space="preserve"> </w:t>
      </w:r>
      <w:r w:rsidR="00524FC5" w:rsidRPr="00530E19">
        <w:rPr>
          <w:spacing w:val="-2"/>
        </w:rPr>
        <w:t xml:space="preserve">originate </w:t>
      </w:r>
      <w:r w:rsidRPr="00530E19">
        <w:rPr>
          <w:spacing w:val="-2"/>
        </w:rPr>
        <w:t xml:space="preserve">in Australia, or they can be </w:t>
      </w:r>
      <w:r w:rsidR="00EF596D" w:rsidRPr="00530E19">
        <w:rPr>
          <w:spacing w:val="-2"/>
        </w:rPr>
        <w:t>adapted</w:t>
      </w:r>
      <w:r w:rsidRPr="00530E19">
        <w:rPr>
          <w:spacing w:val="-2"/>
        </w:rPr>
        <w:t xml:space="preserve"> from</w:t>
      </w:r>
      <w:r w:rsidR="00EF596D" w:rsidRPr="00530E19">
        <w:rPr>
          <w:spacing w:val="-2"/>
        </w:rPr>
        <w:t xml:space="preserve"> ideas originating</w:t>
      </w:r>
      <w:r w:rsidRPr="00530E19">
        <w:rPr>
          <w:spacing w:val="-2"/>
        </w:rPr>
        <w:t xml:space="preserve"> overseas. In standard growth theory, MFP drives further increases in capital </w:t>
      </w:r>
      <w:r w:rsidR="00F6267B" w:rsidRPr="00530E19">
        <w:rPr>
          <w:spacing w:val="-2"/>
        </w:rPr>
        <w:t>intensity</w:t>
      </w:r>
      <w:r w:rsidRPr="00530E19">
        <w:rPr>
          <w:spacing w:val="-2"/>
        </w:rPr>
        <w:t>.</w:t>
      </w:r>
      <w:r w:rsidRPr="00530E19">
        <w:rPr>
          <w:rStyle w:val="FootnoteReference"/>
          <w:spacing w:val="-2"/>
        </w:rPr>
        <w:footnoteReference w:id="6"/>
      </w:r>
      <w:r w:rsidRPr="00530E19">
        <w:rPr>
          <w:spacing w:val="-2"/>
        </w:rPr>
        <w:t xml:space="preserve"> Figure 5 </w:t>
      </w:r>
      <w:r w:rsidR="00C65C06" w:rsidRPr="00530E19">
        <w:rPr>
          <w:spacing w:val="-2"/>
        </w:rPr>
        <w:t xml:space="preserve">summarises </w:t>
      </w:r>
      <w:r w:rsidRPr="00530E19">
        <w:rPr>
          <w:spacing w:val="-2"/>
        </w:rPr>
        <w:t xml:space="preserve">the components that contribute to Australian economic growth. </w:t>
      </w:r>
    </w:p>
    <w:p w14:paraId="47DCF9A2" w14:textId="77777777" w:rsidR="00B20A9E" w:rsidRDefault="00375798" w:rsidP="00375798">
      <w:pPr>
        <w:pStyle w:val="BodyText"/>
      </w:pPr>
      <w:r>
        <w:t xml:space="preserve">Although labour and capital utilisation play a key role in ensuring Australia’s economic prosperity, </w:t>
      </w:r>
      <w:r w:rsidRPr="000D76DB">
        <w:t xml:space="preserve">they are ultimately exhaustible </w:t>
      </w:r>
      <w:r w:rsidR="008310D7">
        <w:t>sou</w:t>
      </w:r>
      <w:r>
        <w:t>rces of growth</w:t>
      </w:r>
      <w:r w:rsidR="00D45758">
        <w:t xml:space="preserve"> </w:t>
      </w:r>
      <w:r w:rsidR="00D45758" w:rsidRPr="000D76DB">
        <w:t>(</w:t>
      </w:r>
      <w:r w:rsidR="00D45758" w:rsidRPr="008310D7">
        <w:t xml:space="preserve">if </w:t>
      </w:r>
      <w:r w:rsidR="0082730A" w:rsidRPr="008310D7">
        <w:t>population</w:t>
      </w:r>
      <w:r w:rsidR="0082730A" w:rsidRPr="00DC2C05">
        <w:t xml:space="preserve"> </w:t>
      </w:r>
      <w:r w:rsidR="00D45758">
        <w:t>growth</w:t>
      </w:r>
      <w:r w:rsidR="00D45758" w:rsidRPr="008310D7">
        <w:t xml:space="preserve"> </w:t>
      </w:r>
      <w:r w:rsidR="0082730A" w:rsidRPr="008310D7">
        <w:t xml:space="preserve">and </w:t>
      </w:r>
      <w:r w:rsidR="0082730A" w:rsidRPr="008310D7">
        <w:lastRenderedPageBreak/>
        <w:t>technology</w:t>
      </w:r>
      <w:r w:rsidR="0006048D">
        <w:t xml:space="preserve"> are</w:t>
      </w:r>
      <w:r w:rsidR="0082730A" w:rsidRPr="008310D7">
        <w:t xml:space="preserve"> constant</w:t>
      </w:r>
      <w:r w:rsidR="00D45758" w:rsidRPr="001C3BA4">
        <w:t>)</w:t>
      </w:r>
      <w:r>
        <w:t xml:space="preserve">. That is, there is an upper limit to how many Australians can participate in the workforce, </w:t>
      </w:r>
      <w:r w:rsidR="000D76DB">
        <w:t>how</w:t>
      </w:r>
      <w:r>
        <w:t xml:space="preserve"> many hours they can work and </w:t>
      </w:r>
      <w:r w:rsidR="001F2838">
        <w:t>how much they</w:t>
      </w:r>
      <w:r>
        <w:t xml:space="preserve"> can save or borrow from overseas to fund capital accumulation. Ultimately, once capital and labour are already being highly utilised, further per capita economic growth </w:t>
      </w:r>
      <w:r w:rsidR="00890DBC">
        <w:t xml:space="preserve">must be </w:t>
      </w:r>
      <w:r>
        <w:t xml:space="preserve">driven by growth in </w:t>
      </w:r>
      <w:r w:rsidR="00D45758">
        <w:t>MFP</w:t>
      </w:r>
      <w:r>
        <w:t xml:space="preserve">. </w:t>
      </w:r>
    </w:p>
    <w:p w14:paraId="7C67154B" w14:textId="4F60BAAA" w:rsidR="004E0157" w:rsidRDefault="00375798" w:rsidP="00375798">
      <w:pPr>
        <w:pStyle w:val="BodyText"/>
      </w:pPr>
      <w:r>
        <w:t xml:space="preserve">This </w:t>
      </w:r>
      <w:r w:rsidR="00D45758">
        <w:t>growth in MFP then drives increases in capital</w:t>
      </w:r>
      <w:r w:rsidR="00D45758">
        <w:noBreakHyphen/>
        <w:t xml:space="preserve">deepening that further propels growth. </w:t>
      </w:r>
    </w:p>
    <w:p w14:paraId="5D1F4190" w14:textId="23A89CD8" w:rsidR="004E0157" w:rsidRDefault="004E0157" w:rsidP="00375798">
      <w:pPr>
        <w:pStyle w:val="BodyText"/>
      </w:pPr>
      <w:r>
        <w:t>For many purposes, it is useful to discuss productivity in terms of the amount of production per hour worked (‘labour productivity’). These productivity increases are driven by the combination of capital</w:t>
      </w:r>
      <w:r>
        <w:noBreakHyphen/>
        <w:t xml:space="preserve">deepening (increasing the ratio of capital to labour) and MFP. </w:t>
      </w:r>
    </w:p>
    <w:p w14:paraId="3C5AF132" w14:textId="3C7EE8A4" w:rsidR="00375798" w:rsidRPr="00530E19" w:rsidRDefault="004E0157" w:rsidP="005C0DFE">
      <w:pPr>
        <w:pStyle w:val="BodyText"/>
        <w:rPr>
          <w:spacing w:val="-2"/>
        </w:rPr>
      </w:pPr>
      <w:r w:rsidRPr="00530E19">
        <w:rPr>
          <w:spacing w:val="-2"/>
        </w:rPr>
        <w:t xml:space="preserve">These </w:t>
      </w:r>
      <w:r w:rsidR="00375798" w:rsidRPr="00530E19">
        <w:rPr>
          <w:spacing w:val="-2"/>
        </w:rPr>
        <w:t>observation</w:t>
      </w:r>
      <w:r w:rsidRPr="00530E19">
        <w:rPr>
          <w:spacing w:val="-2"/>
        </w:rPr>
        <w:t>s</w:t>
      </w:r>
      <w:r w:rsidR="00375798" w:rsidRPr="00530E19">
        <w:rPr>
          <w:spacing w:val="-2"/>
        </w:rPr>
        <w:t xml:space="preserve"> also </w:t>
      </w:r>
      <w:r w:rsidRPr="00530E19">
        <w:rPr>
          <w:spacing w:val="-2"/>
        </w:rPr>
        <w:t>have</w:t>
      </w:r>
      <w:r w:rsidR="00375798" w:rsidRPr="00530E19">
        <w:rPr>
          <w:spacing w:val="-2"/>
        </w:rPr>
        <w:t xml:space="preserve"> policy implications. Demand stabilisation (or ‘cyclical policy’) plays a key role in ensuring labour and capital are being utilised in the short term. For this reason, it is desirable for governments </w:t>
      </w:r>
      <w:r w:rsidR="002246FA" w:rsidRPr="00530E19">
        <w:rPr>
          <w:spacing w:val="-2"/>
        </w:rPr>
        <w:t>and central banks</w:t>
      </w:r>
      <w:r w:rsidR="00375798" w:rsidRPr="00530E19">
        <w:rPr>
          <w:spacing w:val="-2"/>
        </w:rPr>
        <w:t xml:space="preserve"> to use monetary and fiscal policy to raise investment and lower unemployment in response to</w:t>
      </w:r>
      <w:r w:rsidR="00A514E1" w:rsidRPr="00530E19">
        <w:rPr>
          <w:spacing w:val="-2"/>
        </w:rPr>
        <w:t xml:space="preserve"> a negative</w:t>
      </w:r>
      <w:r w:rsidR="00375798" w:rsidRPr="00530E19">
        <w:rPr>
          <w:spacing w:val="-2"/>
        </w:rPr>
        <w:t xml:space="preserve"> economic shock. And in the medium term, policies that support participation in the workforce and encourage efficient investment facilitate economic growth. This might include removing</w:t>
      </w:r>
      <w:r w:rsidR="00681C2C" w:rsidRPr="00530E19">
        <w:rPr>
          <w:spacing w:val="-2"/>
        </w:rPr>
        <w:t xml:space="preserve"> </w:t>
      </w:r>
      <w:r w:rsidR="00375798" w:rsidRPr="00530E19">
        <w:rPr>
          <w:spacing w:val="-2"/>
        </w:rPr>
        <w:t>regulations that distort investment or lower labour force participation. However, in the long term, if labour and capital are already being utilised, policy can only affect growth through enabling productivity gains. Indeed, over a long horizon,</w:t>
      </w:r>
      <w:r w:rsidR="00A514E1" w:rsidRPr="00530E19">
        <w:rPr>
          <w:spacing w:val="-2"/>
        </w:rPr>
        <w:t xml:space="preserve"> almost</w:t>
      </w:r>
      <w:r w:rsidR="00375798" w:rsidRPr="00530E19">
        <w:rPr>
          <w:spacing w:val="-2"/>
        </w:rPr>
        <w:t xml:space="preserve"> all of Australia’s growth in GDP per capita is attributable to </w:t>
      </w:r>
      <w:r w:rsidR="00D45758" w:rsidRPr="00530E19">
        <w:rPr>
          <w:spacing w:val="-2"/>
        </w:rPr>
        <w:t>labour</w:t>
      </w:r>
      <w:r w:rsidR="00375798" w:rsidRPr="00530E19">
        <w:rPr>
          <w:spacing w:val="-2"/>
        </w:rPr>
        <w:t xml:space="preserve"> productivity growth</w:t>
      </w:r>
      <w:r w:rsidRPr="00530E19">
        <w:rPr>
          <w:spacing w:val="-2"/>
        </w:rPr>
        <w:t xml:space="preserve"> (the combination of capital</w:t>
      </w:r>
      <w:r w:rsidRPr="00530E19">
        <w:rPr>
          <w:spacing w:val="-2"/>
        </w:rPr>
        <w:noBreakHyphen/>
        <w:t>deepening and MFP)</w:t>
      </w:r>
      <w:r w:rsidR="00375798" w:rsidRPr="00530E19">
        <w:rPr>
          <w:spacing w:val="-2"/>
        </w:rPr>
        <w:t xml:space="preserve">. </w:t>
      </w:r>
    </w:p>
    <w:p w14:paraId="7FB4DC95" w14:textId="4D29FDE5" w:rsidR="00375798" w:rsidRDefault="00375798" w:rsidP="0037579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5798" w14:paraId="57043523" w14:textId="77777777" w:rsidTr="29E7BBAE">
        <w:trPr>
          <w:tblHeader/>
        </w:trPr>
        <w:tc>
          <w:tcPr>
            <w:tcW w:w="5000" w:type="pct"/>
            <w:tcBorders>
              <w:top w:val="single" w:sz="6" w:space="0" w:color="78A22F" w:themeColor="accent1"/>
              <w:left w:val="nil"/>
              <w:bottom w:val="nil"/>
              <w:right w:val="nil"/>
            </w:tcBorders>
            <w:shd w:val="clear" w:color="auto" w:fill="auto"/>
          </w:tcPr>
          <w:p w14:paraId="587F3FE1" w14:textId="489BFA3F" w:rsidR="00375798" w:rsidRPr="0023363B" w:rsidRDefault="00375798" w:rsidP="00A83F90">
            <w:pPr>
              <w:pStyle w:val="FigureTitle"/>
              <w:rPr>
                <w:sz w:val="24"/>
                <w:szCs w:val="24"/>
              </w:rPr>
            </w:pPr>
            <w:r w:rsidRPr="0023363B">
              <w:rPr>
                <w:b w:val="0"/>
                <w:sz w:val="24"/>
                <w:szCs w:val="24"/>
              </w:rPr>
              <w:t>Figure 5</w:t>
            </w:r>
            <w:r w:rsidRPr="0023363B">
              <w:rPr>
                <w:sz w:val="24"/>
                <w:szCs w:val="24"/>
              </w:rPr>
              <w:tab/>
              <w:t>Determinants of Australia material living standards</w:t>
            </w:r>
          </w:p>
          <w:p w14:paraId="24C28F67" w14:textId="77777777" w:rsidR="00375798" w:rsidRPr="00176D3F" w:rsidRDefault="00375798" w:rsidP="00A83F90">
            <w:pPr>
              <w:pStyle w:val="Subtitle"/>
            </w:pPr>
            <w:r>
              <w:t>Contributors to material living standards</w:t>
            </w:r>
            <w:r>
              <w:rPr>
                <w:rStyle w:val="NoteLabel"/>
              </w:rPr>
              <w:t>a</w:t>
            </w:r>
          </w:p>
        </w:tc>
      </w:tr>
      <w:tr w:rsidR="00375798" w14:paraId="42982287"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75798" w:rsidRPr="00B1465D" w14:paraId="1BC14B15" w14:textId="77777777" w:rsidTr="29E7BBAE">
              <w:trPr>
                <w:tblHeader/>
                <w:jc w:val="center"/>
              </w:trPr>
              <w:tc>
                <w:tcPr>
                  <w:tcW w:w="5000" w:type="pct"/>
                  <w:tcBorders>
                    <w:top w:val="nil"/>
                    <w:bottom w:val="nil"/>
                  </w:tcBorders>
                </w:tcPr>
                <w:p w14:paraId="57776DEF" w14:textId="3B006D6B" w:rsidR="00375798" w:rsidRPr="00B1465D" w:rsidRDefault="00437B98" w:rsidP="00530E19">
                  <w:pPr>
                    <w:pStyle w:val="Figure"/>
                    <w:spacing w:before="0" w:after="60"/>
                    <w:rPr>
                      <w:rFonts w:ascii="Arial" w:hAnsi="Arial" w:cs="Arial"/>
                      <w:sz w:val="18"/>
                      <w:szCs w:val="18"/>
                    </w:rPr>
                  </w:pPr>
                  <w:r w:rsidRPr="00437B98">
                    <w:rPr>
                      <w:noProof/>
                      <w:szCs w:val="24"/>
                    </w:rPr>
                    <w:drawing>
                      <wp:inline distT="0" distB="0" distL="0" distR="0" wp14:anchorId="5238225B" wp14:editId="50601313">
                        <wp:extent cx="5399405" cy="3040522"/>
                        <wp:effectExtent l="0" t="0" r="0" b="0"/>
                        <wp:docPr id="39" name="Picture 1" descr="This figure displays the contribution to Australian material living standards measured in gross national income. The figure demonstrates that material living standards are made up of our ability to produce goods and services and the terms of trade which is determined by world prices. Our ability to produce goods and services is determined by a combination of multifactor productivity, labour, and capital. Multifactor productivity is comprised of new technology and business practices. Labour is a combination of the age profile of the population, the participate rate in the labour force, hours worked per employee and the unemployment rate. Finally, capital is created by domestic savings and borrowing from abroad. ">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7ECDE7-091A-4D3C-A256-91A64E0423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This figure displays the contribution to Australian material living standards measured in gross national income. The figure demonstrates that material living standards are made up of our ability to produce goods and services and the terms of trade which is determined by world prices. Our ability to produce goods and services is determined by a combination of multifactor productivity, labour, and capital. Multifactor productivity is comprised of new technology and business practices. Labour is a combination of the age profile of the population, the participate rate in the labour force, hours worked per employee and the unemployment rate. Finally, capital is created by domestic savings and borrowing from abroad. ">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7ECDE7-091A-4D3C-A256-91A64E042356}"/>
                                    </a:ext>
                                  </a:extLst>
                                </pic:cNvPr>
                                <pic:cNvPicPr>
                                  <a:picLocks noChangeAspect="1"/>
                                </pic:cNvPicPr>
                              </pic:nvPicPr>
                              <pic:blipFill rotWithShape="1">
                                <a:blip r:embed="rId27"/>
                                <a:srcRect l="15393" t="1327" r="3846" b="24305"/>
                                <a:stretch/>
                              </pic:blipFill>
                              <pic:spPr bwMode="auto">
                                <a:xfrm>
                                  <a:off x="0" y="0"/>
                                  <a:ext cx="5400000" cy="30408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6A35A0" w14:textId="77777777" w:rsidR="00375798" w:rsidRDefault="00375798" w:rsidP="00A83F90">
            <w:pPr>
              <w:pStyle w:val="Figure"/>
            </w:pPr>
          </w:p>
        </w:tc>
      </w:tr>
      <w:tr w:rsidR="00375798" w:rsidRPr="00176D3F" w14:paraId="55C93C04" w14:textId="77777777" w:rsidTr="29E7BBAE">
        <w:tc>
          <w:tcPr>
            <w:tcW w:w="5000" w:type="pct"/>
            <w:tcBorders>
              <w:top w:val="nil"/>
              <w:left w:val="nil"/>
              <w:bottom w:val="nil"/>
              <w:right w:val="nil"/>
            </w:tcBorders>
            <w:shd w:val="clear" w:color="auto" w:fill="auto"/>
          </w:tcPr>
          <w:p w14:paraId="617161FE" w14:textId="0FAA8BE7" w:rsidR="00375798" w:rsidRPr="00176D3F" w:rsidRDefault="00375798" w:rsidP="00524FC5">
            <w:pPr>
              <w:pStyle w:val="Note"/>
            </w:pPr>
            <w:r>
              <w:rPr>
                <w:rStyle w:val="NoteLabel"/>
              </w:rPr>
              <w:t>a</w:t>
            </w:r>
            <w:r>
              <w:t xml:space="preserve"> Where material living standards are measured by Gross Domestic Income. Alternative measures, such as Net National </w:t>
            </w:r>
            <w:r w:rsidR="00524FC5">
              <w:t>Income or</w:t>
            </w:r>
            <w:r>
              <w:t xml:space="preserve"> Gross National Income would require consideration of net foreign borrowing and depreciation of assets. </w:t>
            </w:r>
          </w:p>
        </w:tc>
      </w:tr>
      <w:tr w:rsidR="00375798" w14:paraId="21051324" w14:textId="77777777" w:rsidTr="29E7BBAE">
        <w:tc>
          <w:tcPr>
            <w:tcW w:w="5000" w:type="pct"/>
            <w:tcBorders>
              <w:top w:val="nil"/>
              <w:left w:val="nil"/>
              <w:bottom w:val="single" w:sz="6" w:space="0" w:color="78A22F" w:themeColor="accent1"/>
              <w:right w:val="nil"/>
            </w:tcBorders>
            <w:shd w:val="clear" w:color="auto" w:fill="auto"/>
          </w:tcPr>
          <w:p w14:paraId="24105121" w14:textId="77777777" w:rsidR="00375798" w:rsidRDefault="00375798" w:rsidP="00A83F90">
            <w:pPr>
              <w:pStyle w:val="Figurespace"/>
            </w:pPr>
          </w:p>
        </w:tc>
      </w:tr>
      <w:tr w:rsidR="00375798" w:rsidRPr="000863A5" w14:paraId="7BB4A052" w14:textId="77777777" w:rsidTr="29E7BBAE">
        <w:trPr>
          <w:trHeight w:val="65"/>
        </w:trPr>
        <w:tc>
          <w:tcPr>
            <w:tcW w:w="5000" w:type="pct"/>
            <w:tcBorders>
              <w:top w:val="single" w:sz="6" w:space="0" w:color="78A22F" w:themeColor="accent1"/>
              <w:left w:val="nil"/>
              <w:bottom w:val="nil"/>
              <w:right w:val="nil"/>
            </w:tcBorders>
          </w:tcPr>
          <w:p w14:paraId="5ABC0FBD" w14:textId="5EFE0904" w:rsidR="00375798" w:rsidRPr="00626D32" w:rsidRDefault="00375798" w:rsidP="00A83F90">
            <w:pPr>
              <w:pStyle w:val="BoxSpaceBelow"/>
            </w:pPr>
          </w:p>
        </w:tc>
      </w:tr>
    </w:tbl>
    <w:p w14:paraId="5B7761BF" w14:textId="4BD01B83" w:rsidR="00375798" w:rsidRPr="00256048" w:rsidRDefault="00375798" w:rsidP="00375798">
      <w:pPr>
        <w:pStyle w:val="Heading3"/>
      </w:pPr>
      <w:r>
        <w:t xml:space="preserve">Almost all of Australia’s growth in material living standards is due to </w:t>
      </w:r>
      <w:r w:rsidR="006477BA">
        <w:t xml:space="preserve">labour </w:t>
      </w:r>
      <w:r>
        <w:t>productivity growth</w:t>
      </w:r>
    </w:p>
    <w:p w14:paraId="0DEDD540" w14:textId="6EC3E824" w:rsidR="00375798" w:rsidRDefault="00524FC5" w:rsidP="00375798">
      <w:pPr>
        <w:pStyle w:val="BodyText"/>
      </w:pPr>
      <w:r>
        <w:t>Since Federation, a</w:t>
      </w:r>
      <w:r w:rsidR="00375798">
        <w:t xml:space="preserve">lmost all of Australia’s GDP per capita increases are attributable to </w:t>
      </w:r>
      <w:r w:rsidR="006477BA">
        <w:t xml:space="preserve">labour </w:t>
      </w:r>
      <w:r w:rsidR="00375798">
        <w:t>productivity growth (</w:t>
      </w:r>
      <w:r w:rsidR="006477BA">
        <w:t>the combination of MFP and capital</w:t>
      </w:r>
      <w:r w:rsidR="00991AF9">
        <w:noBreakHyphen/>
      </w:r>
      <w:r w:rsidR="003C7A55">
        <w:t>deepening</w:t>
      </w:r>
      <w:r w:rsidR="00375798">
        <w:t>), with terms of trade changes accounting for only a small portion and labour utilisation</w:t>
      </w:r>
      <w:r>
        <w:t xml:space="preserve"> </w:t>
      </w:r>
      <w:r w:rsidR="00375798">
        <w:t xml:space="preserve">slightly </w:t>
      </w:r>
      <w:r w:rsidR="002B503E">
        <w:t>dampening</w:t>
      </w:r>
      <w:r w:rsidR="00375798">
        <w:t xml:space="preserve"> growth</w:t>
      </w:r>
      <w:r w:rsidR="006477BA">
        <w:t xml:space="preserve"> (figure 6)</w:t>
      </w:r>
      <w:r w:rsidR="00375798">
        <w:t xml:space="preserve">. Two thirds of these </w:t>
      </w:r>
      <w:r w:rsidR="00991AF9">
        <w:t>labour</w:t>
      </w:r>
      <w:r w:rsidR="00375798">
        <w:t xml:space="preserve"> productivity gains have come from MFP increases with the remainder being due to capital-deepening (increasing the ratio of capital to labour). </w:t>
      </w:r>
    </w:p>
    <w:p w14:paraId="1166CEC2" w14:textId="52ACBB97" w:rsidR="00375798" w:rsidRDefault="00375798" w:rsidP="0037579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5798" w14:paraId="1F16040F" w14:textId="77777777" w:rsidTr="29E7BBAE">
        <w:trPr>
          <w:tblHeader/>
        </w:trPr>
        <w:tc>
          <w:tcPr>
            <w:tcW w:w="5000" w:type="pct"/>
            <w:tcBorders>
              <w:top w:val="single" w:sz="6" w:space="0" w:color="78A22F" w:themeColor="accent1"/>
              <w:left w:val="nil"/>
              <w:bottom w:val="nil"/>
              <w:right w:val="nil"/>
            </w:tcBorders>
            <w:shd w:val="clear" w:color="auto" w:fill="auto"/>
          </w:tcPr>
          <w:p w14:paraId="301694B0" w14:textId="6B056969" w:rsidR="00375798" w:rsidRPr="0023363B" w:rsidRDefault="00375798" w:rsidP="00A83F90">
            <w:pPr>
              <w:pStyle w:val="FigureTitle"/>
              <w:rPr>
                <w:sz w:val="24"/>
                <w:szCs w:val="24"/>
              </w:rPr>
            </w:pPr>
            <w:r w:rsidRPr="0023363B">
              <w:rPr>
                <w:b w:val="0"/>
                <w:sz w:val="24"/>
                <w:szCs w:val="24"/>
              </w:rPr>
              <w:t>Figure 6</w:t>
            </w:r>
            <w:r w:rsidRPr="0023363B">
              <w:rPr>
                <w:sz w:val="24"/>
                <w:szCs w:val="24"/>
              </w:rPr>
              <w:tab/>
              <w:t>Productivity explains the majority of GDP per capita growth since Federation</w:t>
            </w:r>
          </w:p>
          <w:p w14:paraId="6D52DDDB" w14:textId="77777777" w:rsidR="00375798" w:rsidRPr="00176D3F" w:rsidRDefault="00375798" w:rsidP="00A83F90">
            <w:pPr>
              <w:pStyle w:val="Subtitle"/>
            </w:pPr>
            <w:r>
              <w:t>GDP per capita (2010 USD) per week</w:t>
            </w:r>
            <w:r w:rsidRPr="00D20B87">
              <w:rPr>
                <w:rStyle w:val="NoteLabel"/>
              </w:rPr>
              <w:t>a</w:t>
            </w:r>
            <w:r>
              <w:t xml:space="preserve"> in 1901 and 2016 (quoted in 2010 USD), and the dollar contributions due to price effects</w:t>
            </w:r>
            <w:r>
              <w:rPr>
                <w:rStyle w:val="NoteLabel"/>
              </w:rPr>
              <w:t>b</w:t>
            </w:r>
            <w:r w:rsidRPr="006563BD">
              <w:t>,</w:t>
            </w:r>
            <w:r>
              <w:t xml:space="preserve"> labour utilisation</w:t>
            </w:r>
            <w:r>
              <w:rPr>
                <w:rStyle w:val="NoteLabel"/>
              </w:rPr>
              <w:t>c</w:t>
            </w:r>
            <w:r w:rsidRPr="006563BD">
              <w:t>,</w:t>
            </w:r>
            <w:r>
              <w:t xml:space="preserve"> capital deepening</w:t>
            </w:r>
            <w:r>
              <w:rPr>
                <w:rStyle w:val="NoteLabel"/>
              </w:rPr>
              <w:t>d</w:t>
            </w:r>
            <w:r>
              <w:t xml:space="preserve"> and MFP</w:t>
            </w:r>
          </w:p>
        </w:tc>
      </w:tr>
      <w:tr w:rsidR="00436416" w14:paraId="33D676E1" w14:textId="77777777" w:rsidTr="29E7BBAE">
        <w:tc>
          <w:tcPr>
            <w:tcW w:w="5000" w:type="pct"/>
            <w:tcBorders>
              <w:top w:val="nil"/>
              <w:left w:val="nil"/>
              <w:bottom w:val="nil"/>
              <w:right w:val="nil"/>
            </w:tcBorders>
            <w:shd w:val="clear" w:color="auto" w:fill="auto"/>
            <w:tcMar>
              <w:top w:w="28" w:type="dxa"/>
              <w:bottom w:w="28" w:type="dxa"/>
            </w:tcMar>
          </w:tcPr>
          <w:p w14:paraId="0287EE88" w14:textId="40ECEFB3" w:rsidR="00436416" w:rsidRDefault="009B293C" w:rsidP="00A83F90">
            <w:pPr>
              <w:pStyle w:val="Figure"/>
              <w:spacing w:before="60" w:after="60"/>
              <w:rPr>
                <w:noProof/>
              </w:rPr>
            </w:pPr>
            <w:r w:rsidRPr="009B293C">
              <w:rPr>
                <w:noProof/>
              </w:rPr>
              <w:drawing>
                <wp:inline distT="0" distB="0" distL="0" distR="0" wp14:anchorId="0E9C1159" wp14:editId="707B2FFD">
                  <wp:extent cx="5574030" cy="2703195"/>
                  <wp:effectExtent l="0" t="0" r="7620" b="1905"/>
                  <wp:docPr id="36" name="Picture 36" descr="This chart displays the weekly GDP per capita in 1901 and 2016 (quoted in 2010 USD). Weekly GDP per capita in 1901 was 111 and 861 in 2016. The growth in GDP per capita over this period is separated into contributions from multifactor productivity (+503), capital deepening (+259), labour utilisation (-50) and price effects (+3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4030" cy="2703195"/>
                          </a:xfrm>
                          <a:prstGeom prst="rect">
                            <a:avLst/>
                          </a:prstGeom>
                          <a:noFill/>
                          <a:ln>
                            <a:noFill/>
                          </a:ln>
                        </pic:spPr>
                      </pic:pic>
                    </a:graphicData>
                  </a:graphic>
                </wp:inline>
              </w:drawing>
            </w:r>
          </w:p>
        </w:tc>
      </w:tr>
      <w:tr w:rsidR="00375798" w:rsidRPr="00176D3F" w14:paraId="4879BD7E" w14:textId="77777777" w:rsidTr="29E7BBAE">
        <w:tc>
          <w:tcPr>
            <w:tcW w:w="5000" w:type="pct"/>
            <w:tcBorders>
              <w:top w:val="nil"/>
              <w:left w:val="nil"/>
              <w:bottom w:val="nil"/>
              <w:right w:val="nil"/>
            </w:tcBorders>
            <w:shd w:val="clear" w:color="auto" w:fill="auto"/>
          </w:tcPr>
          <w:p w14:paraId="62FABEE2" w14:textId="5B22BF61" w:rsidR="00375798" w:rsidRPr="00176D3F" w:rsidRDefault="00375798" w:rsidP="0011406E">
            <w:pPr>
              <w:pStyle w:val="Note"/>
            </w:pPr>
            <w:r>
              <w:rPr>
                <w:rStyle w:val="NoteLabel"/>
              </w:rPr>
              <w:t xml:space="preserve">a </w:t>
            </w:r>
            <w:r w:rsidRPr="00D20B87">
              <w:t>GDP per capita is quoted in weekly terms for tractability.</w:t>
            </w:r>
            <w:r>
              <w:rPr>
                <w:rStyle w:val="NoteLabel"/>
              </w:rPr>
              <w:t xml:space="preserve"> b</w:t>
            </w:r>
            <w:r>
              <w:t xml:space="preserve"> Price effects are the portion of growth in real GDP </w:t>
            </w:r>
            <w:r w:rsidR="00F319DC">
              <w:t>(</w:t>
            </w:r>
            <w:r>
              <w:t xml:space="preserve">when converted using current </w:t>
            </w:r>
            <w:r w:rsidR="0011406E">
              <w:t>purchasing power parity (</w:t>
            </w:r>
            <w:r>
              <w:t>PPP</w:t>
            </w:r>
            <w:r w:rsidR="0011406E">
              <w:t>)</w:t>
            </w:r>
            <w:r w:rsidR="00F319DC">
              <w:t>)</w:t>
            </w:r>
            <w:r>
              <w:t xml:space="preserve"> that is not explained by growth in real GDP (when converted using constant PPP). These include the effects of the terms of trade. </w:t>
            </w:r>
            <w:r>
              <w:rPr>
                <w:rStyle w:val="NoteLabel"/>
              </w:rPr>
              <w:t>c</w:t>
            </w:r>
            <w:r>
              <w:t xml:space="preserve"> The portion of GDP per capita growth not accounted for by labour productivity growth. </w:t>
            </w:r>
            <w:r>
              <w:rPr>
                <w:rStyle w:val="NoteLabel"/>
              </w:rPr>
              <w:t>d</w:t>
            </w:r>
            <w:r>
              <w:t xml:space="preserve"> The portion of labour productivity growth not accounted for by MFP growth.</w:t>
            </w:r>
          </w:p>
        </w:tc>
      </w:tr>
      <w:tr w:rsidR="00375798" w:rsidRPr="00176D3F" w14:paraId="74CE20C0" w14:textId="77777777" w:rsidTr="29E7BBAE">
        <w:tc>
          <w:tcPr>
            <w:tcW w:w="5000" w:type="pct"/>
            <w:tcBorders>
              <w:top w:val="nil"/>
              <w:left w:val="nil"/>
              <w:bottom w:val="nil"/>
              <w:right w:val="nil"/>
            </w:tcBorders>
            <w:shd w:val="clear" w:color="auto" w:fill="auto"/>
          </w:tcPr>
          <w:p w14:paraId="01675901" w14:textId="20EAA840" w:rsidR="00375798" w:rsidRPr="00176D3F" w:rsidRDefault="00375798" w:rsidP="00F27568">
            <w:pPr>
              <w:pStyle w:val="Source"/>
              <w:spacing w:after="0"/>
            </w:pPr>
            <w:r>
              <w:rPr>
                <w:i/>
              </w:rPr>
              <w:t>S</w:t>
            </w:r>
            <w:r w:rsidRPr="00784A05">
              <w:rPr>
                <w:i/>
              </w:rPr>
              <w:t>ource</w:t>
            </w:r>
            <w:r w:rsidR="00524FC5">
              <w:rPr>
                <w:i/>
              </w:rPr>
              <w:t>s</w:t>
            </w:r>
            <w:r w:rsidRPr="00176D3F">
              <w:t xml:space="preserve">: </w:t>
            </w:r>
            <w:r>
              <w:t xml:space="preserve">Commission estimates based on Bergeaud et al. </w:t>
            </w:r>
            <w:r w:rsidR="008310D7" w:rsidRPr="008310D7">
              <w:rPr>
                <w:rFonts w:cs="Arial"/>
              </w:rPr>
              <w:t>(2017)</w:t>
            </w:r>
            <w:r w:rsidR="008310D7">
              <w:t xml:space="preserve"> </w:t>
            </w:r>
            <w:r>
              <w:t xml:space="preserve">and Bolt et al. </w:t>
            </w:r>
            <w:r w:rsidRPr="00B62C69">
              <w:rPr>
                <w:rFonts w:cs="Arial"/>
              </w:rPr>
              <w:t>(2018)</w:t>
            </w:r>
            <w:r>
              <w:t>.</w:t>
            </w:r>
          </w:p>
        </w:tc>
      </w:tr>
      <w:tr w:rsidR="00375798" w14:paraId="6DFF56C6" w14:textId="77777777" w:rsidTr="29E7BBAE">
        <w:tc>
          <w:tcPr>
            <w:tcW w:w="5000" w:type="pct"/>
            <w:tcBorders>
              <w:top w:val="nil"/>
              <w:left w:val="nil"/>
              <w:bottom w:val="single" w:sz="6" w:space="0" w:color="78A22F" w:themeColor="accent1"/>
              <w:right w:val="nil"/>
            </w:tcBorders>
            <w:shd w:val="clear" w:color="auto" w:fill="auto"/>
          </w:tcPr>
          <w:p w14:paraId="22CB5818" w14:textId="77777777" w:rsidR="00375798" w:rsidRDefault="00375798" w:rsidP="00A83F90">
            <w:pPr>
              <w:pStyle w:val="Figurespace"/>
            </w:pPr>
          </w:p>
        </w:tc>
      </w:tr>
      <w:tr w:rsidR="00375798" w:rsidRPr="000863A5" w14:paraId="581E972A" w14:textId="77777777" w:rsidTr="29E7BBAE">
        <w:tc>
          <w:tcPr>
            <w:tcW w:w="5000" w:type="pct"/>
            <w:tcBorders>
              <w:top w:val="single" w:sz="6" w:space="0" w:color="78A22F" w:themeColor="accent1"/>
              <w:left w:val="nil"/>
              <w:bottom w:val="nil"/>
              <w:right w:val="nil"/>
            </w:tcBorders>
          </w:tcPr>
          <w:p w14:paraId="77B0E3C3" w14:textId="47A5613A" w:rsidR="00375798" w:rsidRPr="00626D32" w:rsidRDefault="00375798" w:rsidP="00A83F90">
            <w:pPr>
              <w:pStyle w:val="BoxSpaceBelow"/>
            </w:pPr>
          </w:p>
        </w:tc>
      </w:tr>
    </w:tbl>
    <w:p w14:paraId="60C96761" w14:textId="77777777" w:rsidR="00F27568" w:rsidRPr="000E259E" w:rsidRDefault="00F27568" w:rsidP="00F27568">
      <w:pPr>
        <w:pStyle w:val="BodyText"/>
        <w:rPr>
          <w:spacing w:val="-2"/>
        </w:rPr>
      </w:pPr>
      <w:r w:rsidRPr="000E259E">
        <w:rPr>
          <w:spacing w:val="-2"/>
        </w:rPr>
        <w:t>Decomposing the proximate drivers of growth in this way can be a little misleading in identifying the ultimate causes of prosperity. For example, capital</w:t>
      </w:r>
      <w:r w:rsidRPr="000E259E">
        <w:rPr>
          <w:spacing w:val="-2"/>
        </w:rPr>
        <w:noBreakHyphen/>
        <w:t xml:space="preserve">deepening is partially driven by growth in multifactor productivity and increases to the terms of trade (whose direct effects </w:t>
      </w:r>
      <w:r w:rsidRPr="000E259E">
        <w:rPr>
          <w:spacing w:val="-2"/>
        </w:rPr>
        <w:lastRenderedPageBreak/>
        <w:t>are not included in real GDP growth rates) can incentivise labour utilisation and capital accumulation. And below these are deeper factors. Institutional settings and the policy environment are key determinants in whether Australians can benefit from terms of trade changes or whether businesses have incentives to adopt productivity</w:t>
      </w:r>
      <w:r w:rsidRPr="000E259E">
        <w:rPr>
          <w:spacing w:val="-2"/>
        </w:rPr>
        <w:noBreakHyphen/>
        <w:t>enhancing practices.</w:t>
      </w:r>
    </w:p>
    <w:p w14:paraId="298FDFD6" w14:textId="01876328" w:rsidR="00F27568" w:rsidRDefault="00F27568" w:rsidP="00F27568">
      <w:pPr>
        <w:pStyle w:val="BodyText"/>
      </w:pPr>
      <w:r>
        <w:t>It also worth noting that productivity not only has a strong relationship with growth in output, but growth in real wages as well (figure 7). Indeed, almost all wage growth since Federation appears to be due to labour</w:t>
      </w:r>
      <w:r w:rsidRPr="00D45758">
        <w:t xml:space="preserve"> </w:t>
      </w:r>
      <w:r>
        <w:t xml:space="preserve">productivity growth, with changes in the labour share of income explaining a small remainder (as labour increases or decreases its share of </w:t>
      </w:r>
      <w:r w:rsidR="00644F60">
        <w:t xml:space="preserve">the </w:t>
      </w:r>
      <w:r>
        <w:t>pie, wages can deviate from productivity growth)</w:t>
      </w:r>
      <w:r w:rsidRPr="00D45758">
        <w:t>.</w:t>
      </w:r>
      <w:r>
        <w:rPr>
          <w:rStyle w:val="FootnoteReference"/>
        </w:rPr>
        <w:footnoteReference w:id="7"/>
      </w:r>
      <w:r>
        <w:t xml:space="preserve"> And these increases in real wages have occurred while the hours worked by the typical employee has fallen, arguably reflecting an additional dividend from rising productivity (figure 6</w:t>
      </w:r>
      <w:r w:rsidRPr="00D45758">
        <w:t>).</w:t>
      </w:r>
    </w:p>
    <w:p w14:paraId="391A201C" w14:textId="77777777" w:rsidR="00F27568" w:rsidRDefault="00F27568" w:rsidP="0037579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5798" w14:paraId="63CB765F" w14:textId="77777777" w:rsidTr="29E7BBAE">
        <w:trPr>
          <w:tblHeader/>
        </w:trPr>
        <w:tc>
          <w:tcPr>
            <w:tcW w:w="5000" w:type="pct"/>
            <w:tcBorders>
              <w:top w:val="single" w:sz="6" w:space="0" w:color="78A22F" w:themeColor="accent1"/>
              <w:left w:val="nil"/>
              <w:bottom w:val="nil"/>
              <w:right w:val="nil"/>
            </w:tcBorders>
            <w:shd w:val="clear" w:color="auto" w:fill="auto"/>
          </w:tcPr>
          <w:p w14:paraId="39CB70AF" w14:textId="49A9D31C" w:rsidR="00375798" w:rsidRPr="0023363B" w:rsidRDefault="00375798" w:rsidP="00A83F90">
            <w:pPr>
              <w:pStyle w:val="FigureTitle"/>
              <w:rPr>
                <w:sz w:val="24"/>
                <w:szCs w:val="24"/>
              </w:rPr>
            </w:pPr>
            <w:r w:rsidRPr="0023363B">
              <w:rPr>
                <w:b w:val="0"/>
                <w:sz w:val="24"/>
                <w:szCs w:val="24"/>
              </w:rPr>
              <w:t>Figure 7</w:t>
            </w:r>
            <w:r w:rsidRPr="0023363B">
              <w:rPr>
                <w:sz w:val="24"/>
                <w:szCs w:val="24"/>
              </w:rPr>
              <w:tab/>
              <w:t>Productivity growth explains almost all wage increases since Federation</w:t>
            </w:r>
          </w:p>
          <w:p w14:paraId="4CAEAA63" w14:textId="6EF134A1" w:rsidR="00375798" w:rsidRPr="00176D3F" w:rsidRDefault="00375798" w:rsidP="00A83F90">
            <w:pPr>
              <w:pStyle w:val="Subtitle"/>
            </w:pPr>
            <w:r>
              <w:t>Indices of labour productivity, real</w:t>
            </w:r>
            <w:r w:rsidR="00C00A26">
              <w:t xml:space="preserve"> producer</w:t>
            </w:r>
            <w:r>
              <w:t xml:space="preserve"> wages</w:t>
            </w:r>
            <w:r w:rsidRPr="005F23A6">
              <w:rPr>
                <w:rStyle w:val="NoteLabel"/>
              </w:rPr>
              <w:t xml:space="preserve">a </w:t>
            </w:r>
            <w:r>
              <w:t>(1901 = 100) and the labour income share effect</w:t>
            </w:r>
            <w:r w:rsidRPr="005F23A6">
              <w:rPr>
                <w:rStyle w:val="NoteLabel"/>
              </w:rPr>
              <w:t>b</w:t>
            </w:r>
            <w:r>
              <w:t xml:space="preserve"> from Federation to 2010</w:t>
            </w:r>
          </w:p>
        </w:tc>
      </w:tr>
      <w:tr w:rsidR="00375798" w14:paraId="79496B62"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75798" w:rsidRPr="00B1465D" w14:paraId="190F38F3" w14:textId="77777777" w:rsidTr="29E7BBAE">
              <w:trPr>
                <w:tblHeader/>
                <w:jc w:val="center"/>
              </w:trPr>
              <w:tc>
                <w:tcPr>
                  <w:tcW w:w="5000" w:type="pct"/>
                  <w:tcBorders>
                    <w:top w:val="nil"/>
                    <w:bottom w:val="nil"/>
                  </w:tcBorders>
                </w:tcPr>
                <w:p w14:paraId="0F89159F" w14:textId="01B16432" w:rsidR="00375798" w:rsidRPr="00B1465D" w:rsidRDefault="00327D2A" w:rsidP="00A83F90">
                  <w:pPr>
                    <w:pStyle w:val="Figure"/>
                    <w:spacing w:before="60" w:after="60"/>
                    <w:rPr>
                      <w:rFonts w:ascii="Arial" w:hAnsi="Arial" w:cs="Arial"/>
                      <w:sz w:val="18"/>
                      <w:szCs w:val="18"/>
                    </w:rPr>
                  </w:pPr>
                  <w:r w:rsidRPr="00327D2A">
                    <w:rPr>
                      <w:rFonts w:ascii="Arial" w:hAnsi="Arial" w:cs="Arial"/>
                      <w:noProof/>
                      <w:sz w:val="18"/>
                      <w:szCs w:val="18"/>
                    </w:rPr>
                    <w:drawing>
                      <wp:inline distT="0" distB="0" distL="0" distR="0" wp14:anchorId="3AD30706" wp14:editId="3106C9E0">
                        <wp:extent cx="5400000" cy="2868261"/>
                        <wp:effectExtent l="0" t="0" r="0" b="8890"/>
                        <wp:docPr id="42" name="Picture 42" descr="This chart displays the labour productivity, producer wages and labour income share effect over the period 1901 to 2010. Labour productivity is closely associated with producer wages throughout the whole period with the small difference between the two attributable to the labour income share eff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is chart displays the labour productivity, producer wages and labour income share effect over the period 1901 to 2010. Labour productivity is closely associated with producer wages throughout the whole period with the small difference between the two attributable to the labour income share effect.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00" cy="2868261"/>
                                </a:xfrm>
                                <a:prstGeom prst="rect">
                                  <a:avLst/>
                                </a:prstGeom>
                                <a:noFill/>
                                <a:ln>
                                  <a:noFill/>
                                </a:ln>
                              </pic:spPr>
                            </pic:pic>
                          </a:graphicData>
                        </a:graphic>
                      </wp:inline>
                    </w:drawing>
                  </w:r>
                </w:p>
              </w:tc>
            </w:tr>
          </w:tbl>
          <w:p w14:paraId="780880FD" w14:textId="77777777" w:rsidR="00375798" w:rsidRDefault="00375798" w:rsidP="00A83F90">
            <w:pPr>
              <w:pStyle w:val="Figure"/>
            </w:pPr>
          </w:p>
        </w:tc>
      </w:tr>
      <w:tr w:rsidR="00375798" w:rsidRPr="00176D3F" w14:paraId="53204EDC" w14:textId="77777777" w:rsidTr="29E7BBAE">
        <w:tc>
          <w:tcPr>
            <w:tcW w:w="5000" w:type="pct"/>
            <w:tcBorders>
              <w:top w:val="nil"/>
              <w:left w:val="nil"/>
              <w:bottom w:val="nil"/>
              <w:right w:val="nil"/>
            </w:tcBorders>
            <w:shd w:val="clear" w:color="auto" w:fill="auto"/>
          </w:tcPr>
          <w:p w14:paraId="10A98A03" w14:textId="4BA473B8" w:rsidR="00375798" w:rsidRPr="00176D3F" w:rsidRDefault="00375798" w:rsidP="00A83F90">
            <w:pPr>
              <w:pStyle w:val="Note"/>
            </w:pPr>
            <w:r>
              <w:rPr>
                <w:rStyle w:val="NoteLabel"/>
              </w:rPr>
              <w:t>a</w:t>
            </w:r>
            <w:r>
              <w:t xml:space="preserve"> Real wage is deflated by the GDP deflator rather than CPI. This means that it underestimates wage growth in recent decades due</w:t>
            </w:r>
            <w:r w:rsidR="002770AF">
              <w:t xml:space="preserve"> to the</w:t>
            </w:r>
            <w:r>
              <w:t xml:space="preserve"> GDP deflator growth outpacing CPI growth. </w:t>
            </w:r>
            <w:r>
              <w:rPr>
                <w:rStyle w:val="NoteLabel"/>
              </w:rPr>
              <w:t>b</w:t>
            </w:r>
            <w:r>
              <w:t xml:space="preserve"> The effect of the labour income share is the portion of real wage growth not accounted for by growth in labour productivity. Note that, because total factor income and gross value added grow roughly but not exactly proportionally (the former does not include taxes and </w:t>
            </w:r>
            <w:r w:rsidR="007A00D1">
              <w:t xml:space="preserve">subsidies </w:t>
            </w:r>
            <w:r>
              <w:t>while the latter does), some</w:t>
            </w:r>
            <w:r w:rsidR="00E9033E">
              <w:t xml:space="preserve"> of</w:t>
            </w:r>
            <w:r>
              <w:t xml:space="preserve"> this term will be due to the difference in growth between total factor income and gross value added. </w:t>
            </w:r>
          </w:p>
        </w:tc>
      </w:tr>
      <w:tr w:rsidR="00375798" w:rsidRPr="00176D3F" w14:paraId="180A528A" w14:textId="77777777" w:rsidTr="29E7BBAE">
        <w:tc>
          <w:tcPr>
            <w:tcW w:w="5000" w:type="pct"/>
            <w:tcBorders>
              <w:top w:val="nil"/>
              <w:left w:val="nil"/>
              <w:bottom w:val="nil"/>
              <w:right w:val="nil"/>
            </w:tcBorders>
            <w:shd w:val="clear" w:color="auto" w:fill="auto"/>
          </w:tcPr>
          <w:p w14:paraId="197E297D" w14:textId="2362A62A" w:rsidR="00375798" w:rsidRPr="00176D3F" w:rsidRDefault="00375798" w:rsidP="0023363B">
            <w:pPr>
              <w:pStyle w:val="Source"/>
              <w:spacing w:after="0"/>
            </w:pPr>
            <w:r>
              <w:rPr>
                <w:i/>
              </w:rPr>
              <w:t>S</w:t>
            </w:r>
            <w:r w:rsidRPr="00784A05">
              <w:rPr>
                <w:i/>
              </w:rPr>
              <w:t>ource</w:t>
            </w:r>
            <w:r w:rsidR="00BF167E">
              <w:rPr>
                <w:i/>
              </w:rPr>
              <w:t>s</w:t>
            </w:r>
            <w:r w:rsidRPr="00176D3F">
              <w:t xml:space="preserve">: </w:t>
            </w:r>
            <w:r>
              <w:t xml:space="preserve">Commission estimates based on Bergeaud et al. </w:t>
            </w:r>
            <w:r w:rsidR="00BE77C5" w:rsidRPr="00BE77C5">
              <w:rPr>
                <w:rFonts w:cs="Arial"/>
              </w:rPr>
              <w:t>(2017)</w:t>
            </w:r>
            <w:r w:rsidR="00BE77C5">
              <w:t xml:space="preserve"> </w:t>
            </w:r>
            <w:r>
              <w:t xml:space="preserve">and Butlin et al. </w:t>
            </w:r>
            <w:r w:rsidRPr="001C1694">
              <w:rPr>
                <w:rFonts w:cs="Arial"/>
              </w:rPr>
              <w:t>(2015)</w:t>
            </w:r>
            <w:r>
              <w:t>.</w:t>
            </w:r>
          </w:p>
        </w:tc>
      </w:tr>
      <w:tr w:rsidR="00375798" w14:paraId="1A488F13" w14:textId="77777777" w:rsidTr="29E7BBAE">
        <w:tc>
          <w:tcPr>
            <w:tcW w:w="5000" w:type="pct"/>
            <w:tcBorders>
              <w:top w:val="nil"/>
              <w:left w:val="nil"/>
              <w:bottom w:val="single" w:sz="6" w:space="0" w:color="78A22F" w:themeColor="accent1"/>
              <w:right w:val="nil"/>
            </w:tcBorders>
            <w:shd w:val="clear" w:color="auto" w:fill="auto"/>
          </w:tcPr>
          <w:p w14:paraId="5F0D3F77" w14:textId="77777777" w:rsidR="00375798" w:rsidRDefault="00375798" w:rsidP="00A83F90">
            <w:pPr>
              <w:pStyle w:val="Figurespace"/>
            </w:pPr>
          </w:p>
        </w:tc>
      </w:tr>
      <w:tr w:rsidR="00375798" w:rsidRPr="000863A5" w14:paraId="2713FB62" w14:textId="77777777" w:rsidTr="29E7BBAE">
        <w:tc>
          <w:tcPr>
            <w:tcW w:w="5000" w:type="pct"/>
            <w:tcBorders>
              <w:top w:val="single" w:sz="6" w:space="0" w:color="78A22F" w:themeColor="accent1"/>
              <w:left w:val="nil"/>
              <w:bottom w:val="nil"/>
              <w:right w:val="nil"/>
            </w:tcBorders>
          </w:tcPr>
          <w:p w14:paraId="6CA59362" w14:textId="5E7635FC" w:rsidR="00375798" w:rsidRPr="00626D32" w:rsidRDefault="00375798" w:rsidP="00A83F90">
            <w:pPr>
              <w:pStyle w:val="BoxSpaceBelow"/>
            </w:pPr>
          </w:p>
        </w:tc>
      </w:tr>
    </w:tbl>
    <w:p w14:paraId="449F9DEB" w14:textId="2C205A24" w:rsidR="004A75D3" w:rsidRPr="005C1F59" w:rsidRDefault="00782BF3" w:rsidP="006563BD">
      <w:pPr>
        <w:pStyle w:val="Heading2"/>
        <w:rPr>
          <w:rFonts w:cs="Arial"/>
          <w:spacing w:val="-4"/>
        </w:rPr>
      </w:pPr>
      <w:bookmarkStart w:id="12" w:name="_Toc56080374"/>
      <w:r w:rsidRPr="005C1F59">
        <w:rPr>
          <w:rFonts w:cs="Arial"/>
          <w:noProof/>
        </w:rPr>
        <w:t>4</w:t>
      </w:r>
      <w:r w:rsidR="004A75D3" w:rsidRPr="005C1F59">
        <w:rPr>
          <w:rFonts w:cs="Arial"/>
        </w:rPr>
        <w:tab/>
      </w:r>
      <w:r w:rsidR="004A75D3" w:rsidRPr="005C1F59">
        <w:rPr>
          <w:rFonts w:cs="Arial"/>
          <w:spacing w:val="-4"/>
        </w:rPr>
        <w:t>Australia’s high standard of living is not guaranteed</w:t>
      </w:r>
      <w:bookmarkEnd w:id="12"/>
    </w:p>
    <w:p w14:paraId="34F95803" w14:textId="24CB3093" w:rsidR="000744F9" w:rsidRDefault="0033042C" w:rsidP="004A75D3">
      <w:pPr>
        <w:pStyle w:val="BodyText"/>
      </w:pPr>
      <w:r>
        <w:t xml:space="preserve">Assessing a country’s economic performance, and the effect of policy, always involves a degree of judgement and even a little speculation. Ideally, Australia, at every point in time, would be compared to its performance under an alternative set of policies or circumstances. But given such an exercise is not possible, the comparison that is usually made in practice is against a benchmark economy that represents the highest attainable level of productivity. As discussed in the last </w:t>
      </w:r>
      <w:r>
        <w:rPr>
          <w:i/>
        </w:rPr>
        <w:t>Insights</w:t>
      </w:r>
      <w:r>
        <w:t xml:space="preserve"> paper </w:t>
      </w:r>
      <w:r w:rsidRPr="0033042C">
        <w:rPr>
          <w:szCs w:val="24"/>
        </w:rPr>
        <w:t>(PC 2020a)</w:t>
      </w:r>
      <w:r>
        <w:t xml:space="preserve">, this benchmark is usually the United States, and this approach will be adopted here as well. </w:t>
      </w:r>
    </w:p>
    <w:p w14:paraId="5748E2C3" w14:textId="57E70BC8" w:rsidR="0033042C" w:rsidRDefault="0033042C" w:rsidP="004A75D3">
      <w:pPr>
        <w:pStyle w:val="BodyText"/>
      </w:pPr>
      <w:r>
        <w:t xml:space="preserve">Nonetheless, it </w:t>
      </w:r>
      <w:r w:rsidR="00EF3408">
        <w:t xml:space="preserve">is </w:t>
      </w:r>
      <w:r>
        <w:t>worth cautioning that the causes of a particular countries performance may reflect factors that are unattainable (or undesirable) for Australian policymakers, and so one must be cautious in interpreting any gap in Australian</w:t>
      </w:r>
      <w:r>
        <w:noBreakHyphen/>
        <w:t xml:space="preserve">US levels of income as being a failure of policy. </w:t>
      </w:r>
      <w:r w:rsidR="000744F9">
        <w:t xml:space="preserve">The extent to which domestic or external factors drive changes in relative </w:t>
      </w:r>
      <w:r w:rsidR="00644F60">
        <w:t xml:space="preserve">living </w:t>
      </w:r>
      <w:r w:rsidR="000744F9">
        <w:t xml:space="preserve">standards, </w:t>
      </w:r>
      <w:r w:rsidR="00644F60">
        <w:t xml:space="preserve">and </w:t>
      </w:r>
      <w:r w:rsidR="000744F9">
        <w:t>to the degree to which these were alterable by institutional or policy settings will be discussed, albeit with caution given the uncertainty involved.</w:t>
      </w:r>
    </w:p>
    <w:p w14:paraId="72AE3B6D" w14:textId="5908A6C2" w:rsidR="003F3F3B" w:rsidRDefault="003F3F3B" w:rsidP="004A75D3">
      <w:pPr>
        <w:pStyle w:val="BodyText"/>
      </w:pPr>
      <w:r>
        <w:t>For the last century and more, Australia has been a high income country. But in relative terms</w:t>
      </w:r>
      <w:r w:rsidR="004A75D3">
        <w:t xml:space="preserve">, Australia’s economic fortunes have waxed and waned over time. </w:t>
      </w:r>
      <w:r w:rsidR="000744F9">
        <w:t>For</w:t>
      </w:r>
      <w:r w:rsidR="004A75D3">
        <w:t xml:space="preserve"> example, at the </w:t>
      </w:r>
      <w:r w:rsidR="00E2671A">
        <w:t xml:space="preserve">turn </w:t>
      </w:r>
      <w:r w:rsidR="004A75D3">
        <w:t>of the Twentieth Century, Australia</w:t>
      </w:r>
      <w:r w:rsidR="001229F0">
        <w:t>,</w:t>
      </w:r>
      <w:r w:rsidR="006964F9" w:rsidRPr="0008559C">
        <w:rPr>
          <w:rStyle w:val="FootnoteReference"/>
        </w:rPr>
        <w:footnoteReference w:id="8"/>
      </w:r>
      <w:r w:rsidR="004A75D3">
        <w:t xml:space="preserve"> along with New Zealand and Argentina, stood at the top of the world income ladder (well ahead of even the United States, figure 8). But </w:t>
      </w:r>
      <w:r w:rsidR="00BF167E">
        <w:t xml:space="preserve">over </w:t>
      </w:r>
      <w:r w:rsidR="004A75D3">
        <w:t xml:space="preserve">the following century, </w:t>
      </w:r>
      <w:r>
        <w:t>these lead</w:t>
      </w:r>
      <w:r w:rsidR="00DA42D1">
        <w:t>ing positions</w:t>
      </w:r>
      <w:r>
        <w:t xml:space="preserve"> were lost. Indeed, since the time that they were among the richest countries in the world, incomes in New Zealand have fallen to 64 per cent of those in the US, and in Argentina they are only 35 per cent (as at 2016, figure 8).</w:t>
      </w:r>
    </w:p>
    <w:p w14:paraId="1E25897B" w14:textId="2B2B456F" w:rsidR="007F450D" w:rsidRDefault="00614396" w:rsidP="007F450D">
      <w:pPr>
        <w:pStyle w:val="BodyText"/>
        <w:tabs>
          <w:tab w:val="left" w:pos="3975"/>
        </w:tabs>
      </w:pPr>
      <w:r>
        <w:t xml:space="preserve">Other economies have more positive stories. Japan achieved a significant rise in per capita incomes following the </w:t>
      </w:r>
      <w:r w:rsidR="00C63B9E">
        <w:t>Second World War</w:t>
      </w:r>
      <w:r>
        <w:t xml:space="preserve">. Indeed in the 1980s some commentators even thought that the Japanese economy would permanently eclipse that of the US </w:t>
      </w:r>
      <w:r w:rsidRPr="00902A96">
        <w:rPr>
          <w:szCs w:val="24"/>
        </w:rPr>
        <w:t>(Phelan 2019)</w:t>
      </w:r>
      <w:r>
        <w:t xml:space="preserve">. However, after stock and housing prices collapsed, the influence of an ageing population and other structural problems were felt, </w:t>
      </w:r>
      <w:r w:rsidR="00F97790">
        <w:t xml:space="preserve">and </w:t>
      </w:r>
      <w:r>
        <w:t>the economy fell into the prolonged malaise of the 1990s ‘lost decade’. Incomes in Japan have now fallen to 69 per cent of US levels.</w:t>
      </w:r>
      <w:r w:rsidRPr="00050C61">
        <w:t xml:space="preserve"> </w:t>
      </w:r>
      <w:r>
        <w:t xml:space="preserve">More recently, the ‘Asian Tigers’, including South Korea and Taiwan, are examples of countries </w:t>
      </w:r>
      <w:r>
        <w:lastRenderedPageBreak/>
        <w:t>that have quickly risen from relatively low levels of GDP per capita to be among the set of advanced economies in only a few decades (figure 8).</w:t>
      </w:r>
    </w:p>
    <w:p w14:paraId="17A26000" w14:textId="01669EAA" w:rsidR="007B0048" w:rsidRDefault="007B0048" w:rsidP="007B0048">
      <w:pPr>
        <w:pStyle w:val="BodyText"/>
      </w:pPr>
      <w:r>
        <w:t xml:space="preserve">As </w:t>
      </w:r>
      <w:r w:rsidR="00F97790">
        <w:t>f</w:t>
      </w:r>
      <w:r>
        <w:t xml:space="preserve">igure 8 demonstrates, Australia’s relative living standards (as measured by per capita GDP compared with the United States) fluctuated considerably from the 1820s onwards. Notwithstanding this relative performance, Australia’s </w:t>
      </w:r>
      <w:r w:rsidRPr="00973E33">
        <w:rPr>
          <w:i/>
        </w:rPr>
        <w:t>absolute</w:t>
      </w:r>
      <w:r>
        <w:t xml:space="preserve"> income levels rose fairly steadily, subject to occasional setbacks such as</w:t>
      </w:r>
      <w:r w:rsidR="00FC33A5">
        <w:t xml:space="preserve"> </w:t>
      </w:r>
      <w:r>
        <w:t>recessions, war and other external shocks.</w:t>
      </w:r>
    </w:p>
    <w:p w14:paraId="5160AF4D" w14:textId="7E272651" w:rsidR="004A75D3" w:rsidRDefault="004A75D3" w:rsidP="004A75D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75D3" w14:paraId="2979A052" w14:textId="77777777" w:rsidTr="29E7BBAE">
        <w:trPr>
          <w:tblHeader/>
        </w:trPr>
        <w:tc>
          <w:tcPr>
            <w:tcW w:w="5000" w:type="pct"/>
            <w:tcBorders>
              <w:top w:val="single" w:sz="6" w:space="0" w:color="78A22F" w:themeColor="accent1"/>
              <w:left w:val="nil"/>
              <w:bottom w:val="nil"/>
              <w:right w:val="nil"/>
            </w:tcBorders>
            <w:shd w:val="clear" w:color="auto" w:fill="auto"/>
          </w:tcPr>
          <w:p w14:paraId="053205CD" w14:textId="1DBC7966" w:rsidR="004A75D3" w:rsidRPr="0023363B" w:rsidRDefault="004A75D3" w:rsidP="004A75D3">
            <w:pPr>
              <w:pStyle w:val="FigureTitle"/>
              <w:rPr>
                <w:sz w:val="24"/>
                <w:szCs w:val="24"/>
              </w:rPr>
            </w:pPr>
            <w:r w:rsidRPr="0023363B">
              <w:rPr>
                <w:b w:val="0"/>
                <w:sz w:val="24"/>
                <w:szCs w:val="24"/>
              </w:rPr>
              <w:t xml:space="preserve">Figure </w:t>
            </w:r>
            <w:r w:rsidR="00CE55C0" w:rsidRPr="0023363B">
              <w:rPr>
                <w:b w:val="0"/>
                <w:sz w:val="24"/>
                <w:szCs w:val="24"/>
              </w:rPr>
              <w:t>8</w:t>
            </w:r>
            <w:r w:rsidRPr="0023363B">
              <w:rPr>
                <w:sz w:val="24"/>
                <w:szCs w:val="24"/>
              </w:rPr>
              <w:tab/>
              <w:t>Some countries have converged, others have faltered</w:t>
            </w:r>
          </w:p>
          <w:p w14:paraId="6B15415E" w14:textId="77777777" w:rsidR="004A75D3" w:rsidRPr="00176D3F" w:rsidRDefault="004A75D3" w:rsidP="004A75D3">
            <w:pPr>
              <w:pStyle w:val="Subtitle"/>
            </w:pPr>
            <w:r w:rsidRPr="00BA427A">
              <w:t>GDP per capita as a proportion of the US (PPP adjusted, three year moving average) for select countries</w:t>
            </w:r>
          </w:p>
        </w:tc>
      </w:tr>
      <w:tr w:rsidR="004A75D3" w14:paraId="06F5369A"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A75D3" w:rsidRPr="00B1465D" w14:paraId="6817A02E" w14:textId="77777777" w:rsidTr="29E7BBAE">
              <w:trPr>
                <w:trHeight w:val="180"/>
                <w:tblHeader/>
                <w:jc w:val="center"/>
              </w:trPr>
              <w:tc>
                <w:tcPr>
                  <w:tcW w:w="5000" w:type="pct"/>
                  <w:tcBorders>
                    <w:top w:val="nil"/>
                    <w:bottom w:val="nil"/>
                  </w:tcBorders>
                </w:tcPr>
                <w:p w14:paraId="3A08364B" w14:textId="77777777" w:rsidR="004A75D3" w:rsidRPr="000E259E" w:rsidRDefault="004A75D3" w:rsidP="004A75D3">
                  <w:pPr>
                    <w:pStyle w:val="Figure"/>
                    <w:spacing w:before="60" w:after="60"/>
                    <w:rPr>
                      <w:rFonts w:ascii="Arial" w:hAnsi="Arial" w:cs="Arial"/>
                      <w:b/>
                      <w:sz w:val="20"/>
                    </w:rPr>
                  </w:pPr>
                  <w:r w:rsidRPr="000E259E">
                    <w:rPr>
                      <w:rFonts w:ascii="Arial" w:hAnsi="Arial" w:cs="Arial"/>
                      <w:b/>
                      <w:sz w:val="20"/>
                    </w:rPr>
                    <w:t>Proportion of US real GDP per capita (current PPP)</w:t>
                  </w:r>
                </w:p>
              </w:tc>
            </w:tr>
            <w:tr w:rsidR="004A75D3" w:rsidRPr="00B1465D" w14:paraId="6BCF91A6" w14:textId="77777777" w:rsidTr="29E7BBAE">
              <w:trPr>
                <w:trHeight w:val="180"/>
                <w:tblHeader/>
                <w:jc w:val="center"/>
              </w:trPr>
              <w:tc>
                <w:tcPr>
                  <w:tcW w:w="5000" w:type="pct"/>
                  <w:tcBorders>
                    <w:top w:val="nil"/>
                    <w:bottom w:val="nil"/>
                  </w:tcBorders>
                </w:tcPr>
                <w:p w14:paraId="6D68E2BE" w14:textId="2C911653" w:rsidR="004A75D3" w:rsidRDefault="00C31D23" w:rsidP="009D1F47">
                  <w:pPr>
                    <w:pStyle w:val="Figure"/>
                    <w:spacing w:before="60" w:after="0"/>
                    <w:rPr>
                      <w:rFonts w:ascii="Arial" w:hAnsi="Arial" w:cs="Arial"/>
                      <w:sz w:val="18"/>
                      <w:szCs w:val="18"/>
                    </w:rPr>
                  </w:pPr>
                  <w:r w:rsidRPr="00C31D23">
                    <w:rPr>
                      <w:rFonts w:ascii="Arial" w:hAnsi="Arial" w:cs="Arial"/>
                      <w:noProof/>
                      <w:sz w:val="18"/>
                      <w:szCs w:val="18"/>
                    </w:rPr>
                    <w:drawing>
                      <wp:inline distT="0" distB="0" distL="0" distR="0" wp14:anchorId="0DA3C836" wp14:editId="3406BCE0">
                        <wp:extent cx="5391785" cy="2863850"/>
                        <wp:effectExtent l="0" t="0" r="0" b="0"/>
                        <wp:docPr id="43" name="Picture 43" descr="This chart shows for a range of countries, the proportion of US real GDP per capita in current PPP terms from 1821 to 2016. The countries displayed in the first panel include Australia, New Zealand, Argentina and Japan. The chart shows in the 1880s, Australian (and New Zealand’s) living standards were well above (almost 140 per cent) of those in the US.  The chart shows that Argentina was once the most successful economy in the world, with living standards in the late 1890s above those of Australia, the US, New Zealand and Japan. The chart shows that from its high of 1880s, Australia’s relative living standards fell to roughly be at parity with the US (with some fluctuation) until 1940s, when Australia’s GDP per capita fell below that of the US, steadily declining to approximately 70 per cent of the US level by 1980. The chart then shows that from the 1980s Australia’s relative GDP per capita began to catch-up to the US, rising to over 80 per cent by the early 2000s. This chart also shows that from post-WWII, Japan’s relative GDP per capita quickly rose against the US’ GDP per capita, almost catching up to the US level by the 1980s (at over 80 per cent of the US level) and then stagn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his chart shows for a range of countries, the proportion of US real GDP per capita in current PPP terms from 1821 to 2016. The countries displayed in the first panel include Australia, New Zealand, Argentina and Japan. The chart shows in the 1880s, Australian (and New Zealand’s) living standards were well above (almost 140 per cent) of those in the US.  The chart shows that Argentina was once the most successful economy in the world, with living standards in the late 1890s above those of Australia, the US, New Zealand and Japan. The chart shows that from its high of 1880s, Australia’s relative living standards fell to roughly be at parity with the US (with some fluctuation) until 1940s, when Australia’s GDP per capita fell below that of the US, steadily declining to approximately 70 per cent of the US level by 1980. The chart then shows that from the 1980s Australia’s relative GDP per capita began to catch-up to the US, rising to over 80 per cent by the early 2000s. This chart also shows that from post-WWII, Japan’s relative GDP per capita quickly rose against the US’ GDP per capita, almost catching up to the US level by the 1980s (at over 80 per cent of the US level) and then stagnating.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91785" cy="2863850"/>
                                </a:xfrm>
                                <a:prstGeom prst="rect">
                                  <a:avLst/>
                                </a:prstGeom>
                                <a:noFill/>
                                <a:ln>
                                  <a:noFill/>
                                </a:ln>
                              </pic:spPr>
                            </pic:pic>
                          </a:graphicData>
                        </a:graphic>
                      </wp:inline>
                    </w:drawing>
                  </w:r>
                </w:p>
              </w:tc>
            </w:tr>
            <w:tr w:rsidR="004A75D3" w:rsidRPr="00B1465D" w14:paraId="2A060787" w14:textId="77777777" w:rsidTr="29E7BBAE">
              <w:trPr>
                <w:trHeight w:val="180"/>
                <w:tblHeader/>
                <w:jc w:val="center"/>
              </w:trPr>
              <w:tc>
                <w:tcPr>
                  <w:tcW w:w="5000" w:type="pct"/>
                  <w:tcBorders>
                    <w:top w:val="nil"/>
                    <w:bottom w:val="nil"/>
                  </w:tcBorders>
                </w:tcPr>
                <w:p w14:paraId="15138C9C" w14:textId="0AE6D2B1" w:rsidR="004A75D3" w:rsidRDefault="00520276" w:rsidP="009D1F47">
                  <w:pPr>
                    <w:pStyle w:val="Figure"/>
                    <w:spacing w:before="0" w:after="60"/>
                    <w:rPr>
                      <w:rFonts w:ascii="Arial" w:hAnsi="Arial" w:cs="Arial"/>
                      <w:sz w:val="18"/>
                      <w:szCs w:val="18"/>
                    </w:rPr>
                  </w:pPr>
                  <w:r w:rsidRPr="00520276">
                    <w:rPr>
                      <w:rFonts w:ascii="Arial" w:hAnsi="Arial" w:cs="Arial"/>
                      <w:noProof/>
                      <w:sz w:val="18"/>
                      <w:szCs w:val="18"/>
                    </w:rPr>
                    <w:drawing>
                      <wp:inline distT="0" distB="0" distL="0" distR="0" wp14:anchorId="18929F4C" wp14:editId="45E6A7C3">
                        <wp:extent cx="5391785" cy="2863850"/>
                        <wp:effectExtent l="0" t="0" r="0" b="0"/>
                        <wp:docPr id="44" name="Picture 44" descr="This chart shows for a range of countries, the proportion of US real GDP per capita in current PPP terms from 1821 to 2016. This chart includes Australia, Germany, Taiwan and Korea. It shows that over its history since the mid 19th century, Germany has fluctuated around 60 per cent of the US GDP per capita level, except for the post-WWII recovery where it has since grown to over 80 per cent of the US level, overtaking Australia. Similarly, the chart shows that the ‘Asian Tigers’ catch-up to the West after WWII, growing from approximately 10 per cent of the US level to approximately 50 to 70 per cent of living standards in the 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his chart shows for a range of countries, the proportion of US real GDP per capita in current PPP terms from 1821 to 2016. This chart includes Australia, Germany, Taiwan and Korea. It shows that over its history since the mid 19th century, Germany has fluctuated around 60 per cent of the US GDP per capita level, except for the post-WWII recovery where it has since grown to over 80 per cent of the US level, overtaking Australia. Similarly, the chart shows that the ‘Asian Tigers’ catch-up to the West after WWII, growing from approximately 10 per cent of the US level to approximately 50 to 70 per cent of living standards in the US.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1785" cy="2863850"/>
                                </a:xfrm>
                                <a:prstGeom prst="rect">
                                  <a:avLst/>
                                </a:prstGeom>
                                <a:noFill/>
                                <a:ln>
                                  <a:noFill/>
                                </a:ln>
                              </pic:spPr>
                            </pic:pic>
                          </a:graphicData>
                        </a:graphic>
                      </wp:inline>
                    </w:drawing>
                  </w:r>
                </w:p>
              </w:tc>
            </w:tr>
          </w:tbl>
          <w:p w14:paraId="445B8B20" w14:textId="77777777" w:rsidR="004A75D3" w:rsidRDefault="004A75D3" w:rsidP="004A75D3">
            <w:pPr>
              <w:pStyle w:val="Figure"/>
            </w:pPr>
          </w:p>
        </w:tc>
      </w:tr>
      <w:tr w:rsidR="004A75D3" w:rsidRPr="00176D3F" w14:paraId="0E9322DA" w14:textId="77777777" w:rsidTr="29E7BBAE">
        <w:tc>
          <w:tcPr>
            <w:tcW w:w="5000" w:type="pct"/>
            <w:tcBorders>
              <w:top w:val="nil"/>
              <w:left w:val="nil"/>
              <w:bottom w:val="nil"/>
              <w:right w:val="nil"/>
            </w:tcBorders>
            <w:shd w:val="clear" w:color="auto" w:fill="auto"/>
          </w:tcPr>
          <w:p w14:paraId="083C5B9C" w14:textId="53D1E109" w:rsidR="004A75D3" w:rsidRPr="00176D3F" w:rsidRDefault="004A75D3" w:rsidP="009D1F47">
            <w:pPr>
              <w:pStyle w:val="Source"/>
              <w:spacing w:before="0" w:after="0"/>
            </w:pPr>
            <w:r>
              <w:rPr>
                <w:i/>
              </w:rPr>
              <w:t>S</w:t>
            </w:r>
            <w:r w:rsidRPr="00784A05">
              <w:rPr>
                <w:i/>
              </w:rPr>
              <w:t>ource</w:t>
            </w:r>
            <w:r w:rsidRPr="00176D3F">
              <w:t xml:space="preserve">: </w:t>
            </w:r>
            <w:r w:rsidRPr="0012694B">
              <w:t xml:space="preserve">Commission </w:t>
            </w:r>
            <w:r>
              <w:t>estimates based on Bolt</w:t>
            </w:r>
            <w:r w:rsidRPr="0012694B">
              <w:t xml:space="preserve"> et al.</w:t>
            </w:r>
            <w:r w:rsidR="00BE77C5">
              <w:t xml:space="preserve"> </w:t>
            </w:r>
            <w:r w:rsidR="00BE77C5" w:rsidRPr="00BE77C5">
              <w:rPr>
                <w:rFonts w:cs="Arial"/>
              </w:rPr>
              <w:t>(2018)</w:t>
            </w:r>
            <w:r w:rsidRPr="0012694B">
              <w:t>.</w:t>
            </w:r>
          </w:p>
        </w:tc>
      </w:tr>
      <w:tr w:rsidR="004A75D3" w14:paraId="268E8C26" w14:textId="77777777" w:rsidTr="29E7BBAE">
        <w:tc>
          <w:tcPr>
            <w:tcW w:w="5000" w:type="pct"/>
            <w:tcBorders>
              <w:top w:val="nil"/>
              <w:left w:val="nil"/>
              <w:bottom w:val="single" w:sz="6" w:space="0" w:color="78A22F" w:themeColor="accent1"/>
              <w:right w:val="nil"/>
            </w:tcBorders>
            <w:shd w:val="clear" w:color="auto" w:fill="auto"/>
          </w:tcPr>
          <w:p w14:paraId="3DACBAFF" w14:textId="77777777" w:rsidR="004A75D3" w:rsidRDefault="004A75D3" w:rsidP="004A75D3">
            <w:pPr>
              <w:pStyle w:val="Figurespace"/>
            </w:pPr>
          </w:p>
        </w:tc>
      </w:tr>
      <w:tr w:rsidR="004A75D3" w:rsidRPr="000863A5" w14:paraId="26D4ED3F" w14:textId="77777777" w:rsidTr="29E7BBAE">
        <w:tc>
          <w:tcPr>
            <w:tcW w:w="5000" w:type="pct"/>
            <w:tcBorders>
              <w:top w:val="single" w:sz="6" w:space="0" w:color="78A22F" w:themeColor="accent1"/>
              <w:left w:val="nil"/>
              <w:bottom w:val="nil"/>
              <w:right w:val="nil"/>
            </w:tcBorders>
          </w:tcPr>
          <w:p w14:paraId="45A35A88" w14:textId="3EF5FE84" w:rsidR="004A75D3" w:rsidRPr="00626D32" w:rsidRDefault="004A75D3" w:rsidP="004A75D3">
            <w:pPr>
              <w:pStyle w:val="BoxSpaceBelow"/>
            </w:pPr>
          </w:p>
        </w:tc>
      </w:tr>
    </w:tbl>
    <w:p w14:paraId="08A1C29B" w14:textId="77777777" w:rsidR="009D1F47" w:rsidRPr="009D1F47" w:rsidRDefault="009D1F47" w:rsidP="009D1F47">
      <w:pPr>
        <w:pStyle w:val="BodyText"/>
        <w:rPr>
          <w:spacing w:val="-2"/>
        </w:rPr>
      </w:pPr>
      <w:r w:rsidRPr="009D1F47">
        <w:rPr>
          <w:spacing w:val="-2"/>
        </w:rPr>
        <w:t>Like all histories, Australia’s economic history consists of a patchwork of individual chapters, rich in their complexity, which makes it hard (and risky) to generalise about large scale secular trends. Nonetheless, Australia’s relative standard of living (at least compared with that of the US) experienced a period of increase from 1820 to around 1890, going from a little over 30 per cent of the United States GDP per capita to a little under 130 per cent. This was followed by a period of period of declining relative incomes between 1890 and 1990 which saw Australian GDP per capita fall to about 75 per cent of US levels. The period from 1990 to the present has seen a partial revival where Australia’s GDP per capita rose steadily to nearly 85 per cent of US levels.</w:t>
      </w:r>
    </w:p>
    <w:p w14:paraId="519E5B8F" w14:textId="77777777" w:rsidR="004A75D3" w:rsidRDefault="004A75D3" w:rsidP="00FD1744">
      <w:pPr>
        <w:pStyle w:val="Heading3"/>
      </w:pPr>
      <w:r>
        <w:t xml:space="preserve">Wealth for toil </w:t>
      </w:r>
    </w:p>
    <w:p w14:paraId="432B5657" w14:textId="2018F83B" w:rsidR="004A75D3" w:rsidRDefault="004A75D3" w:rsidP="004A75D3">
      <w:pPr>
        <w:pStyle w:val="BodyText"/>
      </w:pPr>
      <w:r>
        <w:t>The reasons for Australia’s rise to the top of the income ladder</w:t>
      </w:r>
      <w:r w:rsidR="00827438">
        <w:t xml:space="preserve"> in the late Nineteenth Century</w:t>
      </w:r>
      <w:r>
        <w:t xml:space="preserve"> are hard to quantify due to data limitations. Commission estimates show that the higher ratio of males to females in Australia</w:t>
      </w:r>
      <w:r w:rsidRPr="0008559C">
        <w:rPr>
          <w:rStyle w:val="FootnoteReference"/>
        </w:rPr>
        <w:footnoteReference w:id="9"/>
      </w:r>
      <w:r>
        <w:t xml:space="preserve"> at that time, along with price effects (including favourable terms of trade), together account for about a third of this rise in relative income (figure 9). The higher ratio of males to females in Australia at this time was due to a historically high level of migration </w:t>
      </w:r>
      <w:r w:rsidR="007407AC">
        <w:t>that</w:t>
      </w:r>
      <w:r>
        <w:t xml:space="preserve"> slowly dissipated</w:t>
      </w:r>
      <w:r w:rsidR="0011406E">
        <w:t xml:space="preserve">. </w:t>
      </w:r>
      <w:r>
        <w:t xml:space="preserve">This raised </w:t>
      </w:r>
      <w:r w:rsidR="00827438">
        <w:t xml:space="preserve">per capita </w:t>
      </w:r>
      <w:r>
        <w:t xml:space="preserve">incomes because labour force participation (in the formal market) was much higher among men at this time. The other </w:t>
      </w:r>
      <w:r w:rsidR="009C7583">
        <w:t>two thirds</w:t>
      </w:r>
      <w:r>
        <w:t xml:space="preserve"> of the relative income growth appears to be some combination of higher hours per male worker, higher participation of male workers and higher labour productivity</w:t>
      </w:r>
      <w:r w:rsidDel="004B5913">
        <w:t xml:space="preserve"> </w:t>
      </w:r>
      <w:r>
        <w:t>(together making up real GDP per male</w:t>
      </w:r>
      <w:r w:rsidR="004B5913">
        <w:t xml:space="preserve">) </w:t>
      </w:r>
      <w:r w:rsidR="008E65ED">
        <w:t>(figure 9)</w:t>
      </w:r>
      <w:r>
        <w:t xml:space="preserve">. These estimates are slightly different to McLean </w:t>
      </w:r>
      <w:r w:rsidRPr="00856445">
        <w:t>(2007)</w:t>
      </w:r>
      <w:r>
        <w:t xml:space="preserve"> who found about half of Australia’s income advantage at this time was due to a higher ratio </w:t>
      </w:r>
      <w:r w:rsidR="00827438">
        <w:t>of males to females,</w:t>
      </w:r>
      <w:r>
        <w:t xml:space="preserve"> with the remainder due to productivity.</w:t>
      </w:r>
    </w:p>
    <w:p w14:paraId="709C15D4" w14:textId="0EF0066B" w:rsidR="002C15C8" w:rsidRDefault="002C15C8" w:rsidP="002C15C8">
      <w:pPr>
        <w:pStyle w:val="BodyText"/>
      </w:pPr>
      <w:r>
        <w:t>Explaining Australia’s apparent productivity advantage involves a degree of speculation. Some economists have argued that Australia’s high growth of productivity was due to rapid expansion of the mining</w:t>
      </w:r>
      <w:r w:rsidR="001E6D4A">
        <w:t xml:space="preserve"> (due to the gold rush)</w:t>
      </w:r>
      <w:r>
        <w:t xml:space="preserve"> and agricultural industries which in their early phases made use of the most fertile land and newly discovered</w:t>
      </w:r>
      <w:r w:rsidR="00011597">
        <w:t xml:space="preserve"> (and easily accessed)</w:t>
      </w:r>
      <w:r>
        <w:t xml:space="preserve"> mineral deposits </w:t>
      </w:r>
      <w:r w:rsidR="00011597">
        <w:t>(</w:t>
      </w:r>
      <w:r>
        <w:t>such as alluvial gold)</w:t>
      </w:r>
      <w:r w:rsidR="00073C04">
        <w:t xml:space="preserve"> </w:t>
      </w:r>
      <w:r w:rsidR="00073C04" w:rsidRPr="00073C04">
        <w:rPr>
          <w:szCs w:val="24"/>
        </w:rPr>
        <w:t>(McLean 2007)</w:t>
      </w:r>
      <w:r>
        <w:t xml:space="preserve">. </w:t>
      </w:r>
    </w:p>
    <w:p w14:paraId="2EFE5822" w14:textId="398B8803" w:rsidR="004A75D3" w:rsidRPr="000E259E" w:rsidRDefault="004A75D3" w:rsidP="004A75D3">
      <w:pPr>
        <w:pStyle w:val="BodyText"/>
        <w:rPr>
          <w:spacing w:val="-2"/>
        </w:rPr>
      </w:pPr>
      <w:r w:rsidRPr="000E259E">
        <w:rPr>
          <w:spacing w:val="-2"/>
        </w:rPr>
        <w:t xml:space="preserve">To the extent that primary production does explain much of Australia’s initial productivity advantage, it should be remembered that countries are not guaranteed to benefit from their natural resource endowments. </w:t>
      </w:r>
      <w:r w:rsidR="002C6F17" w:rsidRPr="000E259E">
        <w:rPr>
          <w:spacing w:val="-2"/>
        </w:rPr>
        <w:t>D</w:t>
      </w:r>
      <w:r w:rsidRPr="000E259E">
        <w:rPr>
          <w:spacing w:val="-2"/>
        </w:rPr>
        <w:t>iscover</w:t>
      </w:r>
      <w:r w:rsidR="002C6F17" w:rsidRPr="000E259E">
        <w:rPr>
          <w:spacing w:val="-2"/>
        </w:rPr>
        <w:t>ing</w:t>
      </w:r>
      <w:r w:rsidRPr="000E259E">
        <w:rPr>
          <w:spacing w:val="-2"/>
        </w:rPr>
        <w:t xml:space="preserve"> and extract</w:t>
      </w:r>
      <w:r w:rsidR="00DE2235" w:rsidRPr="000E259E">
        <w:rPr>
          <w:spacing w:val="-2"/>
        </w:rPr>
        <w:t>ing</w:t>
      </w:r>
      <w:r w:rsidRPr="000E259E">
        <w:rPr>
          <w:spacing w:val="-2"/>
        </w:rPr>
        <w:t xml:space="preserve"> natural resources requires </w:t>
      </w:r>
      <w:r w:rsidRPr="000E259E">
        <w:rPr>
          <w:spacing w:val="-2"/>
        </w:rPr>
        <w:lastRenderedPageBreak/>
        <w:t>significant entrepreneurship and adaptation to local conditions. And this is only possible under conditions of well</w:t>
      </w:r>
      <w:r w:rsidR="00F60995" w:rsidRPr="000E259E">
        <w:rPr>
          <w:spacing w:val="-2"/>
        </w:rPr>
        <w:noBreakHyphen/>
      </w:r>
      <w:r w:rsidRPr="000E259E">
        <w:rPr>
          <w:spacing w:val="-2"/>
        </w:rPr>
        <w:t>enforced property rights and provision of public goods</w:t>
      </w:r>
      <w:r w:rsidR="00073C04" w:rsidRPr="000E259E">
        <w:rPr>
          <w:spacing w:val="-2"/>
        </w:rPr>
        <w:t xml:space="preserve"> </w:t>
      </w:r>
      <w:r w:rsidR="00073C04" w:rsidRPr="000E259E">
        <w:rPr>
          <w:spacing w:val="-2"/>
          <w:szCs w:val="24"/>
        </w:rPr>
        <w:t>(McLean 2013)</w:t>
      </w:r>
      <w:r w:rsidRPr="000E259E">
        <w:rPr>
          <w:spacing w:val="-2"/>
        </w:rPr>
        <w:t xml:space="preserve">. </w:t>
      </w:r>
    </w:p>
    <w:p w14:paraId="6E87DC67" w14:textId="7DACF662" w:rsidR="004A75D3" w:rsidRDefault="00F744C9" w:rsidP="004A75D3">
      <w:pPr>
        <w:pStyle w:val="BodyText"/>
      </w:pPr>
      <w:r>
        <w:t>A</w:t>
      </w:r>
      <w:r w:rsidR="001C4BA9">
        <w:t xml:space="preserve">s </w:t>
      </w:r>
      <w:r w:rsidR="004A75D3">
        <w:t>will be discussed below, it is likely that, although important, our natural resource endowments do not explain all of Australia’s rise, and subsequent fall, in relative productivity growth.</w:t>
      </w:r>
    </w:p>
    <w:p w14:paraId="6D1F4344" w14:textId="7E31E8FD" w:rsidR="004A75D3" w:rsidRDefault="004A75D3" w:rsidP="004A75D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75D3" w14:paraId="1C191F76" w14:textId="77777777" w:rsidTr="29E7BBAE">
        <w:trPr>
          <w:tblHeader/>
        </w:trPr>
        <w:tc>
          <w:tcPr>
            <w:tcW w:w="5000" w:type="pct"/>
            <w:tcBorders>
              <w:top w:val="single" w:sz="6" w:space="0" w:color="78A22F" w:themeColor="accent1"/>
              <w:left w:val="nil"/>
              <w:bottom w:val="nil"/>
              <w:right w:val="nil"/>
            </w:tcBorders>
            <w:shd w:val="clear" w:color="auto" w:fill="auto"/>
          </w:tcPr>
          <w:p w14:paraId="63647E9D" w14:textId="09521D1E" w:rsidR="004A75D3" w:rsidRPr="0023363B" w:rsidRDefault="004A75D3" w:rsidP="004A75D3">
            <w:pPr>
              <w:pStyle w:val="FigureTitle"/>
              <w:rPr>
                <w:rFonts w:cs="Arial"/>
                <w:spacing w:val="-6"/>
                <w:sz w:val="24"/>
                <w:szCs w:val="24"/>
              </w:rPr>
            </w:pPr>
            <w:r w:rsidRPr="0023363B">
              <w:rPr>
                <w:rFonts w:cs="Arial"/>
                <w:b w:val="0"/>
                <w:sz w:val="24"/>
                <w:szCs w:val="24"/>
              </w:rPr>
              <w:t xml:space="preserve">Figure </w:t>
            </w:r>
            <w:r w:rsidR="00CE55C0" w:rsidRPr="0023363B">
              <w:rPr>
                <w:rFonts w:cs="Arial"/>
                <w:b w:val="0"/>
                <w:sz w:val="24"/>
                <w:szCs w:val="24"/>
              </w:rPr>
              <w:t>9</w:t>
            </w:r>
            <w:r w:rsidRPr="0023363B">
              <w:rPr>
                <w:rFonts w:cs="Arial"/>
                <w:sz w:val="24"/>
                <w:szCs w:val="24"/>
              </w:rPr>
              <w:tab/>
            </w:r>
            <w:r w:rsidRPr="0023363B">
              <w:rPr>
                <w:rFonts w:cs="Arial"/>
                <w:spacing w:val="-6"/>
                <w:sz w:val="24"/>
                <w:szCs w:val="24"/>
              </w:rPr>
              <w:t xml:space="preserve">A high ratio of males to females and terms of trade explain about </w:t>
            </w:r>
            <w:r w:rsidR="0012498B" w:rsidRPr="0023363B">
              <w:rPr>
                <w:rFonts w:cs="Arial"/>
                <w:spacing w:val="-6"/>
                <w:sz w:val="24"/>
                <w:szCs w:val="24"/>
              </w:rPr>
              <w:t xml:space="preserve">one </w:t>
            </w:r>
            <w:r w:rsidR="00185DC2" w:rsidRPr="0023363B">
              <w:rPr>
                <w:rFonts w:cs="Arial"/>
                <w:spacing w:val="-6"/>
                <w:sz w:val="24"/>
                <w:szCs w:val="24"/>
              </w:rPr>
              <w:t>third</w:t>
            </w:r>
            <w:r w:rsidR="001875B2" w:rsidRPr="0023363B">
              <w:rPr>
                <w:rFonts w:cs="Arial"/>
                <w:spacing w:val="-6"/>
                <w:sz w:val="24"/>
                <w:szCs w:val="24"/>
              </w:rPr>
              <w:t xml:space="preserve"> </w:t>
            </w:r>
            <w:r w:rsidRPr="0023363B">
              <w:rPr>
                <w:rFonts w:cs="Arial"/>
                <w:spacing w:val="-6"/>
                <w:sz w:val="24"/>
                <w:szCs w:val="24"/>
              </w:rPr>
              <w:t xml:space="preserve">of Australia’s rise to </w:t>
            </w:r>
            <w:r w:rsidR="0012498B" w:rsidRPr="0023363B">
              <w:rPr>
                <w:rFonts w:cs="Arial"/>
                <w:spacing w:val="-6"/>
                <w:sz w:val="24"/>
                <w:szCs w:val="24"/>
              </w:rPr>
              <w:t xml:space="preserve">the </w:t>
            </w:r>
            <w:r w:rsidRPr="0023363B">
              <w:rPr>
                <w:rFonts w:cs="Arial"/>
                <w:spacing w:val="-6"/>
                <w:sz w:val="24"/>
                <w:szCs w:val="24"/>
              </w:rPr>
              <w:t xml:space="preserve">top of the income </w:t>
            </w:r>
            <w:r w:rsidR="000744F9" w:rsidRPr="0023363B">
              <w:rPr>
                <w:rFonts w:cs="Arial"/>
                <w:spacing w:val="-6"/>
                <w:sz w:val="24"/>
                <w:szCs w:val="24"/>
              </w:rPr>
              <w:t>ladder</w:t>
            </w:r>
          </w:p>
          <w:p w14:paraId="215A3111" w14:textId="77777777" w:rsidR="004A75D3" w:rsidRPr="00176D3F" w:rsidRDefault="004A75D3" w:rsidP="004A75D3">
            <w:pPr>
              <w:pStyle w:val="Subtitle"/>
            </w:pPr>
            <w:r>
              <w:t>Ratio of AUS to US GDP per capita</w:t>
            </w:r>
            <w:r w:rsidRPr="005E071A">
              <w:rPr>
                <w:rStyle w:val="NoteLabel"/>
              </w:rPr>
              <w:t>a</w:t>
            </w:r>
            <w:r>
              <w:t xml:space="preserve"> in 1820 and 1890, along with the percentage point contributions to this shift from price effects,</w:t>
            </w:r>
            <w:r>
              <w:rPr>
                <w:rStyle w:val="NoteLabel"/>
              </w:rPr>
              <w:t>b</w:t>
            </w:r>
            <w:r>
              <w:t xml:space="preserve"> gender ratios</w:t>
            </w:r>
            <w:r w:rsidRPr="005E071A">
              <w:rPr>
                <w:rStyle w:val="NoteLabel"/>
              </w:rPr>
              <w:t>c</w:t>
            </w:r>
            <w:r>
              <w:t xml:space="preserve"> and growth in real GDP per male</w:t>
            </w:r>
            <w:r w:rsidRPr="005E071A">
              <w:rPr>
                <w:rStyle w:val="NoteLabel"/>
              </w:rPr>
              <w:t>d</w:t>
            </w:r>
          </w:p>
        </w:tc>
      </w:tr>
      <w:tr w:rsidR="004A75D3" w14:paraId="34F1FDA8"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A75D3" w:rsidRPr="00B1465D" w14:paraId="3679998D" w14:textId="77777777" w:rsidTr="29E7BBAE">
              <w:trPr>
                <w:tblHeader/>
                <w:jc w:val="center"/>
              </w:trPr>
              <w:tc>
                <w:tcPr>
                  <w:tcW w:w="5000" w:type="pct"/>
                  <w:tcBorders>
                    <w:top w:val="nil"/>
                    <w:bottom w:val="nil"/>
                  </w:tcBorders>
                </w:tcPr>
                <w:p w14:paraId="0AD8B3E2" w14:textId="7F933C48" w:rsidR="004A75D3" w:rsidRPr="00B1465D" w:rsidRDefault="009B293C" w:rsidP="004A75D3">
                  <w:pPr>
                    <w:pStyle w:val="Figure"/>
                    <w:spacing w:before="60" w:after="60"/>
                    <w:rPr>
                      <w:rFonts w:ascii="Arial" w:hAnsi="Arial" w:cs="Arial"/>
                      <w:sz w:val="18"/>
                      <w:szCs w:val="18"/>
                    </w:rPr>
                  </w:pPr>
                  <w:r w:rsidRPr="009B293C">
                    <w:rPr>
                      <w:rFonts w:ascii="Arial" w:hAnsi="Arial" w:cs="Arial"/>
                      <w:noProof/>
                      <w:sz w:val="18"/>
                      <w:szCs w:val="18"/>
                    </w:rPr>
                    <w:drawing>
                      <wp:inline distT="0" distB="0" distL="0" distR="0" wp14:anchorId="625D82E5" wp14:editId="75F62917">
                        <wp:extent cx="5436000" cy="2803344"/>
                        <wp:effectExtent l="0" t="0" r="0" b="0"/>
                        <wp:docPr id="35" name="Picture 35" descr="This chart shows the ratio of AUS to US GDP per capita in 1820 and 1890, along with the percentage point contributions to this shift from price effects, gender ratios and growth in real GDP per male. It shows that from 1820 to 1890, Australia’s GDP per capita as a proportion of that in the US grew from 33 per cent to 123 per cent. Price effects contributed 6 percentage points to this increase, gender ratios contributed 26 percentage points to this increase, and the remaining 52 percentage points of this increase are attributed to the difference in real GDP per m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36000" cy="2803344"/>
                                </a:xfrm>
                                <a:prstGeom prst="rect">
                                  <a:avLst/>
                                </a:prstGeom>
                                <a:noFill/>
                                <a:ln>
                                  <a:noFill/>
                                </a:ln>
                              </pic:spPr>
                            </pic:pic>
                          </a:graphicData>
                        </a:graphic>
                      </wp:inline>
                    </w:drawing>
                  </w:r>
                </w:p>
              </w:tc>
            </w:tr>
          </w:tbl>
          <w:p w14:paraId="720495C1" w14:textId="77777777" w:rsidR="004A75D3" w:rsidRDefault="004A75D3" w:rsidP="004A75D3">
            <w:pPr>
              <w:pStyle w:val="Figure"/>
            </w:pPr>
          </w:p>
        </w:tc>
      </w:tr>
      <w:tr w:rsidR="004A75D3" w:rsidRPr="00176D3F" w14:paraId="18AE1B11" w14:textId="77777777" w:rsidTr="29E7BBAE">
        <w:tc>
          <w:tcPr>
            <w:tcW w:w="5000" w:type="pct"/>
            <w:tcBorders>
              <w:top w:val="nil"/>
              <w:left w:val="nil"/>
              <w:bottom w:val="nil"/>
              <w:right w:val="nil"/>
            </w:tcBorders>
            <w:shd w:val="clear" w:color="auto" w:fill="auto"/>
          </w:tcPr>
          <w:p w14:paraId="429CE947" w14:textId="58E19FD2" w:rsidR="004A75D3" w:rsidRPr="00176D3F" w:rsidRDefault="004A75D3" w:rsidP="004A75D3">
            <w:pPr>
              <w:pStyle w:val="Note"/>
            </w:pPr>
            <w:r>
              <w:rPr>
                <w:rStyle w:val="NoteLabel"/>
              </w:rPr>
              <w:t>a</w:t>
            </w:r>
            <w:r>
              <w:t xml:space="preserve"> Both in of 2010 USD (current PPP). </w:t>
            </w:r>
            <w:r>
              <w:rPr>
                <w:rStyle w:val="NoteLabel"/>
              </w:rPr>
              <w:t>b</w:t>
            </w:r>
            <w:r>
              <w:t xml:space="preserve"> Price effects are due to differences in the growth of real GDP per capita (using current PPP) and real GDP per capita (using constant PPP). These include the effects of the terms of trade. </w:t>
            </w:r>
            <w:r>
              <w:rPr>
                <w:rStyle w:val="NoteLabel"/>
              </w:rPr>
              <w:t>c</w:t>
            </w:r>
            <w:r>
              <w:t xml:space="preserve"> The effect of gender ratios is the difference between real GDP per capita growth (constant PPP) and growth in real GDP per male. </w:t>
            </w:r>
            <w:r>
              <w:rPr>
                <w:rStyle w:val="NoteLabel"/>
              </w:rPr>
              <w:t>d</w:t>
            </w:r>
            <w:r>
              <w:t xml:space="preserve"> Real GDP per male is total GDP divided by the total number of males (of any age).</w:t>
            </w:r>
          </w:p>
        </w:tc>
      </w:tr>
      <w:tr w:rsidR="004A75D3" w:rsidRPr="00176D3F" w14:paraId="4535911D" w14:textId="77777777" w:rsidTr="29E7BBAE">
        <w:tc>
          <w:tcPr>
            <w:tcW w:w="5000" w:type="pct"/>
            <w:tcBorders>
              <w:top w:val="nil"/>
              <w:left w:val="nil"/>
              <w:bottom w:val="nil"/>
              <w:right w:val="nil"/>
            </w:tcBorders>
            <w:shd w:val="clear" w:color="auto" w:fill="auto"/>
          </w:tcPr>
          <w:p w14:paraId="6A511F95" w14:textId="67F2F27E" w:rsidR="004A75D3" w:rsidRPr="00176D3F" w:rsidRDefault="004A75D3" w:rsidP="000E259E">
            <w:pPr>
              <w:pStyle w:val="Source"/>
              <w:spacing w:after="0"/>
            </w:pPr>
            <w:r>
              <w:rPr>
                <w:i/>
              </w:rPr>
              <w:t>S</w:t>
            </w:r>
            <w:r w:rsidRPr="00784A05">
              <w:rPr>
                <w:i/>
              </w:rPr>
              <w:t>ource</w:t>
            </w:r>
            <w:r w:rsidR="001875B2">
              <w:rPr>
                <w:i/>
              </w:rPr>
              <w:t>s</w:t>
            </w:r>
            <w:r w:rsidRPr="00176D3F">
              <w:t xml:space="preserve">: </w:t>
            </w:r>
            <w:r>
              <w:t xml:space="preserve">Commission estimates using Bergeaud et al. </w:t>
            </w:r>
            <w:r w:rsidRPr="00011ADD">
              <w:rPr>
                <w:rFonts w:cs="Arial"/>
              </w:rPr>
              <w:t>(2017)</w:t>
            </w:r>
            <w:r>
              <w:t xml:space="preserve">; Butlin et al. </w:t>
            </w:r>
            <w:r w:rsidRPr="00011ADD">
              <w:rPr>
                <w:rFonts w:cs="Arial"/>
              </w:rPr>
              <w:t>(2015)</w:t>
            </w:r>
            <w:r>
              <w:t xml:space="preserve">; and US Censuses. </w:t>
            </w:r>
          </w:p>
        </w:tc>
      </w:tr>
      <w:tr w:rsidR="004A75D3" w14:paraId="0E38CAB1" w14:textId="77777777" w:rsidTr="29E7BBAE">
        <w:tc>
          <w:tcPr>
            <w:tcW w:w="5000" w:type="pct"/>
            <w:tcBorders>
              <w:top w:val="nil"/>
              <w:left w:val="nil"/>
              <w:bottom w:val="single" w:sz="6" w:space="0" w:color="78A22F" w:themeColor="accent1"/>
              <w:right w:val="nil"/>
            </w:tcBorders>
            <w:shd w:val="clear" w:color="auto" w:fill="auto"/>
          </w:tcPr>
          <w:p w14:paraId="330CD449" w14:textId="77777777" w:rsidR="004A75D3" w:rsidRDefault="004A75D3" w:rsidP="004A75D3">
            <w:pPr>
              <w:pStyle w:val="Figurespace"/>
            </w:pPr>
          </w:p>
        </w:tc>
      </w:tr>
      <w:tr w:rsidR="004A75D3" w:rsidRPr="000863A5" w14:paraId="17F23A78" w14:textId="77777777" w:rsidTr="29E7BBAE">
        <w:tc>
          <w:tcPr>
            <w:tcW w:w="5000" w:type="pct"/>
            <w:tcBorders>
              <w:top w:val="single" w:sz="6" w:space="0" w:color="78A22F" w:themeColor="accent1"/>
              <w:left w:val="nil"/>
              <w:bottom w:val="nil"/>
              <w:right w:val="nil"/>
            </w:tcBorders>
          </w:tcPr>
          <w:p w14:paraId="33C4976F" w14:textId="5BC42659" w:rsidR="004A75D3" w:rsidRPr="00626D32" w:rsidRDefault="004A75D3" w:rsidP="004A75D3">
            <w:pPr>
              <w:pStyle w:val="BoxSpaceBelow"/>
            </w:pPr>
          </w:p>
        </w:tc>
      </w:tr>
    </w:tbl>
    <w:p w14:paraId="42B9C976" w14:textId="4C55AFDE" w:rsidR="004A75D3" w:rsidRDefault="00C7562A" w:rsidP="00FD1744">
      <w:pPr>
        <w:pStyle w:val="Heading3"/>
      </w:pPr>
      <w:r>
        <w:t>Losing the top spot on the income ladder</w:t>
      </w:r>
    </w:p>
    <w:p w14:paraId="6C7292B9" w14:textId="6A86C364" w:rsidR="004A75D3" w:rsidRDefault="001C4BA9" w:rsidP="004A75D3">
      <w:pPr>
        <w:pStyle w:val="BodyText"/>
      </w:pPr>
      <w:r>
        <w:t xml:space="preserve">In the period from 1890 to 1990, Australia’s per capita income fell relative to that of the United States. </w:t>
      </w:r>
      <w:r w:rsidR="004A75D3">
        <w:t xml:space="preserve">It is important not to overstate </w:t>
      </w:r>
      <w:r>
        <w:t>this</w:t>
      </w:r>
      <w:r w:rsidR="004A75D3">
        <w:t xml:space="preserve"> relative decline. At no point since the early Nineteenth Century has Australia failed to be among the </w:t>
      </w:r>
      <w:r w:rsidR="001875B2">
        <w:t xml:space="preserve">world’s </w:t>
      </w:r>
      <w:r w:rsidR="004A75D3">
        <w:t>advanced economies, with a high standard of living in relative terms. And in many respects Australia was fortunate to avoid the kind of decline seen in some other economies</w:t>
      </w:r>
      <w:r>
        <w:t xml:space="preserve"> with similar starting points</w:t>
      </w:r>
      <w:r w:rsidR="00185DC2">
        <w:t>,</w:t>
      </w:r>
      <w:r w:rsidR="004A75D3">
        <w:t xml:space="preserve"> such as Argentina. Nonetheless, Australia’s relative economic performance was significantly worse in the century after 1890 than in the seventy years before that date. </w:t>
      </w:r>
      <w:r w:rsidR="003F50E9">
        <w:t xml:space="preserve">And this </w:t>
      </w:r>
      <w:r w:rsidR="006B3954">
        <w:t xml:space="preserve">relative decline </w:t>
      </w:r>
      <w:r w:rsidR="006B3954">
        <w:lastRenderedPageBreak/>
        <w:t xml:space="preserve">in </w:t>
      </w:r>
      <w:r w:rsidR="009C7583">
        <w:t>income</w:t>
      </w:r>
      <w:r w:rsidR="006B3954">
        <w:t xml:space="preserve"> </w:t>
      </w:r>
      <w:r w:rsidR="0090352B">
        <w:t>is not just due to comparison with the</w:t>
      </w:r>
      <w:r w:rsidR="002F43B7">
        <w:t xml:space="preserve"> US</w:t>
      </w:r>
      <w:r w:rsidR="003F50E9">
        <w:t xml:space="preserve">, </w:t>
      </w:r>
      <w:r w:rsidR="00185DC2">
        <w:t xml:space="preserve">Australia </w:t>
      </w:r>
      <w:r w:rsidR="003F50E9">
        <w:t xml:space="preserve">declined against </w:t>
      </w:r>
      <w:r w:rsidR="004E19B2">
        <w:t>a</w:t>
      </w:r>
      <w:r w:rsidR="003F50E9">
        <w:t xml:space="preserve"> broader groups of countries as well (figure </w:t>
      </w:r>
      <w:r w:rsidR="00D86730">
        <w:t>10</w:t>
      </w:r>
      <w:r w:rsidR="003F50E9">
        <w:t>).</w:t>
      </w:r>
    </w:p>
    <w:p w14:paraId="0273C1C4" w14:textId="0F0008AA" w:rsidR="003B4AC7" w:rsidRDefault="003B4AC7" w:rsidP="00F0138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B4AC7" w14:paraId="745CB115" w14:textId="77777777" w:rsidTr="29E7BBAE">
        <w:trPr>
          <w:tblHeader/>
        </w:trPr>
        <w:tc>
          <w:tcPr>
            <w:tcW w:w="5000" w:type="pct"/>
            <w:tcBorders>
              <w:top w:val="single" w:sz="6" w:space="0" w:color="78A22F" w:themeColor="accent1"/>
              <w:left w:val="nil"/>
              <w:bottom w:val="nil"/>
              <w:right w:val="nil"/>
            </w:tcBorders>
            <w:shd w:val="clear" w:color="auto" w:fill="auto"/>
          </w:tcPr>
          <w:p w14:paraId="2DDD27BD" w14:textId="2FDFADB0" w:rsidR="003B4AC7" w:rsidRPr="000E259E" w:rsidRDefault="003B4AC7" w:rsidP="00F0138B">
            <w:pPr>
              <w:pStyle w:val="FigureTitle"/>
              <w:rPr>
                <w:sz w:val="24"/>
                <w:szCs w:val="24"/>
              </w:rPr>
            </w:pPr>
            <w:r w:rsidRPr="000E259E">
              <w:rPr>
                <w:b w:val="0"/>
                <w:sz w:val="24"/>
                <w:szCs w:val="24"/>
              </w:rPr>
              <w:t xml:space="preserve">Figure </w:t>
            </w:r>
            <w:r w:rsidR="00CE55C0" w:rsidRPr="000E259E">
              <w:rPr>
                <w:b w:val="0"/>
                <w:sz w:val="24"/>
                <w:szCs w:val="24"/>
              </w:rPr>
              <w:t>10</w:t>
            </w:r>
            <w:r w:rsidRPr="000E259E">
              <w:rPr>
                <w:sz w:val="24"/>
                <w:szCs w:val="24"/>
              </w:rPr>
              <w:tab/>
              <w:t>Australia’s relative income declined against a broad set of countries in the Twentieth Century</w:t>
            </w:r>
          </w:p>
          <w:p w14:paraId="184A4599" w14:textId="77777777" w:rsidR="003B4AC7" w:rsidRPr="00176D3F" w:rsidRDefault="003B4AC7" w:rsidP="00F0138B">
            <w:pPr>
              <w:pStyle w:val="Subtitle"/>
            </w:pPr>
            <w:r>
              <w:t>GDP per capita in Australia, the G7 and a proxy for the world economy</w:t>
            </w:r>
            <w:r w:rsidRPr="003B4AC7">
              <w:rPr>
                <w:rStyle w:val="NoteLabel"/>
              </w:rPr>
              <w:t>a</w:t>
            </w:r>
            <w:r>
              <w:t>, as a proportion of US GDP per capita (US = 100)</w:t>
            </w:r>
          </w:p>
        </w:tc>
      </w:tr>
      <w:tr w:rsidR="003B4AC7" w14:paraId="3521300A"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B4AC7" w:rsidRPr="00B1465D" w14:paraId="2CAF0D26" w14:textId="77777777" w:rsidTr="29E7BBAE">
              <w:trPr>
                <w:tblHeader/>
                <w:jc w:val="center"/>
              </w:trPr>
              <w:tc>
                <w:tcPr>
                  <w:tcW w:w="5000" w:type="pct"/>
                  <w:tcBorders>
                    <w:top w:val="nil"/>
                    <w:bottom w:val="nil"/>
                  </w:tcBorders>
                </w:tcPr>
                <w:p w14:paraId="23025CCE" w14:textId="644AAA22" w:rsidR="003B4AC7" w:rsidRPr="00B1465D" w:rsidRDefault="00067D9E" w:rsidP="00F0138B">
                  <w:pPr>
                    <w:pStyle w:val="Figure"/>
                    <w:spacing w:before="60" w:after="60"/>
                    <w:rPr>
                      <w:rFonts w:ascii="Arial" w:hAnsi="Arial" w:cs="Arial"/>
                      <w:sz w:val="18"/>
                      <w:szCs w:val="18"/>
                    </w:rPr>
                  </w:pPr>
                  <w:r w:rsidRPr="00067D9E">
                    <w:rPr>
                      <w:rFonts w:ascii="Arial" w:hAnsi="Arial" w:cs="Arial"/>
                      <w:noProof/>
                      <w:sz w:val="18"/>
                      <w:szCs w:val="18"/>
                    </w:rPr>
                    <w:drawing>
                      <wp:inline distT="0" distB="0" distL="0" distR="0" wp14:anchorId="5F6ACAD6" wp14:editId="67361B86">
                        <wp:extent cx="5400040" cy="3234690"/>
                        <wp:effectExtent l="0" t="0" r="0" b="3810"/>
                        <wp:docPr id="48" name="Picture 48" descr="This chart shows GDP per capita in Australia, the G7 and a proxy for the world economy, as a proportion of US GDP per capita from 1870 to 2016. The chart shows that Australia had a higher GDP per capita than the US until the very late 1890s, which then fluctuated around parity until approximately the end of WWII, and then declined in the post-war years steadily until the 1980s where it reached approximately 70 per cent of the US level, and then increased again to approximately 85 per cent by 2016. This chart shows that by contrast, the G7 average of GDP per capita has remained remarkably stable at approximately 80 per cent of the US level across the period, with a slight upward drift in the last 30 years of a few percentage points. Similarly, the chart shows that the world average of GDP per capita has been remarkably stable as a proportion of US GDP per capita, at approximately 60 per cent, except for the WWII period and its immediate aftermath which showed a 20 per cent decline, then post-war rebound completed by the 1970s. The chosen set of countries for the world proxy is the weighted average GDP per capita growth of: Austria, Belgium, Denmark, Finland, France, Germany, Italy, the Netherlands, Norway, Sweden, Switzerland, the United Kingdom, Canada, the United States, Argentina, Brazil, Chile, Columbia, Mexico, Peru, Uruguay, Venezuela and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his chart shows GDP per capita in Australia, the G7 and a proxy for the world economy, as a proportion of US GDP per capita from 1870 to 2016. The chart shows that Australia had a higher GDP per capita than the US until the very late 1890s, which then fluctuated around parity until approximately the end of WWII, and then declined in the post-war years steadily until the 1980s where it reached approximately 70 per cent of the US level, and then increased again to approximately 85 per cent by 2016. This chart shows that by contrast, the G7 average of GDP per capita has remained remarkably stable at approximately 80 per cent of the US level across the period, with a slight upward drift in the last 30 years of a few percentage points. Similarly, the chart shows that the world average of GDP per capita has been remarkably stable as a proportion of US GDP per capita, at approximately 60 per cent, except for the WWII period and its immediate aftermath which showed a 20 per cent decline, then post-war rebound completed by the 1970s. The chosen set of countries for the world proxy is the weighted average GDP per capita growth of: Austria, Belgium, Denmark, Finland, France, Germany, Italy, the Netherlands, Norway, Sweden, Switzerland, the United Kingdom, Canada, the United States, Argentina, Brazil, Chile, Columbia, Mexico, Peru, Uruguay, Venezuela and Japa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0040" cy="3234690"/>
                                </a:xfrm>
                                <a:prstGeom prst="rect">
                                  <a:avLst/>
                                </a:prstGeom>
                                <a:noFill/>
                                <a:ln>
                                  <a:noFill/>
                                </a:ln>
                              </pic:spPr>
                            </pic:pic>
                          </a:graphicData>
                        </a:graphic>
                      </wp:inline>
                    </w:drawing>
                  </w:r>
                </w:p>
              </w:tc>
            </w:tr>
          </w:tbl>
          <w:p w14:paraId="52983B21" w14:textId="77777777" w:rsidR="003B4AC7" w:rsidRDefault="003B4AC7" w:rsidP="00F0138B">
            <w:pPr>
              <w:pStyle w:val="Figure"/>
            </w:pPr>
          </w:p>
        </w:tc>
      </w:tr>
      <w:tr w:rsidR="003B4AC7" w:rsidRPr="00176D3F" w14:paraId="15EAB113" w14:textId="77777777" w:rsidTr="29E7BBAE">
        <w:tc>
          <w:tcPr>
            <w:tcW w:w="5000" w:type="pct"/>
            <w:tcBorders>
              <w:top w:val="nil"/>
              <w:left w:val="nil"/>
              <w:bottom w:val="nil"/>
              <w:right w:val="nil"/>
            </w:tcBorders>
            <w:shd w:val="clear" w:color="auto" w:fill="auto"/>
          </w:tcPr>
          <w:p w14:paraId="553CBB4F" w14:textId="256949B3" w:rsidR="003B4AC7" w:rsidRPr="00176D3F" w:rsidRDefault="003B4AC7" w:rsidP="00185DC2">
            <w:pPr>
              <w:pStyle w:val="Note"/>
            </w:pPr>
            <w:r>
              <w:rPr>
                <w:rStyle w:val="NoteLabel"/>
              </w:rPr>
              <w:t>a</w:t>
            </w:r>
            <w:r>
              <w:t xml:space="preserve"> The chosen set of countries for the world proxy is</w:t>
            </w:r>
            <w:r w:rsidR="00CF3D1E">
              <w:t xml:space="preserve"> the weighted average GDP per capita growth of</w:t>
            </w:r>
            <w:r>
              <w:t xml:space="preserve">: </w:t>
            </w:r>
            <w:r w:rsidR="00185DC2">
              <w:t>Austria, Belgium, Denmark, Finland, France, Germany, Italy, the Netherlands, Norway, Sweden, Switzerland, the United Kingdom, Canada, the United States, Argentina, Brazil, Chile, Columbia, Mexico, Peru, Uruguay, Venezuela and Japan</w:t>
            </w:r>
            <w:r>
              <w:t>.</w:t>
            </w:r>
          </w:p>
        </w:tc>
      </w:tr>
      <w:tr w:rsidR="003B4AC7" w:rsidRPr="00176D3F" w14:paraId="49277CA4" w14:textId="77777777" w:rsidTr="29E7BBAE">
        <w:tc>
          <w:tcPr>
            <w:tcW w:w="5000" w:type="pct"/>
            <w:tcBorders>
              <w:top w:val="nil"/>
              <w:left w:val="nil"/>
              <w:bottom w:val="nil"/>
              <w:right w:val="nil"/>
            </w:tcBorders>
            <w:shd w:val="clear" w:color="auto" w:fill="auto"/>
          </w:tcPr>
          <w:p w14:paraId="6797E48A" w14:textId="5570923F" w:rsidR="003B4AC7" w:rsidRPr="00176D3F" w:rsidRDefault="003B4AC7" w:rsidP="000E259E">
            <w:pPr>
              <w:pStyle w:val="Source"/>
              <w:spacing w:after="0"/>
            </w:pPr>
            <w:r>
              <w:rPr>
                <w:i/>
              </w:rPr>
              <w:t>S</w:t>
            </w:r>
            <w:r w:rsidRPr="00784A05">
              <w:rPr>
                <w:i/>
              </w:rPr>
              <w:t>ource</w:t>
            </w:r>
            <w:r w:rsidRPr="00176D3F">
              <w:t xml:space="preserve">: </w:t>
            </w:r>
            <w:r w:rsidR="00A52304">
              <w:t xml:space="preserve">Commission estimates using </w:t>
            </w:r>
            <w:r>
              <w:t xml:space="preserve">Bergeaud et al. </w:t>
            </w:r>
            <w:r w:rsidRPr="003B4AC7">
              <w:rPr>
                <w:rFonts w:cs="Arial"/>
              </w:rPr>
              <w:t>(2017)</w:t>
            </w:r>
            <w:r>
              <w:t xml:space="preserve">. </w:t>
            </w:r>
          </w:p>
        </w:tc>
      </w:tr>
      <w:tr w:rsidR="003B4AC7" w14:paraId="2055F0B6" w14:textId="77777777" w:rsidTr="29E7BBAE">
        <w:tc>
          <w:tcPr>
            <w:tcW w:w="5000" w:type="pct"/>
            <w:tcBorders>
              <w:top w:val="nil"/>
              <w:left w:val="nil"/>
              <w:bottom w:val="single" w:sz="6" w:space="0" w:color="78A22F" w:themeColor="accent1"/>
              <w:right w:val="nil"/>
            </w:tcBorders>
            <w:shd w:val="clear" w:color="auto" w:fill="auto"/>
          </w:tcPr>
          <w:p w14:paraId="0AE578BF" w14:textId="77777777" w:rsidR="003B4AC7" w:rsidRDefault="003B4AC7" w:rsidP="00F0138B">
            <w:pPr>
              <w:pStyle w:val="Figurespace"/>
            </w:pPr>
          </w:p>
        </w:tc>
      </w:tr>
      <w:tr w:rsidR="003B4AC7" w:rsidRPr="000863A5" w14:paraId="4D0660DD" w14:textId="77777777" w:rsidTr="29E7BBAE">
        <w:tc>
          <w:tcPr>
            <w:tcW w:w="5000" w:type="pct"/>
            <w:tcBorders>
              <w:top w:val="single" w:sz="6" w:space="0" w:color="78A22F" w:themeColor="accent1"/>
              <w:left w:val="nil"/>
              <w:bottom w:val="nil"/>
              <w:right w:val="nil"/>
            </w:tcBorders>
          </w:tcPr>
          <w:p w14:paraId="1C0027DF" w14:textId="0F591D8E" w:rsidR="003B4AC7" w:rsidRPr="00626D32" w:rsidRDefault="003B4AC7" w:rsidP="00F0138B">
            <w:pPr>
              <w:pStyle w:val="BoxSpaceBelow"/>
            </w:pPr>
          </w:p>
        </w:tc>
      </w:tr>
    </w:tbl>
    <w:p w14:paraId="08BEE9BC" w14:textId="6B0F7E41" w:rsidR="00B671A7" w:rsidRDefault="00B671A7" w:rsidP="004A75D3">
      <w:pPr>
        <w:pStyle w:val="BodyText"/>
      </w:pPr>
      <w:r>
        <w:t xml:space="preserve">Australia’s fall in relative living standards is </w:t>
      </w:r>
      <w:r w:rsidR="00D35C79">
        <w:t>smaller than</w:t>
      </w:r>
      <w:r>
        <w:t xml:space="preserve"> its fall in relative productivity (</w:t>
      </w:r>
      <w:r w:rsidR="00D55868">
        <w:t>table 1</w:t>
      </w:r>
      <w:r>
        <w:t xml:space="preserve">). Commission estimates show that between </w:t>
      </w:r>
      <w:r w:rsidR="005747E3">
        <w:t>1890 and 19</w:t>
      </w:r>
      <w:r w:rsidR="00D35C79">
        <w:t>50</w:t>
      </w:r>
      <w:r w:rsidR="005747E3">
        <w:t xml:space="preserve"> Australian </w:t>
      </w:r>
      <w:r w:rsidR="00B0543B">
        <w:t>labour productivity</w:t>
      </w:r>
      <w:r w:rsidR="005747E3">
        <w:t xml:space="preserve"> as a proportion of the US fell from </w:t>
      </w:r>
      <w:r w:rsidR="00D35C79">
        <w:t>about</w:t>
      </w:r>
      <w:r w:rsidR="005747E3">
        <w:t xml:space="preserve"> 1</w:t>
      </w:r>
      <w:r w:rsidR="00D35C79">
        <w:t>32</w:t>
      </w:r>
      <w:r w:rsidR="005747E3">
        <w:t xml:space="preserve"> per cent to </w:t>
      </w:r>
      <w:r w:rsidR="00D35C79">
        <w:t>about</w:t>
      </w:r>
      <w:r w:rsidR="005747E3">
        <w:t xml:space="preserve"> </w:t>
      </w:r>
      <w:r w:rsidR="00D35C79">
        <w:t>76</w:t>
      </w:r>
      <w:r w:rsidR="005747E3">
        <w:t xml:space="preserve"> per cent, while GDP per capita only fell from </w:t>
      </w:r>
      <w:r w:rsidR="00D35C79">
        <w:t>about</w:t>
      </w:r>
      <w:r w:rsidR="005747E3">
        <w:t xml:space="preserve"> 12</w:t>
      </w:r>
      <w:r w:rsidR="00D35C79">
        <w:t>3</w:t>
      </w:r>
      <w:r w:rsidR="005747E3">
        <w:t xml:space="preserve"> per cent to just </w:t>
      </w:r>
      <w:r w:rsidR="00D35C79">
        <w:t>under</w:t>
      </w:r>
      <w:r w:rsidR="005747E3">
        <w:t xml:space="preserve"> </w:t>
      </w:r>
      <w:r w:rsidR="00D35C79">
        <w:t>90</w:t>
      </w:r>
      <w:r w:rsidR="005747E3">
        <w:t xml:space="preserve"> per cent. But why did productivity fall so drastically? </w:t>
      </w:r>
      <w:r w:rsidR="00CD2135">
        <w:t>The initial drop appears to be due to the</w:t>
      </w:r>
      <w:r w:rsidR="005747E3">
        <w:t xml:space="preserve"> depression of the 1890s,</w:t>
      </w:r>
      <w:r w:rsidR="00CD2135">
        <w:t xml:space="preserve"> when</w:t>
      </w:r>
      <w:r w:rsidR="005747E3">
        <w:t xml:space="preserve"> Australia temporarily lost almost all of its productivity advantage but </w:t>
      </w:r>
      <w:r w:rsidR="001875B2">
        <w:t>recovered strongly</w:t>
      </w:r>
      <w:r w:rsidR="00CD2135">
        <w:t xml:space="preserve"> afterwards</w:t>
      </w:r>
      <w:r w:rsidR="001875B2">
        <w:t xml:space="preserve">, </w:t>
      </w:r>
      <w:r w:rsidR="005747E3">
        <w:t>regain</w:t>
      </w:r>
      <w:r w:rsidR="001875B2">
        <w:t>ing</w:t>
      </w:r>
      <w:r w:rsidR="005747E3">
        <w:t xml:space="preserve"> </w:t>
      </w:r>
      <w:r w:rsidR="007A190C">
        <w:t>most</w:t>
      </w:r>
      <w:r w:rsidR="005747E3">
        <w:t xml:space="preserve"> of its initial relative level by 191</w:t>
      </w:r>
      <w:r w:rsidR="007A190C">
        <w:t>3</w:t>
      </w:r>
      <w:r w:rsidR="005747E3">
        <w:t xml:space="preserve"> (rising to 1</w:t>
      </w:r>
      <w:r w:rsidR="007A190C">
        <w:t>21</w:t>
      </w:r>
      <w:r w:rsidR="005747E3">
        <w:t> per cent of US levels). From World War </w:t>
      </w:r>
      <w:r w:rsidR="009C7171">
        <w:t>One</w:t>
      </w:r>
      <w:r w:rsidR="00C23D8B">
        <w:t xml:space="preserve"> (WWI)</w:t>
      </w:r>
      <w:r w:rsidR="005747E3">
        <w:t xml:space="preserve"> until </w:t>
      </w:r>
      <w:r w:rsidR="007A190C">
        <w:t xml:space="preserve">the start </w:t>
      </w:r>
      <w:r w:rsidR="005747E3">
        <w:t>of World </w:t>
      </w:r>
      <w:r w:rsidR="007A190C">
        <w:t>War Two</w:t>
      </w:r>
      <w:r w:rsidR="00C23D8B">
        <w:t xml:space="preserve"> (WWII)</w:t>
      </w:r>
      <w:r w:rsidR="00F772C7">
        <w:t>,</w:t>
      </w:r>
      <w:r w:rsidR="007A190C">
        <w:t xml:space="preserve"> </w:t>
      </w:r>
      <w:r w:rsidR="00F23A20">
        <w:t>Australia experienced</w:t>
      </w:r>
      <w:r w:rsidR="007A190C">
        <w:t xml:space="preserve"> a gradual</w:t>
      </w:r>
      <w:r w:rsidR="005747E3">
        <w:t xml:space="preserve"> decline in both relative productivity and relative GDP per capita </w:t>
      </w:r>
      <w:r w:rsidR="002045BD">
        <w:t xml:space="preserve">and by the </w:t>
      </w:r>
      <w:r w:rsidR="005747E3">
        <w:t>post</w:t>
      </w:r>
      <w:r w:rsidR="005747E3">
        <w:noBreakHyphen/>
        <w:t>war period Australia was consistently lagging the US</w:t>
      </w:r>
      <w:r w:rsidR="002045BD">
        <w:t>, and continued to do so</w:t>
      </w:r>
      <w:r w:rsidR="005747E3">
        <w:t xml:space="preserve"> for the remainder of the century. </w:t>
      </w:r>
    </w:p>
    <w:p w14:paraId="1F1996E8" w14:textId="1DB63128" w:rsidR="001F7388" w:rsidRDefault="00EF394C" w:rsidP="004A75D3">
      <w:pPr>
        <w:pStyle w:val="BodyText"/>
      </w:pPr>
      <w:r>
        <w:lastRenderedPageBreak/>
        <w:t xml:space="preserve">Looking broadly over the period 1870 to 1950, Australia transitioned from being a high productivity, low participation and </w:t>
      </w:r>
      <w:r w:rsidR="009B5353">
        <w:t xml:space="preserve">low </w:t>
      </w:r>
      <w:r>
        <w:t>working hours economy into a low productivity, high participation</w:t>
      </w:r>
      <w:r w:rsidR="00E214D3">
        <w:t>,</w:t>
      </w:r>
      <w:r>
        <w:t xml:space="preserve"> and</w:t>
      </w:r>
      <w:r w:rsidR="00440195">
        <w:t xml:space="preserve"> high</w:t>
      </w:r>
      <w:r>
        <w:t xml:space="preserve"> working hours economy (relative to the US). </w:t>
      </w:r>
    </w:p>
    <w:p w14:paraId="33BF124E" w14:textId="68CF821D" w:rsidR="009862F7" w:rsidRDefault="009862F7" w:rsidP="009862F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862F7" w14:paraId="1860F5A5" w14:textId="77777777" w:rsidTr="009862F7">
        <w:trPr>
          <w:tblHeader/>
        </w:trPr>
        <w:tc>
          <w:tcPr>
            <w:tcW w:w="5000" w:type="pct"/>
            <w:tcBorders>
              <w:top w:val="single" w:sz="6" w:space="0" w:color="78A22F"/>
              <w:left w:val="nil"/>
              <w:bottom w:val="nil"/>
              <w:right w:val="nil"/>
            </w:tcBorders>
            <w:shd w:val="clear" w:color="auto" w:fill="auto"/>
          </w:tcPr>
          <w:p w14:paraId="442E13E0" w14:textId="07F32C98" w:rsidR="009862F7" w:rsidRPr="000E259E" w:rsidRDefault="009862F7" w:rsidP="009862F7">
            <w:pPr>
              <w:pStyle w:val="TableTitle"/>
              <w:rPr>
                <w:sz w:val="24"/>
                <w:szCs w:val="24"/>
              </w:rPr>
            </w:pPr>
            <w:r w:rsidRPr="000E259E">
              <w:rPr>
                <w:b w:val="0"/>
                <w:sz w:val="24"/>
                <w:szCs w:val="24"/>
              </w:rPr>
              <w:t xml:space="preserve">Table </w:t>
            </w:r>
            <w:r w:rsidR="00710FA6" w:rsidRPr="000E259E">
              <w:rPr>
                <w:b w:val="0"/>
                <w:sz w:val="24"/>
                <w:szCs w:val="24"/>
              </w:rPr>
              <w:t>1.</w:t>
            </w:r>
            <w:r w:rsidR="0094184E" w:rsidRPr="000E259E">
              <w:rPr>
                <w:b w:val="0"/>
                <w:noProof/>
                <w:sz w:val="24"/>
                <w:szCs w:val="24"/>
              </w:rPr>
              <w:t>1</w:t>
            </w:r>
            <w:r w:rsidRPr="000E259E">
              <w:rPr>
                <w:sz w:val="24"/>
                <w:szCs w:val="24"/>
              </w:rPr>
              <w:tab/>
              <w:t>Australian relative productivity appears to have declined gradually in the early Twentieth Century</w:t>
            </w:r>
          </w:p>
          <w:p w14:paraId="36BD548A" w14:textId="4F97149C" w:rsidR="009862F7" w:rsidRPr="00784A05" w:rsidRDefault="009862F7" w:rsidP="009862F7">
            <w:pPr>
              <w:pStyle w:val="Subtitle"/>
            </w:pPr>
            <w:r>
              <w:t>Ratio of different economic indicators in A</w:t>
            </w:r>
            <w:r w:rsidR="00D35C79">
              <w:t>ustralia compared to the Unite</w:t>
            </w:r>
            <w:r w:rsidR="00F75B4E">
              <w:t>d</w:t>
            </w:r>
            <w:r w:rsidR="00D35C79">
              <w:t> </w:t>
            </w:r>
            <w:r>
              <w:t>States (US =100)</w:t>
            </w:r>
          </w:p>
        </w:tc>
      </w:tr>
      <w:tr w:rsidR="009862F7" w14:paraId="1F1F5041" w14:textId="77777777" w:rsidTr="009862F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30"/>
              <w:gridCol w:w="933"/>
              <w:gridCol w:w="933"/>
              <w:gridCol w:w="934"/>
              <w:gridCol w:w="934"/>
              <w:gridCol w:w="934"/>
              <w:gridCol w:w="934"/>
              <w:gridCol w:w="934"/>
              <w:gridCol w:w="839"/>
            </w:tblGrid>
            <w:tr w:rsidR="009862F7" w14:paraId="73E0F322" w14:textId="77777777" w:rsidTr="009862F7">
              <w:trPr>
                <w:tblHeader/>
              </w:trPr>
              <w:tc>
                <w:tcPr>
                  <w:tcW w:w="648" w:type="pct"/>
                  <w:tcBorders>
                    <w:top w:val="single" w:sz="6" w:space="0" w:color="BFBFBF"/>
                    <w:bottom w:val="single" w:sz="6" w:space="0" w:color="BFBFBF"/>
                  </w:tcBorders>
                  <w:shd w:val="clear" w:color="auto" w:fill="auto"/>
                  <w:tcMar>
                    <w:top w:w="28" w:type="dxa"/>
                  </w:tcMar>
                </w:tcPr>
                <w:p w14:paraId="5ABC87AB" w14:textId="77777777" w:rsidR="009862F7" w:rsidRDefault="009862F7" w:rsidP="009862F7">
                  <w:pPr>
                    <w:pStyle w:val="TableColumnHeading"/>
                    <w:jc w:val="left"/>
                  </w:pPr>
                </w:p>
              </w:tc>
              <w:tc>
                <w:tcPr>
                  <w:tcW w:w="551" w:type="pct"/>
                  <w:tcBorders>
                    <w:top w:val="single" w:sz="6" w:space="0" w:color="BFBFBF"/>
                    <w:bottom w:val="single" w:sz="6" w:space="0" w:color="BFBFBF"/>
                  </w:tcBorders>
                </w:tcPr>
                <w:p w14:paraId="0DAD84F7" w14:textId="77777777" w:rsidR="009862F7" w:rsidRDefault="009862F7" w:rsidP="009862F7">
                  <w:pPr>
                    <w:pStyle w:val="TableColumnHeading"/>
                  </w:pPr>
                  <w:r>
                    <w:t>1870</w:t>
                  </w:r>
                </w:p>
              </w:tc>
              <w:tc>
                <w:tcPr>
                  <w:tcW w:w="551" w:type="pct"/>
                  <w:tcBorders>
                    <w:top w:val="single" w:sz="6" w:space="0" w:color="BFBFBF"/>
                    <w:bottom w:val="single" w:sz="6" w:space="0" w:color="BFBFBF"/>
                  </w:tcBorders>
                </w:tcPr>
                <w:p w14:paraId="54D2A30A" w14:textId="77777777" w:rsidR="009862F7" w:rsidRDefault="009862F7" w:rsidP="009862F7">
                  <w:pPr>
                    <w:pStyle w:val="TableColumnHeading"/>
                  </w:pPr>
                  <w:r>
                    <w:t>1890</w:t>
                  </w:r>
                </w:p>
              </w:tc>
              <w:tc>
                <w:tcPr>
                  <w:tcW w:w="551" w:type="pct"/>
                  <w:tcBorders>
                    <w:top w:val="single" w:sz="6" w:space="0" w:color="BFBFBF"/>
                    <w:bottom w:val="single" w:sz="6" w:space="0" w:color="BFBFBF"/>
                  </w:tcBorders>
                </w:tcPr>
                <w:p w14:paraId="2FC59006" w14:textId="77777777" w:rsidR="009862F7" w:rsidRDefault="009862F7" w:rsidP="009862F7">
                  <w:pPr>
                    <w:pStyle w:val="TableColumnHeading"/>
                  </w:pPr>
                  <w:r>
                    <w:t>1900</w:t>
                  </w:r>
                </w:p>
              </w:tc>
              <w:tc>
                <w:tcPr>
                  <w:tcW w:w="551" w:type="pct"/>
                  <w:tcBorders>
                    <w:top w:val="single" w:sz="6" w:space="0" w:color="BFBFBF"/>
                    <w:bottom w:val="single" w:sz="6" w:space="0" w:color="BFBFBF"/>
                  </w:tcBorders>
                </w:tcPr>
                <w:p w14:paraId="49330468" w14:textId="77777777" w:rsidR="009862F7" w:rsidRDefault="009862F7" w:rsidP="009862F7">
                  <w:pPr>
                    <w:pStyle w:val="TableColumnHeading"/>
                  </w:pPr>
                  <w:r>
                    <w:t>1913</w:t>
                  </w:r>
                </w:p>
              </w:tc>
              <w:tc>
                <w:tcPr>
                  <w:tcW w:w="551" w:type="pct"/>
                  <w:tcBorders>
                    <w:top w:val="single" w:sz="6" w:space="0" w:color="BFBFBF"/>
                    <w:bottom w:val="single" w:sz="6" w:space="0" w:color="BFBFBF"/>
                  </w:tcBorders>
                </w:tcPr>
                <w:p w14:paraId="453CD589" w14:textId="77777777" w:rsidR="009862F7" w:rsidRDefault="009862F7" w:rsidP="009862F7">
                  <w:pPr>
                    <w:pStyle w:val="TableColumnHeading"/>
                  </w:pPr>
                  <w:r>
                    <w:t>1920</w:t>
                  </w:r>
                </w:p>
              </w:tc>
              <w:tc>
                <w:tcPr>
                  <w:tcW w:w="551" w:type="pct"/>
                  <w:tcBorders>
                    <w:top w:val="single" w:sz="6" w:space="0" w:color="BFBFBF"/>
                    <w:bottom w:val="single" w:sz="6" w:space="0" w:color="BFBFBF"/>
                  </w:tcBorders>
                </w:tcPr>
                <w:p w14:paraId="49D8B4BF" w14:textId="77777777" w:rsidR="009862F7" w:rsidRDefault="009862F7" w:rsidP="009862F7">
                  <w:pPr>
                    <w:pStyle w:val="TableColumnHeading"/>
                  </w:pPr>
                  <w:r>
                    <w:t>1929</w:t>
                  </w:r>
                </w:p>
              </w:tc>
              <w:tc>
                <w:tcPr>
                  <w:tcW w:w="551" w:type="pct"/>
                  <w:tcBorders>
                    <w:top w:val="single" w:sz="6" w:space="0" w:color="BFBFBF"/>
                    <w:bottom w:val="single" w:sz="6" w:space="0" w:color="BFBFBF"/>
                  </w:tcBorders>
                </w:tcPr>
                <w:p w14:paraId="199AE446" w14:textId="77777777" w:rsidR="009862F7" w:rsidRDefault="009862F7" w:rsidP="009862F7">
                  <w:pPr>
                    <w:pStyle w:val="TableColumnHeading"/>
                  </w:pPr>
                  <w:r>
                    <w:t>1938</w:t>
                  </w:r>
                </w:p>
              </w:tc>
              <w:tc>
                <w:tcPr>
                  <w:tcW w:w="495" w:type="pct"/>
                  <w:tcBorders>
                    <w:top w:val="single" w:sz="6" w:space="0" w:color="BFBFBF"/>
                    <w:bottom w:val="single" w:sz="6" w:space="0" w:color="BFBFBF"/>
                  </w:tcBorders>
                  <w:shd w:val="clear" w:color="auto" w:fill="auto"/>
                  <w:tcMar>
                    <w:top w:w="28" w:type="dxa"/>
                  </w:tcMar>
                </w:tcPr>
                <w:p w14:paraId="6633FF95" w14:textId="77777777" w:rsidR="009862F7" w:rsidRDefault="009862F7" w:rsidP="009862F7">
                  <w:pPr>
                    <w:pStyle w:val="TableColumnHeading"/>
                    <w:ind w:right="28"/>
                  </w:pPr>
                  <w:r>
                    <w:t>1950</w:t>
                  </w:r>
                </w:p>
              </w:tc>
            </w:tr>
            <w:tr w:rsidR="009862F7" w14:paraId="567AEC0E" w14:textId="77777777" w:rsidTr="009862F7">
              <w:tc>
                <w:tcPr>
                  <w:tcW w:w="648" w:type="pct"/>
                  <w:tcBorders>
                    <w:top w:val="single" w:sz="6" w:space="0" w:color="BFBFBF"/>
                  </w:tcBorders>
                </w:tcPr>
                <w:p w14:paraId="17DC50CC" w14:textId="77777777" w:rsidR="009862F7" w:rsidRDefault="009862F7" w:rsidP="009862F7">
                  <w:pPr>
                    <w:pStyle w:val="TableUnitsRow"/>
                    <w:jc w:val="left"/>
                  </w:pPr>
                </w:p>
              </w:tc>
              <w:tc>
                <w:tcPr>
                  <w:tcW w:w="551" w:type="pct"/>
                  <w:tcBorders>
                    <w:top w:val="single" w:sz="6" w:space="0" w:color="BFBFBF"/>
                  </w:tcBorders>
                </w:tcPr>
                <w:p w14:paraId="7A1455E2" w14:textId="77777777" w:rsidR="009862F7" w:rsidRDefault="009862F7" w:rsidP="009862F7">
                  <w:pPr>
                    <w:pStyle w:val="TableUnitsRow"/>
                  </w:pPr>
                  <w:r>
                    <w:t>US = 100</w:t>
                  </w:r>
                </w:p>
              </w:tc>
              <w:tc>
                <w:tcPr>
                  <w:tcW w:w="551" w:type="pct"/>
                  <w:tcBorders>
                    <w:top w:val="single" w:sz="6" w:space="0" w:color="BFBFBF"/>
                  </w:tcBorders>
                </w:tcPr>
                <w:p w14:paraId="792FACA5" w14:textId="77777777" w:rsidR="009862F7" w:rsidRDefault="009862F7" w:rsidP="009862F7">
                  <w:pPr>
                    <w:pStyle w:val="TableUnitsRow"/>
                  </w:pPr>
                  <w:r>
                    <w:t>US = </w:t>
                  </w:r>
                  <w:r w:rsidRPr="00FE373E">
                    <w:t>100</w:t>
                  </w:r>
                </w:p>
              </w:tc>
              <w:tc>
                <w:tcPr>
                  <w:tcW w:w="551" w:type="pct"/>
                  <w:tcBorders>
                    <w:top w:val="single" w:sz="6" w:space="0" w:color="BFBFBF"/>
                  </w:tcBorders>
                </w:tcPr>
                <w:p w14:paraId="34FF255C" w14:textId="77777777" w:rsidR="009862F7" w:rsidRDefault="009862F7" w:rsidP="009862F7">
                  <w:pPr>
                    <w:pStyle w:val="TableUnitsRow"/>
                  </w:pPr>
                  <w:r>
                    <w:t>US = </w:t>
                  </w:r>
                  <w:r w:rsidRPr="00FE373E">
                    <w:t>100</w:t>
                  </w:r>
                </w:p>
              </w:tc>
              <w:tc>
                <w:tcPr>
                  <w:tcW w:w="551" w:type="pct"/>
                  <w:tcBorders>
                    <w:top w:val="single" w:sz="6" w:space="0" w:color="BFBFBF"/>
                  </w:tcBorders>
                </w:tcPr>
                <w:p w14:paraId="3B491828" w14:textId="77777777" w:rsidR="009862F7" w:rsidRDefault="009862F7" w:rsidP="009862F7">
                  <w:pPr>
                    <w:pStyle w:val="TableUnitsRow"/>
                  </w:pPr>
                  <w:r>
                    <w:t>US = </w:t>
                  </w:r>
                  <w:r w:rsidRPr="00FE373E">
                    <w:t>100</w:t>
                  </w:r>
                </w:p>
              </w:tc>
              <w:tc>
                <w:tcPr>
                  <w:tcW w:w="551" w:type="pct"/>
                  <w:tcBorders>
                    <w:top w:val="single" w:sz="6" w:space="0" w:color="BFBFBF"/>
                  </w:tcBorders>
                </w:tcPr>
                <w:p w14:paraId="7E309949" w14:textId="77777777" w:rsidR="009862F7" w:rsidRDefault="009862F7" w:rsidP="009862F7">
                  <w:pPr>
                    <w:pStyle w:val="TableUnitsRow"/>
                  </w:pPr>
                  <w:r>
                    <w:t>US = </w:t>
                  </w:r>
                  <w:r w:rsidRPr="00FE373E">
                    <w:t>100</w:t>
                  </w:r>
                </w:p>
              </w:tc>
              <w:tc>
                <w:tcPr>
                  <w:tcW w:w="551" w:type="pct"/>
                  <w:tcBorders>
                    <w:top w:val="single" w:sz="6" w:space="0" w:color="BFBFBF"/>
                  </w:tcBorders>
                </w:tcPr>
                <w:p w14:paraId="29756ECC" w14:textId="77777777" w:rsidR="009862F7" w:rsidRDefault="009862F7" w:rsidP="009862F7">
                  <w:pPr>
                    <w:pStyle w:val="TableUnitsRow"/>
                  </w:pPr>
                  <w:r>
                    <w:t>US = </w:t>
                  </w:r>
                  <w:r w:rsidRPr="00FE373E">
                    <w:t>100</w:t>
                  </w:r>
                </w:p>
              </w:tc>
              <w:tc>
                <w:tcPr>
                  <w:tcW w:w="551" w:type="pct"/>
                  <w:tcBorders>
                    <w:top w:val="single" w:sz="6" w:space="0" w:color="BFBFBF"/>
                  </w:tcBorders>
                </w:tcPr>
                <w:p w14:paraId="19284388" w14:textId="77777777" w:rsidR="009862F7" w:rsidRDefault="009862F7" w:rsidP="009862F7">
                  <w:pPr>
                    <w:pStyle w:val="TableUnitsRow"/>
                  </w:pPr>
                  <w:r>
                    <w:t>US = </w:t>
                  </w:r>
                  <w:r w:rsidRPr="00FE373E">
                    <w:t>100</w:t>
                  </w:r>
                </w:p>
              </w:tc>
              <w:tc>
                <w:tcPr>
                  <w:tcW w:w="495" w:type="pct"/>
                  <w:tcBorders>
                    <w:top w:val="single" w:sz="6" w:space="0" w:color="BFBFBF"/>
                  </w:tcBorders>
                </w:tcPr>
                <w:p w14:paraId="38B36D75" w14:textId="77777777" w:rsidR="009862F7" w:rsidRDefault="009862F7" w:rsidP="009862F7">
                  <w:pPr>
                    <w:pStyle w:val="TableUnitsRow"/>
                    <w:ind w:right="28"/>
                  </w:pPr>
                  <w:r>
                    <w:t>US = </w:t>
                  </w:r>
                  <w:r w:rsidRPr="00FE373E">
                    <w:t>100</w:t>
                  </w:r>
                </w:p>
              </w:tc>
            </w:tr>
            <w:tr w:rsidR="009862F7" w14:paraId="78FDFCAD" w14:textId="77777777" w:rsidTr="002618F3">
              <w:tc>
                <w:tcPr>
                  <w:tcW w:w="648" w:type="pct"/>
                  <w:shd w:val="clear" w:color="auto" w:fill="auto"/>
                </w:tcPr>
                <w:p w14:paraId="44BECB06" w14:textId="77777777" w:rsidR="009862F7" w:rsidRDefault="009862F7" w:rsidP="000E259E">
                  <w:pPr>
                    <w:pStyle w:val="TableBodyText"/>
                    <w:spacing w:before="40"/>
                    <w:jc w:val="left"/>
                  </w:pPr>
                  <w:r>
                    <w:t>GDP per capita</w:t>
                  </w:r>
                </w:p>
              </w:tc>
              <w:tc>
                <w:tcPr>
                  <w:tcW w:w="551" w:type="pct"/>
                  <w:shd w:val="clear" w:color="auto" w:fill="auto"/>
                </w:tcPr>
                <w:p w14:paraId="667F7B45" w14:textId="77777777" w:rsidR="009862F7" w:rsidRDefault="009862F7" w:rsidP="000E259E">
                  <w:pPr>
                    <w:pStyle w:val="TableBodyText"/>
                    <w:spacing w:before="40"/>
                  </w:pPr>
                  <w:r w:rsidRPr="00E054CD">
                    <w:t>114.88</w:t>
                  </w:r>
                </w:p>
              </w:tc>
              <w:tc>
                <w:tcPr>
                  <w:tcW w:w="551" w:type="pct"/>
                  <w:shd w:val="clear" w:color="auto" w:fill="auto"/>
                </w:tcPr>
                <w:p w14:paraId="43A8FAF4" w14:textId="77777777" w:rsidR="009862F7" w:rsidRDefault="009862F7" w:rsidP="000E259E">
                  <w:pPr>
                    <w:pStyle w:val="TableBodyText"/>
                    <w:spacing w:before="40"/>
                  </w:pPr>
                  <w:r w:rsidRPr="00E054CD">
                    <w:t>122.80</w:t>
                  </w:r>
                </w:p>
              </w:tc>
              <w:tc>
                <w:tcPr>
                  <w:tcW w:w="551" w:type="pct"/>
                  <w:shd w:val="clear" w:color="auto" w:fill="auto"/>
                </w:tcPr>
                <w:p w14:paraId="44B04A44" w14:textId="77777777" w:rsidR="009862F7" w:rsidRDefault="009862F7" w:rsidP="000E259E">
                  <w:pPr>
                    <w:pStyle w:val="TableBodyText"/>
                    <w:spacing w:before="40"/>
                  </w:pPr>
                  <w:r w:rsidRPr="00E054CD">
                    <w:t>95.84</w:t>
                  </w:r>
                </w:p>
              </w:tc>
              <w:tc>
                <w:tcPr>
                  <w:tcW w:w="551" w:type="pct"/>
                  <w:shd w:val="clear" w:color="auto" w:fill="auto"/>
                </w:tcPr>
                <w:p w14:paraId="3A1DF48F" w14:textId="77777777" w:rsidR="009862F7" w:rsidRDefault="009862F7" w:rsidP="000E259E">
                  <w:pPr>
                    <w:pStyle w:val="TableBodyText"/>
                    <w:spacing w:before="40"/>
                  </w:pPr>
                  <w:r w:rsidRPr="00E054CD">
                    <w:t>103.44</w:t>
                  </w:r>
                </w:p>
              </w:tc>
              <w:tc>
                <w:tcPr>
                  <w:tcW w:w="551" w:type="pct"/>
                  <w:shd w:val="clear" w:color="auto" w:fill="auto"/>
                </w:tcPr>
                <w:p w14:paraId="2A3BF455" w14:textId="77777777" w:rsidR="009862F7" w:rsidRDefault="009862F7" w:rsidP="000E259E">
                  <w:pPr>
                    <w:pStyle w:val="TableBodyText"/>
                    <w:spacing w:before="40"/>
                  </w:pPr>
                  <w:r w:rsidRPr="00E054CD">
                    <w:t>100.07</w:t>
                  </w:r>
                </w:p>
              </w:tc>
              <w:tc>
                <w:tcPr>
                  <w:tcW w:w="551" w:type="pct"/>
                  <w:shd w:val="clear" w:color="auto" w:fill="auto"/>
                </w:tcPr>
                <w:p w14:paraId="5919274F" w14:textId="77777777" w:rsidR="009862F7" w:rsidRDefault="009862F7" w:rsidP="000E259E">
                  <w:pPr>
                    <w:pStyle w:val="TableBodyText"/>
                    <w:spacing w:before="40"/>
                  </w:pPr>
                  <w:r w:rsidRPr="00E054CD">
                    <w:t>98.99</w:t>
                  </w:r>
                </w:p>
              </w:tc>
              <w:tc>
                <w:tcPr>
                  <w:tcW w:w="551" w:type="pct"/>
                  <w:shd w:val="clear" w:color="auto" w:fill="auto"/>
                </w:tcPr>
                <w:p w14:paraId="3505F803" w14:textId="77777777" w:rsidR="009862F7" w:rsidRDefault="009862F7" w:rsidP="000E259E">
                  <w:pPr>
                    <w:pStyle w:val="TableBodyText"/>
                    <w:spacing w:before="40"/>
                  </w:pPr>
                  <w:r w:rsidRPr="00E054CD">
                    <w:t>115.14</w:t>
                  </w:r>
                </w:p>
              </w:tc>
              <w:tc>
                <w:tcPr>
                  <w:tcW w:w="495" w:type="pct"/>
                  <w:shd w:val="clear" w:color="auto" w:fill="auto"/>
                </w:tcPr>
                <w:p w14:paraId="41085DA9" w14:textId="77777777" w:rsidR="009862F7" w:rsidRDefault="009862F7" w:rsidP="000E259E">
                  <w:pPr>
                    <w:pStyle w:val="TableBodyText"/>
                    <w:spacing w:before="40"/>
                    <w:ind w:right="28"/>
                  </w:pPr>
                  <w:r w:rsidRPr="00E054CD">
                    <w:t>88.85</w:t>
                  </w:r>
                </w:p>
              </w:tc>
            </w:tr>
            <w:tr w:rsidR="009862F7" w14:paraId="0714D0C6" w14:textId="77777777" w:rsidTr="009862F7">
              <w:tc>
                <w:tcPr>
                  <w:tcW w:w="648" w:type="pct"/>
                </w:tcPr>
                <w:p w14:paraId="42D36259" w14:textId="77777777" w:rsidR="009862F7" w:rsidRDefault="009862F7" w:rsidP="000E259E">
                  <w:pPr>
                    <w:pStyle w:val="TableBodyText"/>
                    <w:spacing w:before="40"/>
                    <w:jc w:val="left"/>
                  </w:pPr>
                  <w:r>
                    <w:t>GDP per employee</w:t>
                  </w:r>
                </w:p>
              </w:tc>
              <w:tc>
                <w:tcPr>
                  <w:tcW w:w="551" w:type="pct"/>
                </w:tcPr>
                <w:p w14:paraId="4270C095" w14:textId="77777777" w:rsidR="009862F7" w:rsidRDefault="009862F7" w:rsidP="000E259E">
                  <w:pPr>
                    <w:pStyle w:val="TableBodyText"/>
                    <w:spacing w:before="40"/>
                  </w:pPr>
                  <w:r w:rsidRPr="00D53604">
                    <w:t>118.40</w:t>
                  </w:r>
                </w:p>
              </w:tc>
              <w:tc>
                <w:tcPr>
                  <w:tcW w:w="551" w:type="pct"/>
                </w:tcPr>
                <w:p w14:paraId="7A98DC35" w14:textId="77777777" w:rsidR="009862F7" w:rsidRDefault="009862F7" w:rsidP="000E259E">
                  <w:pPr>
                    <w:pStyle w:val="TableBodyText"/>
                    <w:spacing w:before="40"/>
                  </w:pPr>
                  <w:r w:rsidRPr="00D53604">
                    <w:t>110.74</w:t>
                  </w:r>
                </w:p>
              </w:tc>
              <w:tc>
                <w:tcPr>
                  <w:tcW w:w="551" w:type="pct"/>
                </w:tcPr>
                <w:p w14:paraId="5544D36A" w14:textId="77777777" w:rsidR="009862F7" w:rsidRDefault="009862F7" w:rsidP="000E259E">
                  <w:pPr>
                    <w:pStyle w:val="TableBodyText"/>
                    <w:spacing w:before="40"/>
                  </w:pPr>
                  <w:r w:rsidRPr="00D53604">
                    <w:t>86.62</w:t>
                  </w:r>
                </w:p>
              </w:tc>
              <w:tc>
                <w:tcPr>
                  <w:tcW w:w="551" w:type="pct"/>
                </w:tcPr>
                <w:p w14:paraId="4C6F7494" w14:textId="77777777" w:rsidR="009862F7" w:rsidRDefault="009862F7" w:rsidP="000E259E">
                  <w:pPr>
                    <w:pStyle w:val="TableBodyText"/>
                    <w:spacing w:before="40"/>
                  </w:pPr>
                  <w:r w:rsidRPr="00D53604">
                    <w:t>92.51</w:t>
                  </w:r>
                </w:p>
              </w:tc>
              <w:tc>
                <w:tcPr>
                  <w:tcW w:w="551" w:type="pct"/>
                </w:tcPr>
                <w:p w14:paraId="6AD84142" w14:textId="77777777" w:rsidR="009862F7" w:rsidRDefault="009862F7" w:rsidP="000E259E">
                  <w:pPr>
                    <w:pStyle w:val="TableBodyText"/>
                    <w:spacing w:before="40"/>
                  </w:pPr>
                  <w:r w:rsidRPr="00D53604">
                    <w:t>96.14</w:t>
                  </w:r>
                </w:p>
              </w:tc>
              <w:tc>
                <w:tcPr>
                  <w:tcW w:w="551" w:type="pct"/>
                </w:tcPr>
                <w:p w14:paraId="054C659C" w14:textId="77777777" w:rsidR="009862F7" w:rsidRDefault="009862F7" w:rsidP="000E259E">
                  <w:pPr>
                    <w:pStyle w:val="TableBodyText"/>
                    <w:spacing w:before="40"/>
                  </w:pPr>
                  <w:r w:rsidRPr="00D53604">
                    <w:t>105.15</w:t>
                  </w:r>
                </w:p>
              </w:tc>
              <w:tc>
                <w:tcPr>
                  <w:tcW w:w="551" w:type="pct"/>
                </w:tcPr>
                <w:p w14:paraId="5EE2C30C" w14:textId="77777777" w:rsidR="009862F7" w:rsidRDefault="009862F7" w:rsidP="000E259E">
                  <w:pPr>
                    <w:pStyle w:val="TableBodyText"/>
                    <w:spacing w:before="40"/>
                  </w:pPr>
                  <w:r w:rsidRPr="00D53604">
                    <w:t>102.09</w:t>
                  </w:r>
                </w:p>
              </w:tc>
              <w:tc>
                <w:tcPr>
                  <w:tcW w:w="495" w:type="pct"/>
                </w:tcPr>
                <w:p w14:paraId="3C619819" w14:textId="77777777" w:rsidR="009862F7" w:rsidRDefault="009862F7" w:rsidP="000E259E">
                  <w:pPr>
                    <w:pStyle w:val="TableBodyText"/>
                    <w:spacing w:before="40"/>
                    <w:ind w:right="28"/>
                  </w:pPr>
                  <w:r w:rsidRPr="00D53604">
                    <w:t>82.90</w:t>
                  </w:r>
                </w:p>
              </w:tc>
            </w:tr>
            <w:tr w:rsidR="009862F7" w14:paraId="474047C4" w14:textId="77777777" w:rsidTr="002618F3">
              <w:tc>
                <w:tcPr>
                  <w:tcW w:w="648" w:type="pct"/>
                  <w:tcBorders>
                    <w:bottom w:val="single" w:sz="6" w:space="0" w:color="BFBFBF"/>
                  </w:tcBorders>
                  <w:shd w:val="clear" w:color="auto" w:fill="auto"/>
                </w:tcPr>
                <w:p w14:paraId="4499FFAA" w14:textId="77777777" w:rsidR="009862F7" w:rsidRDefault="009862F7" w:rsidP="000E259E">
                  <w:pPr>
                    <w:pStyle w:val="TableBodyText"/>
                    <w:spacing w:before="40"/>
                    <w:jc w:val="left"/>
                  </w:pPr>
                  <w:r>
                    <w:t>Labour productivity</w:t>
                  </w:r>
                  <w:r w:rsidRPr="009862F7">
                    <w:rPr>
                      <w:rStyle w:val="NoteLabel"/>
                    </w:rPr>
                    <w:t>a</w:t>
                  </w:r>
                </w:p>
              </w:tc>
              <w:tc>
                <w:tcPr>
                  <w:tcW w:w="551" w:type="pct"/>
                  <w:tcBorders>
                    <w:bottom w:val="single" w:sz="6" w:space="0" w:color="BFBFBF"/>
                  </w:tcBorders>
                  <w:shd w:val="clear" w:color="auto" w:fill="auto"/>
                </w:tcPr>
                <w:p w14:paraId="62F1FE63" w14:textId="77777777" w:rsidR="009862F7" w:rsidRDefault="009862F7" w:rsidP="000E259E">
                  <w:pPr>
                    <w:pStyle w:val="TableBodyText"/>
                    <w:spacing w:before="40"/>
                  </w:pPr>
                  <w:r w:rsidRPr="00E00252">
                    <w:t>131.29</w:t>
                  </w:r>
                </w:p>
              </w:tc>
              <w:tc>
                <w:tcPr>
                  <w:tcW w:w="551" w:type="pct"/>
                  <w:tcBorders>
                    <w:bottom w:val="single" w:sz="6" w:space="0" w:color="BFBFBF"/>
                  </w:tcBorders>
                  <w:shd w:val="clear" w:color="auto" w:fill="auto"/>
                </w:tcPr>
                <w:p w14:paraId="78B90FCD" w14:textId="77777777" w:rsidR="009862F7" w:rsidRDefault="009862F7" w:rsidP="000E259E">
                  <w:pPr>
                    <w:pStyle w:val="TableBodyText"/>
                    <w:spacing w:before="40"/>
                  </w:pPr>
                  <w:r w:rsidRPr="00E00252">
                    <w:t>132.08</w:t>
                  </w:r>
                </w:p>
              </w:tc>
              <w:tc>
                <w:tcPr>
                  <w:tcW w:w="551" w:type="pct"/>
                  <w:tcBorders>
                    <w:bottom w:val="single" w:sz="6" w:space="0" w:color="BFBFBF"/>
                  </w:tcBorders>
                  <w:shd w:val="clear" w:color="auto" w:fill="auto"/>
                </w:tcPr>
                <w:p w14:paraId="6EA024A1" w14:textId="77777777" w:rsidR="009862F7" w:rsidRDefault="009862F7" w:rsidP="000E259E">
                  <w:pPr>
                    <w:pStyle w:val="TableBodyText"/>
                    <w:spacing w:before="40"/>
                  </w:pPr>
                  <w:r w:rsidRPr="00E00252">
                    <w:t>106.71</w:t>
                  </w:r>
                </w:p>
              </w:tc>
              <w:tc>
                <w:tcPr>
                  <w:tcW w:w="551" w:type="pct"/>
                  <w:tcBorders>
                    <w:bottom w:val="single" w:sz="6" w:space="0" w:color="BFBFBF"/>
                  </w:tcBorders>
                  <w:shd w:val="clear" w:color="auto" w:fill="auto"/>
                </w:tcPr>
                <w:p w14:paraId="10AA29C1" w14:textId="77777777" w:rsidR="009862F7" w:rsidRDefault="009862F7" w:rsidP="000E259E">
                  <w:pPr>
                    <w:pStyle w:val="TableBodyText"/>
                    <w:spacing w:before="40"/>
                  </w:pPr>
                  <w:r w:rsidRPr="00E00252">
                    <w:t>121.17</w:t>
                  </w:r>
                </w:p>
              </w:tc>
              <w:tc>
                <w:tcPr>
                  <w:tcW w:w="551" w:type="pct"/>
                  <w:tcBorders>
                    <w:bottom w:val="single" w:sz="6" w:space="0" w:color="BFBFBF"/>
                  </w:tcBorders>
                  <w:shd w:val="clear" w:color="auto" w:fill="auto"/>
                </w:tcPr>
                <w:p w14:paraId="6B108EED" w14:textId="77777777" w:rsidR="009862F7" w:rsidRDefault="009862F7" w:rsidP="009862F7">
                  <w:pPr>
                    <w:pStyle w:val="TableBodyText"/>
                  </w:pPr>
                  <w:r>
                    <w:t>na</w:t>
                  </w:r>
                  <w:r w:rsidRPr="000E259E">
                    <w:rPr>
                      <w:rStyle w:val="NoteLabel"/>
                      <w:rFonts w:ascii="Arial Bold" w:hAnsi="Arial Bold"/>
                      <w:position w:val="4"/>
                    </w:rPr>
                    <w:t>b</w:t>
                  </w:r>
                </w:p>
              </w:tc>
              <w:tc>
                <w:tcPr>
                  <w:tcW w:w="551" w:type="pct"/>
                  <w:tcBorders>
                    <w:bottom w:val="single" w:sz="6" w:space="0" w:color="BFBFBF"/>
                  </w:tcBorders>
                  <w:shd w:val="clear" w:color="auto" w:fill="auto"/>
                </w:tcPr>
                <w:p w14:paraId="754814AD" w14:textId="77777777" w:rsidR="009862F7" w:rsidRDefault="009862F7" w:rsidP="000E259E">
                  <w:pPr>
                    <w:pStyle w:val="TableBodyText"/>
                    <w:spacing w:before="40"/>
                  </w:pPr>
                  <w:r w:rsidRPr="00E00252">
                    <w:t>87.55</w:t>
                  </w:r>
                </w:p>
              </w:tc>
              <w:tc>
                <w:tcPr>
                  <w:tcW w:w="551" w:type="pct"/>
                  <w:tcBorders>
                    <w:bottom w:val="single" w:sz="6" w:space="0" w:color="BFBFBF"/>
                  </w:tcBorders>
                  <w:shd w:val="clear" w:color="auto" w:fill="auto"/>
                </w:tcPr>
                <w:p w14:paraId="694E3757" w14:textId="77777777" w:rsidR="009862F7" w:rsidRDefault="009862F7" w:rsidP="000E259E">
                  <w:pPr>
                    <w:pStyle w:val="TableBodyText"/>
                    <w:spacing w:before="40"/>
                  </w:pPr>
                  <w:r w:rsidRPr="00E00252">
                    <w:t>85.00</w:t>
                  </w:r>
                </w:p>
              </w:tc>
              <w:tc>
                <w:tcPr>
                  <w:tcW w:w="495" w:type="pct"/>
                  <w:tcBorders>
                    <w:bottom w:val="single" w:sz="6" w:space="0" w:color="BFBFBF"/>
                  </w:tcBorders>
                  <w:shd w:val="clear" w:color="auto" w:fill="auto"/>
                </w:tcPr>
                <w:p w14:paraId="78AE069A" w14:textId="77777777" w:rsidR="009862F7" w:rsidRDefault="009862F7" w:rsidP="000E259E">
                  <w:pPr>
                    <w:pStyle w:val="TableBodyText"/>
                    <w:spacing w:before="40"/>
                    <w:ind w:right="28"/>
                  </w:pPr>
                  <w:r w:rsidRPr="00E00252">
                    <w:t>75.99</w:t>
                  </w:r>
                </w:p>
              </w:tc>
            </w:tr>
          </w:tbl>
          <w:p w14:paraId="080E13EE" w14:textId="77777777" w:rsidR="009862F7" w:rsidRDefault="009862F7" w:rsidP="009862F7">
            <w:pPr>
              <w:pStyle w:val="Box"/>
            </w:pPr>
          </w:p>
        </w:tc>
      </w:tr>
      <w:tr w:rsidR="009862F7" w14:paraId="05DF52CE" w14:textId="77777777" w:rsidTr="009862F7">
        <w:tc>
          <w:tcPr>
            <w:tcW w:w="5000" w:type="pct"/>
            <w:tcBorders>
              <w:top w:val="nil"/>
              <w:left w:val="nil"/>
              <w:bottom w:val="nil"/>
              <w:right w:val="nil"/>
            </w:tcBorders>
            <w:shd w:val="clear" w:color="auto" w:fill="auto"/>
          </w:tcPr>
          <w:p w14:paraId="0F568956" w14:textId="0F4ED0D9" w:rsidR="009862F7" w:rsidRDefault="009862F7" w:rsidP="00F23A20">
            <w:pPr>
              <w:pStyle w:val="Note"/>
              <w:rPr>
                <w:i/>
              </w:rPr>
            </w:pPr>
            <w:r w:rsidRPr="008E77FE">
              <w:rPr>
                <w:rStyle w:val="NoteLabel"/>
              </w:rPr>
              <w:t>a</w:t>
            </w:r>
            <w:r>
              <w:t xml:space="preserve"> Labour productivity uses an estimate of total hours derived from the average hours per male full</w:t>
            </w:r>
            <w:r>
              <w:noBreakHyphen/>
              <w:t>time worker (for pre</w:t>
            </w:r>
            <w:r>
              <w:noBreakHyphen/>
              <w:t>1950) in Huberman and Minns</w:t>
            </w:r>
            <w:r w:rsidR="004A3222">
              <w:t xml:space="preserve"> </w:t>
            </w:r>
            <w:r w:rsidR="00AC75F2" w:rsidRPr="00AC75F2">
              <w:rPr>
                <w:rFonts w:cs="Arial"/>
                <w:szCs w:val="24"/>
              </w:rPr>
              <w:t>(2007)</w:t>
            </w:r>
            <w:r>
              <w:t>, multiplied by employment estimates from other sources. This implicitly assumes that the difference in the male full-time work weeks between A</w:t>
            </w:r>
            <w:r w:rsidR="00D35C79">
              <w:t>ustralia and the United States are indicative of differences for the broader labour force. Given differences in gender ratios (especially in the late</w:t>
            </w:r>
            <w:r w:rsidR="003D5F29">
              <w:t xml:space="preserve"> </w:t>
            </w:r>
            <w:r w:rsidR="00E82635">
              <w:t>N</w:t>
            </w:r>
            <w:r w:rsidR="00E82635" w:rsidRPr="00E82635">
              <w:t>ineteenth</w:t>
            </w:r>
            <w:r w:rsidR="00E82635" w:rsidRPr="00E82635" w:rsidDel="003D5F29">
              <w:t xml:space="preserve"> </w:t>
            </w:r>
            <w:r w:rsidR="00D35C79">
              <w:t>Century), this may be a non-trivial assumption</w:t>
            </w:r>
            <w:r>
              <w:t xml:space="preserve">. </w:t>
            </w:r>
            <w:r>
              <w:rPr>
                <w:rStyle w:val="NoteLabel"/>
              </w:rPr>
              <w:t>b</w:t>
            </w:r>
            <w:r>
              <w:t xml:space="preserve"> </w:t>
            </w:r>
            <w:r w:rsidR="00D35C79" w:rsidRPr="00D35C79">
              <w:t>Huberman and Minns</w:t>
            </w:r>
            <w:r w:rsidR="00D35C79">
              <w:t xml:space="preserve"> </w:t>
            </w:r>
            <w:r w:rsidR="004A3222">
              <w:t xml:space="preserve">(2007) </w:t>
            </w:r>
            <w:r w:rsidR="00D35C79">
              <w:t xml:space="preserve">provide no estimates of </w:t>
            </w:r>
            <w:r w:rsidR="001F7388">
              <w:t>average working weeks between 1913 and 1929.</w:t>
            </w:r>
          </w:p>
        </w:tc>
      </w:tr>
      <w:tr w:rsidR="009862F7" w14:paraId="1C772F5B" w14:textId="77777777" w:rsidTr="009862F7">
        <w:tc>
          <w:tcPr>
            <w:tcW w:w="5000" w:type="pct"/>
            <w:tcBorders>
              <w:top w:val="nil"/>
              <w:left w:val="nil"/>
              <w:bottom w:val="nil"/>
              <w:right w:val="nil"/>
            </w:tcBorders>
            <w:shd w:val="clear" w:color="auto" w:fill="auto"/>
          </w:tcPr>
          <w:p w14:paraId="637862E7" w14:textId="1FE8B4E2" w:rsidR="009862F7" w:rsidRDefault="009862F7" w:rsidP="000E259E">
            <w:pPr>
              <w:pStyle w:val="Source"/>
              <w:spacing w:after="0"/>
            </w:pPr>
            <w:r>
              <w:rPr>
                <w:i/>
              </w:rPr>
              <w:t>Source</w:t>
            </w:r>
            <w:r w:rsidR="00F23A20">
              <w:rPr>
                <w:i/>
              </w:rPr>
              <w:t>s</w:t>
            </w:r>
            <w:r w:rsidRPr="00167F06">
              <w:t xml:space="preserve">: </w:t>
            </w:r>
            <w:r w:rsidR="00C61A7D">
              <w:t>GDP and GDP per capita: Bolt et al.</w:t>
            </w:r>
            <w:r w:rsidR="00315D98">
              <w:t xml:space="preserve"> </w:t>
            </w:r>
            <w:r w:rsidR="00315D98" w:rsidRPr="00315D98">
              <w:rPr>
                <w:rFonts w:cs="Arial"/>
              </w:rPr>
              <w:t>(2018)</w:t>
            </w:r>
            <w:r w:rsidR="00C61A7D">
              <w:t>; Employment: 1890 to 1938: Butlin</w:t>
            </w:r>
            <w:r w:rsidR="00230600">
              <w:t xml:space="preserve"> </w:t>
            </w:r>
            <w:r w:rsidR="00C523E0">
              <w:t>et al.</w:t>
            </w:r>
            <w:r w:rsidR="00AC75F2">
              <w:t xml:space="preserve"> </w:t>
            </w:r>
            <w:r w:rsidR="000541F4" w:rsidRPr="000541F4">
              <w:rPr>
                <w:rFonts w:cs="Arial"/>
                <w:szCs w:val="24"/>
              </w:rPr>
              <w:t>(2015)</w:t>
            </w:r>
            <w:r w:rsidR="00C61A7D">
              <w:t>,</w:t>
            </w:r>
            <w:r w:rsidR="00AC75F2">
              <w:t xml:space="preserve"> </w:t>
            </w:r>
            <w:r w:rsidR="00BD4D6C">
              <w:t>US </w:t>
            </w:r>
            <w:r w:rsidR="00C61A7D">
              <w:t xml:space="preserve">Bureau of the Census </w:t>
            </w:r>
            <w:r w:rsidR="00DF0DD0" w:rsidRPr="00DF0DD0">
              <w:rPr>
                <w:rFonts w:cs="Arial"/>
                <w:szCs w:val="24"/>
              </w:rPr>
              <w:t>(US. Bureau of the Census 1975)</w:t>
            </w:r>
            <w:r w:rsidR="00C61A7D">
              <w:t xml:space="preserve">, 1950: </w:t>
            </w:r>
            <w:r w:rsidR="00185BA5">
              <w:t>The Conference Board</w:t>
            </w:r>
            <w:r w:rsidR="00C523E0">
              <w:t xml:space="preserve"> </w:t>
            </w:r>
            <w:r w:rsidR="00187D85" w:rsidRPr="00187D85">
              <w:rPr>
                <w:rFonts w:cs="Arial"/>
                <w:szCs w:val="24"/>
              </w:rPr>
              <w:t>(2018)</w:t>
            </w:r>
            <w:r w:rsidR="00C61A7D">
              <w:t>; Hours per worker: 1870 to 1938:</w:t>
            </w:r>
            <w:r w:rsidR="00230600">
              <w:t xml:space="preserve"> Huberman and Minns</w:t>
            </w:r>
            <w:r w:rsidR="004A3222">
              <w:t xml:space="preserve"> </w:t>
            </w:r>
            <w:r w:rsidR="00C67650" w:rsidRPr="00C67650">
              <w:rPr>
                <w:rFonts w:cs="Arial"/>
                <w:szCs w:val="24"/>
              </w:rPr>
              <w:t>(2007)</w:t>
            </w:r>
            <w:r w:rsidR="00C67650">
              <w:t>.</w:t>
            </w:r>
            <w:r w:rsidR="00230600">
              <w:t xml:space="preserve"> </w:t>
            </w:r>
          </w:p>
        </w:tc>
      </w:tr>
      <w:tr w:rsidR="009862F7" w14:paraId="47D11B02" w14:textId="77777777" w:rsidTr="009862F7">
        <w:tc>
          <w:tcPr>
            <w:tcW w:w="5000" w:type="pct"/>
            <w:tcBorders>
              <w:top w:val="nil"/>
              <w:left w:val="nil"/>
              <w:bottom w:val="single" w:sz="6" w:space="0" w:color="78A22F"/>
              <w:right w:val="nil"/>
            </w:tcBorders>
            <w:shd w:val="clear" w:color="auto" w:fill="auto"/>
          </w:tcPr>
          <w:p w14:paraId="23607E11" w14:textId="77777777" w:rsidR="009862F7" w:rsidRDefault="009862F7" w:rsidP="009862F7">
            <w:pPr>
              <w:pStyle w:val="Box"/>
              <w:spacing w:before="0" w:line="120" w:lineRule="exact"/>
            </w:pPr>
          </w:p>
        </w:tc>
      </w:tr>
      <w:tr w:rsidR="009862F7" w:rsidRPr="000863A5" w14:paraId="491B2AD5" w14:textId="77777777" w:rsidTr="009862F7">
        <w:tc>
          <w:tcPr>
            <w:tcW w:w="5000" w:type="pct"/>
            <w:tcBorders>
              <w:top w:val="single" w:sz="6" w:space="0" w:color="78A22F"/>
              <w:left w:val="nil"/>
              <w:bottom w:val="nil"/>
              <w:right w:val="nil"/>
            </w:tcBorders>
          </w:tcPr>
          <w:p w14:paraId="3C05E47C" w14:textId="7BBF6ED8" w:rsidR="009862F7" w:rsidRPr="00626D32" w:rsidRDefault="009862F7" w:rsidP="009862F7">
            <w:pPr>
              <w:pStyle w:val="BoxSpaceBelow"/>
            </w:pPr>
          </w:p>
        </w:tc>
      </w:tr>
    </w:tbl>
    <w:p w14:paraId="324719A7" w14:textId="208DF6EB" w:rsidR="005747E3" w:rsidRDefault="005747E3" w:rsidP="004A75D3">
      <w:pPr>
        <w:pStyle w:val="BodyText"/>
      </w:pPr>
      <w:r>
        <w:t>These observations raise further questions. Why did Australia</w:t>
      </w:r>
      <w:r w:rsidR="002D756F">
        <w:t>, after finally recovering from the 1890 recession,</w:t>
      </w:r>
      <w:r>
        <w:t xml:space="preserve"> not fully regain its productivity advantage prior to WWI? And why </w:t>
      </w:r>
      <w:r w:rsidR="003D5A4F">
        <w:t>was</w:t>
      </w:r>
      <w:r>
        <w:t xml:space="preserve"> the </w:t>
      </w:r>
      <w:r w:rsidR="003D5A4F">
        <w:t>First</w:t>
      </w:r>
      <w:r>
        <w:t xml:space="preserve"> World </w:t>
      </w:r>
      <w:r w:rsidR="003D5A4F">
        <w:t>War</w:t>
      </w:r>
      <w:r>
        <w:t xml:space="preserve"> and the interwar period so detrimental to Australian productivity and living standards? </w:t>
      </w:r>
      <w:r w:rsidR="00C97710">
        <w:t>And finally, why did Australia never regain its</w:t>
      </w:r>
      <w:r w:rsidR="00974491">
        <w:t xml:space="preserve"> productivity</w:t>
      </w:r>
      <w:r w:rsidR="00C97710">
        <w:t xml:space="preserve"> advantage </w:t>
      </w:r>
      <w:r w:rsidR="003D5A4F">
        <w:t>during or</w:t>
      </w:r>
      <w:r w:rsidR="00C97710">
        <w:t xml:space="preserve"> after the </w:t>
      </w:r>
      <w:r w:rsidR="003D5A4F">
        <w:t>Second World War</w:t>
      </w:r>
      <w:r w:rsidR="00C97710">
        <w:t xml:space="preserve">? </w:t>
      </w:r>
    </w:p>
    <w:p w14:paraId="6CAFE133" w14:textId="77777777" w:rsidR="003C3A75" w:rsidRDefault="003C3A75" w:rsidP="003C3A75">
      <w:pPr>
        <w:pStyle w:val="Heading4"/>
      </w:pPr>
      <w:r>
        <w:t xml:space="preserve">Why </w:t>
      </w:r>
      <w:r w:rsidR="00617497">
        <w:t>did</w:t>
      </w:r>
      <w:r>
        <w:t xml:space="preserve"> productivity</w:t>
      </w:r>
      <w:r w:rsidR="00A97A2F">
        <w:t xml:space="preserve"> </w:t>
      </w:r>
      <w:r w:rsidR="00617497">
        <w:t>not</w:t>
      </w:r>
      <w:r w:rsidR="00A97A2F">
        <w:t xml:space="preserve"> (fully)</w:t>
      </w:r>
      <w:r>
        <w:t xml:space="preserve"> recover after the 1890 depression? </w:t>
      </w:r>
    </w:p>
    <w:p w14:paraId="325F50F2" w14:textId="769B9BC6" w:rsidR="001C4BA9" w:rsidRDefault="00924371" w:rsidP="004A75D3">
      <w:pPr>
        <w:pStyle w:val="BodyText"/>
      </w:pPr>
      <w:r>
        <w:t xml:space="preserve">Some economists </w:t>
      </w:r>
      <w:r w:rsidR="006C6C89">
        <w:t>argue</w:t>
      </w:r>
      <w:r w:rsidR="002A5F11">
        <w:t xml:space="preserve"> that Australia’s high level of productivity in the late Nineteenth Century was unsustainable because it was underpinned by unmeasured factors of production (natural resources) that were either depleted (as in gold mining) or were subject to diminishing returns (as in agriculture when it expanded into more marginal lands)</w:t>
      </w:r>
      <w:r>
        <w:t>.</w:t>
      </w:r>
      <w:r w:rsidR="001C4BA9">
        <w:t xml:space="preserve"> </w:t>
      </w:r>
      <w:r>
        <w:t xml:space="preserve">Evidence of this hypothesis include estimates of labour productivity in agriculture </w:t>
      </w:r>
      <w:r w:rsidR="00432414">
        <w:t>being</w:t>
      </w:r>
      <w:r>
        <w:t xml:space="preserve"> stagnant post</w:t>
      </w:r>
      <w:r>
        <w:noBreakHyphen/>
        <w:t>1890,</w:t>
      </w:r>
      <w:r w:rsidR="005446B9">
        <w:t xml:space="preserve"> in part due</w:t>
      </w:r>
      <w:r w:rsidR="00FA2706">
        <w:t xml:space="preserve"> to</w:t>
      </w:r>
      <w:r>
        <w:t xml:space="preserve"> </w:t>
      </w:r>
      <w:r w:rsidR="00C21FD7">
        <w:t>falling average crop yields</w:t>
      </w:r>
      <w:r>
        <w:t xml:space="preserve"> </w:t>
      </w:r>
      <w:r w:rsidRPr="0066740E">
        <w:rPr>
          <w:szCs w:val="24"/>
        </w:rPr>
        <w:t>(McLean 2013, pp. 116–119)</w:t>
      </w:r>
      <w:r>
        <w:t xml:space="preserve">. </w:t>
      </w:r>
    </w:p>
    <w:p w14:paraId="7455E9C2" w14:textId="77777777" w:rsidR="008C4DBE" w:rsidRDefault="008C4DBE" w:rsidP="008C4DBE">
      <w:pPr>
        <w:pStyle w:val="BodyText"/>
      </w:pPr>
      <w:r>
        <w:t>However, there are least four objections to the role of natural resources in explaining Australia’s lower relative productivity prior to WWI:</w:t>
      </w:r>
    </w:p>
    <w:p w14:paraId="1EF59B6F" w14:textId="7B4FCDCC" w:rsidR="008C4DBE" w:rsidRDefault="00E55004" w:rsidP="008C4DBE">
      <w:pPr>
        <w:pStyle w:val="ListBullet"/>
      </w:pPr>
      <w:r>
        <w:lastRenderedPageBreak/>
        <w:t xml:space="preserve">relative </w:t>
      </w:r>
      <w:r w:rsidR="008C4DBE">
        <w:t>labour productivity (proxied by output per worker) in agriculture did initially fall after 1890 but had mostly recovered by 1921 (and remained well over double UK levels until at least 1948 (figure 11))</w:t>
      </w:r>
    </w:p>
    <w:p w14:paraId="4F58B0CA" w14:textId="56E3324B" w:rsidR="008C4DBE" w:rsidRDefault="00E55004" w:rsidP="008C4DBE">
      <w:pPr>
        <w:pStyle w:val="ListBullet"/>
      </w:pPr>
      <w:r>
        <w:t xml:space="preserve">relative </w:t>
      </w:r>
      <w:r w:rsidR="008C4DBE">
        <w:t>labour productivity (output per worker) in mining appeared to remain high until at least 1948</w:t>
      </w:r>
    </w:p>
    <w:p w14:paraId="18830975" w14:textId="3931FA7D" w:rsidR="008C4DBE" w:rsidRDefault="008C4DBE" w:rsidP="008C4DBE">
      <w:pPr>
        <w:pStyle w:val="ListBullet"/>
      </w:pPr>
      <w:r>
        <w:t>the share of output in both agriculture</w:t>
      </w:r>
      <w:r w:rsidR="00C434B5">
        <w:t xml:space="preserve"> </w:t>
      </w:r>
      <w:r>
        <w:t>and mining were both similar in 1914 to what they were in 1890</w:t>
      </w:r>
      <w:r w:rsidR="00C434B5">
        <w:rPr>
          <w:rStyle w:val="FootnoteReference"/>
        </w:rPr>
        <w:footnoteReference w:id="10"/>
      </w:r>
    </w:p>
    <w:p w14:paraId="760E7956" w14:textId="5011D284" w:rsidR="008C4DBE" w:rsidRDefault="00061F59" w:rsidP="008C4DBE">
      <w:pPr>
        <w:pStyle w:val="ListBullet"/>
      </w:pPr>
      <w:r>
        <w:t xml:space="preserve">relative </w:t>
      </w:r>
      <w:r w:rsidR="008C4DBE">
        <w:t xml:space="preserve">labour productivity (output per worker) </w:t>
      </w:r>
      <w:r w:rsidR="007A24D7">
        <w:t>appears</w:t>
      </w:r>
      <w:r w:rsidR="008C4DBE">
        <w:t xml:space="preserve"> to </w:t>
      </w:r>
      <w:r w:rsidR="007A24D7">
        <w:t>fall</w:t>
      </w:r>
      <w:r w:rsidR="008C4DBE">
        <w:t xml:space="preserve"> in both manufacturing and construction between 1890 and 1914, which is not easily explained by resource depletion.</w:t>
      </w:r>
    </w:p>
    <w:p w14:paraId="614F51A2" w14:textId="103BC15C" w:rsidR="008C4DBE" w:rsidRDefault="005F5314" w:rsidP="00782BF3">
      <w:pPr>
        <w:pStyle w:val="BodyText"/>
      </w:pPr>
      <w:r>
        <w:t>True, r</w:t>
      </w:r>
      <w:r w:rsidR="008C4DBE">
        <w:t>elative agricultural productivity did continue to fall after WWI, and its share output began falling after WWII. But the latter occurs too late to explain much of Australia’s fall in relative productivity, and the former overlaps with many other possible causes of lower productivity performance (discussed below).</w:t>
      </w:r>
    </w:p>
    <w:p w14:paraId="61CA900F" w14:textId="7A0C4C47" w:rsidR="00200887" w:rsidRDefault="00200887" w:rsidP="002008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00887" w14:paraId="20AF0F74" w14:textId="77777777" w:rsidTr="29E7BBAE">
        <w:trPr>
          <w:tblHeader/>
        </w:trPr>
        <w:tc>
          <w:tcPr>
            <w:tcW w:w="5000" w:type="pct"/>
            <w:tcBorders>
              <w:top w:val="single" w:sz="6" w:space="0" w:color="78A22F" w:themeColor="accent1"/>
              <w:left w:val="nil"/>
              <w:bottom w:val="nil"/>
              <w:right w:val="nil"/>
            </w:tcBorders>
            <w:shd w:val="clear" w:color="auto" w:fill="auto"/>
          </w:tcPr>
          <w:p w14:paraId="330578B9" w14:textId="4BCFF0B9" w:rsidR="00200887" w:rsidRPr="0023363B" w:rsidRDefault="00200887" w:rsidP="009C06DD">
            <w:pPr>
              <w:pStyle w:val="FigureTitle"/>
              <w:rPr>
                <w:rFonts w:cs="Arial"/>
                <w:spacing w:val="-2"/>
                <w:sz w:val="24"/>
                <w:szCs w:val="24"/>
              </w:rPr>
            </w:pPr>
            <w:r w:rsidRPr="0023363B">
              <w:rPr>
                <w:rFonts w:cs="Arial"/>
                <w:b w:val="0"/>
                <w:sz w:val="24"/>
                <w:szCs w:val="24"/>
              </w:rPr>
              <w:t xml:space="preserve">Figure </w:t>
            </w:r>
            <w:r w:rsidR="00CE55C0" w:rsidRPr="0023363B">
              <w:rPr>
                <w:rFonts w:cs="Arial"/>
                <w:b w:val="0"/>
                <w:sz w:val="24"/>
                <w:szCs w:val="24"/>
              </w:rPr>
              <w:t>11</w:t>
            </w:r>
            <w:r w:rsidRPr="0023363B">
              <w:rPr>
                <w:rFonts w:cs="Arial"/>
                <w:sz w:val="24"/>
                <w:szCs w:val="24"/>
              </w:rPr>
              <w:tab/>
            </w:r>
            <w:r w:rsidR="000C1F6C" w:rsidRPr="0023363B">
              <w:rPr>
                <w:rFonts w:cs="Arial"/>
                <w:spacing w:val="-2"/>
                <w:sz w:val="24"/>
                <w:szCs w:val="24"/>
              </w:rPr>
              <w:t>Apparent productivity</w:t>
            </w:r>
            <w:r w:rsidRPr="0023363B">
              <w:rPr>
                <w:rFonts w:cs="Arial"/>
                <w:spacing w:val="-2"/>
                <w:sz w:val="24"/>
                <w:szCs w:val="24"/>
              </w:rPr>
              <w:t xml:space="preserve"> falls in manufacturing and construction are hard to account for by resource depletion</w:t>
            </w:r>
          </w:p>
          <w:p w14:paraId="73F532E9" w14:textId="77777777" w:rsidR="00200887" w:rsidRPr="00176D3F" w:rsidRDefault="00200887" w:rsidP="009C06DD">
            <w:pPr>
              <w:pStyle w:val="Subtitle"/>
            </w:pPr>
            <w:r>
              <w:t>Labour productivity in Australian industries as a proportion of the same industry in the United Kingdom from 1861 to 1948 (UK = 100)</w:t>
            </w:r>
          </w:p>
        </w:tc>
      </w:tr>
      <w:tr w:rsidR="00200887" w14:paraId="465D203C"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00887" w:rsidRPr="00B1465D" w14:paraId="08CC3800" w14:textId="77777777" w:rsidTr="29E7BBAE">
              <w:trPr>
                <w:tblHeader/>
                <w:jc w:val="center"/>
              </w:trPr>
              <w:tc>
                <w:tcPr>
                  <w:tcW w:w="5000" w:type="pct"/>
                  <w:tcBorders>
                    <w:top w:val="nil"/>
                    <w:bottom w:val="nil"/>
                  </w:tcBorders>
                </w:tcPr>
                <w:p w14:paraId="76F0A3E3" w14:textId="77777777" w:rsidR="00200887" w:rsidRPr="00B1465D" w:rsidRDefault="00200887" w:rsidP="002618F3">
                  <w:pPr>
                    <w:pStyle w:val="Figure"/>
                    <w:spacing w:before="60" w:after="0"/>
                    <w:rPr>
                      <w:rFonts w:ascii="Arial" w:hAnsi="Arial" w:cs="Arial"/>
                      <w:sz w:val="18"/>
                      <w:szCs w:val="18"/>
                    </w:rPr>
                  </w:pPr>
                  <w:r w:rsidRPr="008A6C79">
                    <w:rPr>
                      <w:rFonts w:ascii="Arial" w:hAnsi="Arial" w:cs="Arial"/>
                      <w:noProof/>
                      <w:sz w:val="18"/>
                      <w:szCs w:val="18"/>
                    </w:rPr>
                    <w:drawing>
                      <wp:inline distT="0" distB="0" distL="0" distR="0" wp14:anchorId="4BD71308" wp14:editId="52E1E6B6">
                        <wp:extent cx="5402580" cy="2880360"/>
                        <wp:effectExtent l="0" t="0" r="7620" b="0"/>
                        <wp:docPr id="50" name="Picture 50" descr="This chart shows the labour productivity in Australian industries as a proportion of the same industry in the United Kingdom from 1861 to 1948. The industries compared include agriculture, mining, manufacturing and utilities and construction. The chart shows that across the period, labour productivity in agriculture has fluctuated around 250 per cent of the level in the UK across the entire time period. The chart shows that labour productivity in mining rose from approximately 130 per cent of the level in the UK in 1861 to approximately 400 per cent in 1921, which then fell to approximately 300 per cent by 1948. By contrast, the chart shows that labour productivity in manufacturing and utilities and construction fell from 150 per cent and over 200 per cent respectively of the level in the UK, to less than a 100 per cent by 194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his chart shows the labour productivity in Australian industries as a proportion of the same industry in the United Kingdom from 1861 to 1948. The industries compared include agriculture, mining, manufacturing and utilities and construction. The chart shows that across the period, labour productivity in agriculture has fluctuated around 250 per cent of the level in the UK across the entire time period. The chart shows that labour productivity in mining rose from approximately 130 per cent of the level in the UK in 1861 to approximately 400 per cent in 1921, which then fell to approximately 300 per cent by 1948. By contrast, the chart shows that labour productivity in manufacturing and utilities and construction fell from 150 per cent and over 200 per cent respectively of the level in the UK, to less than a 100 per cent by 1948.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bl>
          <w:p w14:paraId="1D8D0748" w14:textId="77777777" w:rsidR="00200887" w:rsidRDefault="00200887" w:rsidP="009C06DD">
            <w:pPr>
              <w:pStyle w:val="Figure"/>
            </w:pPr>
          </w:p>
        </w:tc>
      </w:tr>
      <w:tr w:rsidR="00200887" w:rsidRPr="00176D3F" w14:paraId="0FC239A2" w14:textId="77777777" w:rsidTr="29E7BBAE">
        <w:tc>
          <w:tcPr>
            <w:tcW w:w="5000" w:type="pct"/>
            <w:tcBorders>
              <w:top w:val="nil"/>
              <w:left w:val="nil"/>
              <w:bottom w:val="nil"/>
              <w:right w:val="nil"/>
            </w:tcBorders>
            <w:shd w:val="clear" w:color="auto" w:fill="auto"/>
          </w:tcPr>
          <w:p w14:paraId="7DAA77C8" w14:textId="384935EE" w:rsidR="00200887" w:rsidRPr="00176D3F" w:rsidRDefault="00200887" w:rsidP="000E259E">
            <w:pPr>
              <w:pStyle w:val="Source"/>
              <w:spacing w:after="0"/>
            </w:pPr>
            <w:r>
              <w:rPr>
                <w:i/>
              </w:rPr>
              <w:t>S</w:t>
            </w:r>
            <w:r w:rsidRPr="00784A05">
              <w:rPr>
                <w:i/>
              </w:rPr>
              <w:t>ource</w:t>
            </w:r>
            <w:r w:rsidRPr="00176D3F">
              <w:t xml:space="preserve">: </w:t>
            </w:r>
            <w:r>
              <w:t>Broadberry and Irwin</w:t>
            </w:r>
            <w:r w:rsidR="00782BF3">
              <w:t xml:space="preserve"> </w:t>
            </w:r>
            <w:r w:rsidR="00782BF3" w:rsidRPr="00782BF3">
              <w:rPr>
                <w:rFonts w:cs="Arial"/>
              </w:rPr>
              <w:t>(2007)</w:t>
            </w:r>
            <w:r>
              <w:t>.</w:t>
            </w:r>
          </w:p>
        </w:tc>
      </w:tr>
      <w:tr w:rsidR="00200887" w14:paraId="3DEA8A31" w14:textId="77777777" w:rsidTr="29E7BBAE">
        <w:tc>
          <w:tcPr>
            <w:tcW w:w="5000" w:type="pct"/>
            <w:tcBorders>
              <w:top w:val="nil"/>
              <w:left w:val="nil"/>
              <w:bottom w:val="single" w:sz="6" w:space="0" w:color="78A22F" w:themeColor="accent1"/>
              <w:right w:val="nil"/>
            </w:tcBorders>
            <w:shd w:val="clear" w:color="auto" w:fill="auto"/>
          </w:tcPr>
          <w:p w14:paraId="2929A6A3" w14:textId="77777777" w:rsidR="00200887" w:rsidRDefault="00200887" w:rsidP="009C06DD">
            <w:pPr>
              <w:pStyle w:val="Figurespace"/>
            </w:pPr>
          </w:p>
        </w:tc>
      </w:tr>
      <w:tr w:rsidR="00200887" w:rsidRPr="000863A5" w14:paraId="289EF0B9" w14:textId="77777777" w:rsidTr="29E7BBAE">
        <w:tc>
          <w:tcPr>
            <w:tcW w:w="5000" w:type="pct"/>
            <w:tcBorders>
              <w:top w:val="single" w:sz="6" w:space="0" w:color="78A22F" w:themeColor="accent1"/>
              <w:left w:val="nil"/>
              <w:bottom w:val="nil"/>
              <w:right w:val="nil"/>
            </w:tcBorders>
          </w:tcPr>
          <w:p w14:paraId="69C43E82" w14:textId="44D72AB7" w:rsidR="00200887" w:rsidRPr="00626D32" w:rsidRDefault="00200887" w:rsidP="009C06DD">
            <w:pPr>
              <w:pStyle w:val="BoxSpaceBelow"/>
            </w:pPr>
          </w:p>
        </w:tc>
      </w:tr>
    </w:tbl>
    <w:p w14:paraId="4676A4A0" w14:textId="412FCF2B" w:rsidR="001C4BA9" w:rsidRDefault="001C4BA9" w:rsidP="0061063E">
      <w:pPr>
        <w:pStyle w:val="BodyText"/>
      </w:pPr>
      <w:r>
        <w:lastRenderedPageBreak/>
        <w:t>Australian policy changes following Federation may have hindered</w:t>
      </w:r>
      <w:r w:rsidR="00CC5D4E">
        <w:t xml:space="preserve"> </w:t>
      </w:r>
      <w:r>
        <w:t xml:space="preserve">productivity performance and </w:t>
      </w:r>
      <w:r w:rsidRPr="005555EB">
        <w:rPr>
          <w:rStyle w:val="BodyTextChar"/>
        </w:rPr>
        <w:t>may explain why productivity only partially recovered prior to WWI. For example, Australian tariff protection increased after Federation (albeit incrementally until the 1930s). In part this reflected political compromises that saw tariffs set at the highest common level of the pre-Federation states</w:t>
      </w:r>
      <w:r w:rsidR="00C82009">
        <w:rPr>
          <w:rStyle w:val="BodyTextChar"/>
        </w:rPr>
        <w:t xml:space="preserve"> </w:t>
      </w:r>
      <w:r w:rsidR="00C82009" w:rsidRPr="00C82009">
        <w:rPr>
          <w:szCs w:val="24"/>
        </w:rPr>
        <w:t>(Lloyd 2017)</w:t>
      </w:r>
      <w:r w:rsidRPr="005555EB">
        <w:rPr>
          <w:rStyle w:val="BodyTextChar"/>
        </w:rPr>
        <w:t>. These protections were increased further post</w:t>
      </w:r>
      <w:r w:rsidRPr="005555EB">
        <w:rPr>
          <w:rStyle w:val="BodyTextChar"/>
        </w:rPr>
        <w:noBreakHyphen/>
        <w:t xml:space="preserve">Federation. </w:t>
      </w:r>
      <w:r w:rsidRPr="00782BF3">
        <w:rPr>
          <w:rStyle w:val="BodyTextChar"/>
        </w:rPr>
        <w:t xml:space="preserve">For example, </w:t>
      </w:r>
      <w:r w:rsidR="00BE7C55" w:rsidRPr="00782BF3">
        <w:rPr>
          <w:rStyle w:val="BodyTextChar"/>
        </w:rPr>
        <w:t>Irwin</w:t>
      </w:r>
      <w:r w:rsidR="00615119" w:rsidRPr="00782BF3">
        <w:rPr>
          <w:rStyle w:val="BodyTextChar"/>
        </w:rPr>
        <w:t xml:space="preserve"> </w:t>
      </w:r>
      <w:r w:rsidRPr="00782BF3">
        <w:rPr>
          <w:rStyle w:val="BodyTextChar"/>
        </w:rPr>
        <w:t>(2006</w:t>
      </w:r>
      <w:r w:rsidR="00684CC4" w:rsidRPr="00782BF3">
        <w:rPr>
          <w:rStyle w:val="BodyTextChar"/>
        </w:rPr>
        <w:t>, p</w:t>
      </w:r>
      <w:r w:rsidR="00121495" w:rsidRPr="00782BF3">
        <w:rPr>
          <w:rStyle w:val="BodyTextChar"/>
        </w:rPr>
        <w:t>. 323</w:t>
      </w:r>
      <w:r w:rsidRPr="00782BF3">
        <w:rPr>
          <w:rStyle w:val="BodyTextChar"/>
        </w:rPr>
        <w:t>)</w:t>
      </w:r>
      <w:r w:rsidR="00615119" w:rsidRPr="00782BF3">
        <w:rPr>
          <w:rStyle w:val="BodyTextChar"/>
        </w:rPr>
        <w:t xml:space="preserve"> ‘According to a League of Nations study, the average Australian tariff</w:t>
      </w:r>
      <w:r w:rsidRPr="00782BF3">
        <w:rPr>
          <w:rStyle w:val="BodyTextChar"/>
        </w:rPr>
        <w:t xml:space="preserve"> on manufactured goods </w:t>
      </w:r>
      <w:r w:rsidR="00615119" w:rsidRPr="00782BF3">
        <w:rPr>
          <w:rStyle w:val="BodyTextChar"/>
        </w:rPr>
        <w:t>rose</w:t>
      </w:r>
      <w:r w:rsidRPr="00782BF3">
        <w:rPr>
          <w:rStyle w:val="BodyTextChar"/>
        </w:rPr>
        <w:t xml:space="preserve"> from 6 </w:t>
      </w:r>
      <w:r w:rsidR="00615119" w:rsidRPr="00782BF3">
        <w:rPr>
          <w:rStyle w:val="BodyTextChar"/>
        </w:rPr>
        <w:t xml:space="preserve">per cent in 1902 </w:t>
      </w:r>
      <w:r w:rsidRPr="00782BF3">
        <w:rPr>
          <w:rStyle w:val="BodyTextChar"/>
        </w:rPr>
        <w:t>to 16</w:t>
      </w:r>
      <w:r w:rsidR="00615119" w:rsidRPr="00782BF3">
        <w:rPr>
          <w:rStyle w:val="BodyTextChar"/>
        </w:rPr>
        <w:t xml:space="preserve"> per cent in 1913</w:t>
      </w:r>
      <w:r w:rsidR="00862D77" w:rsidRPr="00782BF3">
        <w:rPr>
          <w:rStyle w:val="BodyTextChar"/>
        </w:rPr>
        <w:t>’</w:t>
      </w:r>
      <w:r w:rsidRPr="00782BF3">
        <w:rPr>
          <w:rStyle w:val="BodyTextChar"/>
        </w:rPr>
        <w:t xml:space="preserve">. </w:t>
      </w:r>
      <w:r w:rsidR="001E6D4A" w:rsidRPr="00782BF3">
        <w:rPr>
          <w:rStyle w:val="BodyTextChar"/>
        </w:rPr>
        <w:t>This could have hindered productivity in at</w:t>
      </w:r>
      <w:r w:rsidR="001E6D4A">
        <w:rPr>
          <w:rStyle w:val="BodyTextChar"/>
        </w:rPr>
        <w:t xml:space="preserve"> </w:t>
      </w:r>
      <w:r w:rsidR="001E6D4A" w:rsidRPr="00782BF3">
        <w:rPr>
          <w:rStyle w:val="BodyTextChar"/>
        </w:rPr>
        <w:t>least two ways. First, it could have drawn capital and labour away from high productivity industries to low productivity industries</w:t>
      </w:r>
      <w:r w:rsidR="005F5314" w:rsidRPr="00782BF3">
        <w:rPr>
          <w:rStyle w:val="BodyTextChar"/>
        </w:rPr>
        <w:t xml:space="preserve"> (such as manufacturing)</w:t>
      </w:r>
      <w:r w:rsidR="001E6D4A" w:rsidRPr="00782BF3">
        <w:rPr>
          <w:rStyle w:val="BodyTextChar"/>
        </w:rPr>
        <w:t>. Second, it could have, by eroding competitive pressures, reduced the incentives for productivity improvement in import</w:t>
      </w:r>
      <w:r w:rsidR="001E6D4A" w:rsidRPr="00782BF3">
        <w:rPr>
          <w:rStyle w:val="BodyTextChar"/>
        </w:rPr>
        <w:noBreakHyphen/>
        <w:t>competing industries.</w:t>
      </w:r>
      <w:r w:rsidR="001E6D4A">
        <w:t xml:space="preserve"> </w:t>
      </w:r>
    </w:p>
    <w:p w14:paraId="509655AE" w14:textId="3032FC6F" w:rsidR="001C4BA9" w:rsidRDefault="001C4BA9" w:rsidP="001C4BA9">
      <w:pPr>
        <w:pStyle w:val="BodyText"/>
      </w:pPr>
      <w:r>
        <w:t xml:space="preserve">Empirical studies appear to detect some change in trade patterns as a result of these tariff increases. Estimates of the ratio of interstate to international trade (a proxy for the preference between local and foreign sourcing of goods) between 1890 and 1909 show a large fall in international trade between 1906 and 1909, following the imposition of the </w:t>
      </w:r>
      <w:r w:rsidRPr="00375E5D">
        <w:t xml:space="preserve">Lyne Tariff </w:t>
      </w:r>
      <w:r>
        <w:t>in 190</w:t>
      </w:r>
      <w:r w:rsidR="001A33EC">
        <w:t>8</w:t>
      </w:r>
      <w:r w:rsidR="00782BF3">
        <w:t xml:space="preserve"> </w:t>
      </w:r>
      <w:r w:rsidR="00782BF3" w:rsidRPr="00782BF3">
        <w:rPr>
          <w:szCs w:val="24"/>
        </w:rPr>
        <w:t>(Irwin 2006, p. 326)</w:t>
      </w:r>
      <w:r>
        <w:t xml:space="preserve">. </w:t>
      </w:r>
    </w:p>
    <w:p w14:paraId="3261DFF5" w14:textId="13E37EA9" w:rsidR="001C4BA9" w:rsidRDefault="001C4BA9" w:rsidP="00375798">
      <w:pPr>
        <w:pStyle w:val="BodyText"/>
      </w:pPr>
      <w:r>
        <w:t xml:space="preserve">The effects of tariffs may have been further compounded by </w:t>
      </w:r>
      <w:r w:rsidR="00F6690A">
        <w:t xml:space="preserve">changes to </w:t>
      </w:r>
      <w:r>
        <w:t xml:space="preserve">labour regulation following Federation. For example, the Commonwealth Conciliation and Arbitration Court was established in 1904 with powers to settle industrial disputes that crossed state borders and impose compulsory mediation </w:t>
      </w:r>
      <w:r w:rsidRPr="00D821D8">
        <w:rPr>
          <w:szCs w:val="24"/>
        </w:rPr>
        <w:t>(McLean 2013, p. 137)</w:t>
      </w:r>
      <w:r>
        <w:t xml:space="preserve">. </w:t>
      </w:r>
      <w:r w:rsidR="00F6690A">
        <w:t>This led to</w:t>
      </w:r>
      <w:r>
        <w:t xml:space="preserve"> the ground-breaking ‘</w:t>
      </w:r>
      <w:r w:rsidRPr="002D64A1">
        <w:t>Harvester</w:t>
      </w:r>
      <w:r>
        <w:t xml:space="preserve">’ decision that set the ‘living wage’ at a level significantly higher than prevailing wages for unskilled workers at the time </w:t>
      </w:r>
      <w:r w:rsidRPr="00D821D8">
        <w:rPr>
          <w:szCs w:val="24"/>
        </w:rPr>
        <w:t>(Isaac 2008)</w:t>
      </w:r>
      <w:r>
        <w:t>. However, this decision</w:t>
      </w:r>
      <w:r w:rsidR="00361D0B">
        <w:t>, and the Commonwealth labour courts generally,</w:t>
      </w:r>
      <w:r>
        <w:t xml:space="preserve"> had limited applicability early on</w:t>
      </w:r>
      <w:r w:rsidRPr="0008559C">
        <w:rPr>
          <w:rStyle w:val="FootnoteReference"/>
        </w:rPr>
        <w:footnoteReference w:id="11"/>
      </w:r>
      <w:r>
        <w:t xml:space="preserve"> and some economists argue its effects are not discernible until the 1920s.</w:t>
      </w:r>
    </w:p>
    <w:p w14:paraId="6FD99B7C" w14:textId="72762592" w:rsidR="003C3A75" w:rsidRPr="007A0D04" w:rsidRDefault="003C3A75" w:rsidP="003C3A75">
      <w:pPr>
        <w:pStyle w:val="Heading4"/>
        <w:rPr>
          <w:spacing w:val="-6"/>
        </w:rPr>
      </w:pPr>
      <w:r w:rsidRPr="007A0D04">
        <w:rPr>
          <w:spacing w:val="-6"/>
        </w:rPr>
        <w:t xml:space="preserve">Why </w:t>
      </w:r>
      <w:r w:rsidR="003D5A4F" w:rsidRPr="007A0D04">
        <w:rPr>
          <w:spacing w:val="-6"/>
        </w:rPr>
        <w:t>was</w:t>
      </w:r>
      <w:r w:rsidRPr="007A0D04">
        <w:rPr>
          <w:spacing w:val="-6"/>
        </w:rPr>
        <w:t xml:space="preserve"> the </w:t>
      </w:r>
      <w:r w:rsidR="003D5A4F" w:rsidRPr="007A0D04">
        <w:rPr>
          <w:spacing w:val="-6"/>
        </w:rPr>
        <w:t>First</w:t>
      </w:r>
      <w:r w:rsidRPr="007A0D04">
        <w:rPr>
          <w:spacing w:val="-6"/>
        </w:rPr>
        <w:t xml:space="preserve"> World </w:t>
      </w:r>
      <w:r w:rsidR="003D5A4F" w:rsidRPr="007A0D04">
        <w:rPr>
          <w:spacing w:val="-6"/>
        </w:rPr>
        <w:t>War</w:t>
      </w:r>
      <w:r w:rsidRPr="007A0D04">
        <w:rPr>
          <w:spacing w:val="-6"/>
        </w:rPr>
        <w:t xml:space="preserve"> and the interwar period so b</w:t>
      </w:r>
      <w:r w:rsidR="007A0D04">
        <w:rPr>
          <w:spacing w:val="-6"/>
        </w:rPr>
        <w:t>ad for Australian productivity?</w:t>
      </w:r>
    </w:p>
    <w:p w14:paraId="0A2EC9F4" w14:textId="6C98C4B2" w:rsidR="00C7399C" w:rsidRPr="000E259E" w:rsidRDefault="00C97710" w:rsidP="004A75D3">
      <w:pPr>
        <w:pStyle w:val="BodyText"/>
        <w:rPr>
          <w:spacing w:val="-2"/>
        </w:rPr>
      </w:pPr>
      <w:r w:rsidRPr="000E259E">
        <w:rPr>
          <w:spacing w:val="-2"/>
        </w:rPr>
        <w:t>In hindsight, Australia’s weak productivity performance from 1914 to 19</w:t>
      </w:r>
      <w:r w:rsidR="003D5A4F" w:rsidRPr="000E259E">
        <w:rPr>
          <w:spacing w:val="-2"/>
        </w:rPr>
        <w:t>39</w:t>
      </w:r>
      <w:r w:rsidRPr="000E259E">
        <w:rPr>
          <w:spacing w:val="-2"/>
        </w:rPr>
        <w:t xml:space="preserve"> is not so surprising. </w:t>
      </w:r>
      <w:r w:rsidR="00C7399C" w:rsidRPr="000E259E">
        <w:rPr>
          <w:spacing w:val="-2"/>
        </w:rPr>
        <w:t>There were a series of economic shocks combined with structural reforms that likely hindered productivity (</w:t>
      </w:r>
      <w:r w:rsidR="004F5F1F" w:rsidRPr="000E259E">
        <w:rPr>
          <w:spacing w:val="-2"/>
        </w:rPr>
        <w:t xml:space="preserve">together called </w:t>
      </w:r>
      <w:r w:rsidR="00BA5592" w:rsidRPr="000E259E">
        <w:rPr>
          <w:spacing w:val="-2"/>
        </w:rPr>
        <w:t>‘</w:t>
      </w:r>
      <w:r w:rsidR="004F5F1F" w:rsidRPr="000E259E">
        <w:rPr>
          <w:spacing w:val="-2"/>
        </w:rPr>
        <w:t>Fortress Australia</w:t>
      </w:r>
      <w:r w:rsidR="00BA5592" w:rsidRPr="000E259E">
        <w:rPr>
          <w:spacing w:val="-2"/>
        </w:rPr>
        <w:t>’</w:t>
      </w:r>
      <w:r w:rsidR="00C7399C" w:rsidRPr="000E259E">
        <w:rPr>
          <w:spacing w:val="-2"/>
        </w:rPr>
        <w:t xml:space="preserve">, discussed below). </w:t>
      </w:r>
      <w:r w:rsidR="00DA4250" w:rsidRPr="000E259E">
        <w:rPr>
          <w:spacing w:val="-2"/>
        </w:rPr>
        <w:t>And many countries experienced similar economic difficulties over the same period</w:t>
      </w:r>
      <w:r w:rsidR="002D64A1" w:rsidRPr="000E259E">
        <w:rPr>
          <w:spacing w:val="-2"/>
        </w:rPr>
        <w:t xml:space="preserve"> </w:t>
      </w:r>
      <w:r w:rsidR="002D64A1" w:rsidRPr="000E259E">
        <w:rPr>
          <w:spacing w:val="-2"/>
          <w:szCs w:val="24"/>
        </w:rPr>
        <w:t>(McLean 2013)</w:t>
      </w:r>
      <w:r w:rsidR="00DA4250" w:rsidRPr="000E259E">
        <w:rPr>
          <w:spacing w:val="-2"/>
        </w:rPr>
        <w:t xml:space="preserve">. </w:t>
      </w:r>
    </w:p>
    <w:p w14:paraId="40064A51" w14:textId="1F291308" w:rsidR="00052591" w:rsidRDefault="00C7399C" w:rsidP="004A75D3">
      <w:pPr>
        <w:pStyle w:val="BodyText"/>
      </w:pPr>
      <w:r>
        <w:t>Beginning with the shocks, the</w:t>
      </w:r>
      <w:r w:rsidR="00C97710">
        <w:t xml:space="preserve"> First World War </w:t>
      </w:r>
      <w:r w:rsidR="00052591">
        <w:t xml:space="preserve">was a </w:t>
      </w:r>
      <w:r w:rsidR="00CC5D4E">
        <w:t xml:space="preserve">significant </w:t>
      </w:r>
      <w:r w:rsidR="00052591">
        <w:t xml:space="preserve">drain on the manpower of the economy, with about 330 000 people deployed out of a population of </w:t>
      </w:r>
      <w:r w:rsidR="00CC5D4E">
        <w:t xml:space="preserve">approximately </w:t>
      </w:r>
      <w:r w:rsidR="00052591">
        <w:t xml:space="preserve">five million. </w:t>
      </w:r>
      <w:r w:rsidR="00E40006">
        <w:t>McLean summarises some of the factors that made WWI so detrimental to the Australian economy:</w:t>
      </w:r>
    </w:p>
    <w:p w14:paraId="7BA420CD" w14:textId="56CD816D" w:rsidR="0048031B" w:rsidRPr="0048031B" w:rsidRDefault="00E40006" w:rsidP="0048031B">
      <w:pPr>
        <w:pStyle w:val="Quote"/>
      </w:pPr>
      <w:r>
        <w:lastRenderedPageBreak/>
        <w:t xml:space="preserve">There was a return to serious drought conditions in the rural sector; a closing of the London capital market for development loans; an extreme scarcity of shipping combined with a high dependence on imports for essential products; the loss of manpower from the civilian labour force into the military; and a slump in the housing market </w:t>
      </w:r>
      <w:r w:rsidR="005446B9" w:rsidRPr="005446B9">
        <w:rPr>
          <w:szCs w:val="24"/>
        </w:rPr>
        <w:t>(2013, p. 148)</w:t>
      </w:r>
      <w:r w:rsidR="0048031B">
        <w:t>.</w:t>
      </w:r>
    </w:p>
    <w:p w14:paraId="4687B9AE" w14:textId="02A7C5CD" w:rsidR="00C7399C" w:rsidRDefault="005446B9" w:rsidP="000E259E">
      <w:pPr>
        <w:pStyle w:val="BodyText"/>
        <w:keepNext/>
      </w:pPr>
      <w:r>
        <w:t xml:space="preserve">Overall, these factors are estimated to have reduced GDP, the civilian workforce and GDP per capita by </w:t>
      </w:r>
      <w:r w:rsidR="008A3D70">
        <w:t>about</w:t>
      </w:r>
      <w:r w:rsidR="00144C13">
        <w:t xml:space="preserve"> </w:t>
      </w:r>
      <w:r>
        <w:t xml:space="preserve">9.5, 6 and 16 per cent respectively </w:t>
      </w:r>
      <w:r w:rsidRPr="005446B9">
        <w:rPr>
          <w:szCs w:val="24"/>
        </w:rPr>
        <w:t>(McLean 2013, pp. 147–148)</w:t>
      </w:r>
      <w:r>
        <w:t xml:space="preserve">. </w:t>
      </w:r>
      <w:r w:rsidR="00C7399C">
        <w:t>Following the war a number of factors combined to hinder recovery:</w:t>
      </w:r>
    </w:p>
    <w:p w14:paraId="5FEB1C6E" w14:textId="77777777" w:rsidR="00C7399C" w:rsidRDefault="00C7399C" w:rsidP="00C7399C">
      <w:pPr>
        <w:pStyle w:val="ListBullet"/>
      </w:pPr>
      <w:r>
        <w:t>(post</w:t>
      </w:r>
      <w:r>
        <w:noBreakHyphen/>
        <w:t xml:space="preserve">war) falls in global commodity prices that crippled the agricultural sector </w:t>
      </w:r>
    </w:p>
    <w:p w14:paraId="59AE8818" w14:textId="152C4CA5" w:rsidR="00C7399C" w:rsidRDefault="00C7399C" w:rsidP="00C7399C">
      <w:pPr>
        <w:pStyle w:val="ListBullet"/>
      </w:pPr>
      <w:r>
        <w:t>inefficient wartime changes in the mix of manufacturing production</w:t>
      </w:r>
      <w:r w:rsidR="00211B46">
        <w:t xml:space="preserve"> towards </w:t>
      </w:r>
      <w:r w:rsidR="00805894">
        <w:t>self</w:t>
      </w:r>
      <w:r w:rsidR="00805894">
        <w:noBreakHyphen/>
        <w:t>sufficiency</w:t>
      </w:r>
      <w:r w:rsidR="008B37D4">
        <w:t xml:space="preserve"> (that were necessitated by reductions in international shipping)</w:t>
      </w:r>
      <w:r>
        <w:t xml:space="preserve"> were subsequently maintained post</w:t>
      </w:r>
      <w:r w:rsidR="008B37D4">
        <w:noBreakHyphen/>
      </w:r>
      <w:r>
        <w:t>war through tariff protection</w:t>
      </w:r>
      <w:r w:rsidR="00C4762D">
        <w:t xml:space="preserve"> (though with little change in average levels of tariffs)</w:t>
      </w:r>
    </w:p>
    <w:p w14:paraId="17A7DC49" w14:textId="629D5F4A" w:rsidR="00C7399C" w:rsidRDefault="00C7399C" w:rsidP="00C7399C">
      <w:pPr>
        <w:pStyle w:val="ListBullet"/>
      </w:pPr>
      <w:r>
        <w:t xml:space="preserve">the burden of government debt (issued to fund the war) that strained the economy and limited the ability of policymakers to aid the economy before and after the </w:t>
      </w:r>
      <w:r w:rsidR="00C4762D">
        <w:t>Great </w:t>
      </w:r>
      <w:r>
        <w:t>Depression</w:t>
      </w:r>
    </w:p>
    <w:p w14:paraId="1DBA8EA6" w14:textId="23F24226" w:rsidR="00C7399C" w:rsidRDefault="00C7399C" w:rsidP="00C7399C">
      <w:pPr>
        <w:pStyle w:val="ListBullet"/>
      </w:pPr>
      <w:r>
        <w:t xml:space="preserve">mandated increases in the real wage (largely as a reaction to the inflation </w:t>
      </w:r>
      <w:r w:rsidR="00584919">
        <w:t xml:space="preserve">that caused </w:t>
      </w:r>
      <w:r>
        <w:t xml:space="preserve">real wage reductions during the war) that decreased Australia’s international competitiveness </w:t>
      </w:r>
      <w:r w:rsidRPr="0031040B">
        <w:rPr>
          <w:szCs w:val="24"/>
        </w:rPr>
        <w:t>(McLean 2013, pp. 149–153)</w:t>
      </w:r>
      <w:r>
        <w:t>.</w:t>
      </w:r>
    </w:p>
    <w:p w14:paraId="18FF3DA4" w14:textId="7FC3AFF2" w:rsidR="00B65697" w:rsidRPr="007A0D04" w:rsidRDefault="00CB7F3C" w:rsidP="004A75D3">
      <w:pPr>
        <w:pStyle w:val="BodyText"/>
        <w:rPr>
          <w:spacing w:val="-4"/>
        </w:rPr>
      </w:pPr>
      <w:r w:rsidRPr="007A0D04">
        <w:rPr>
          <w:spacing w:val="-4"/>
        </w:rPr>
        <w:t>These conditions kept growth subdued until the Great Depression</w:t>
      </w:r>
      <w:r w:rsidR="005F294B" w:rsidRPr="007A0D04">
        <w:rPr>
          <w:spacing w:val="-4"/>
        </w:rPr>
        <w:t>, which</w:t>
      </w:r>
      <w:r w:rsidRPr="007A0D04">
        <w:rPr>
          <w:spacing w:val="-4"/>
        </w:rPr>
        <w:t xml:space="preserve"> further reduced living standards and drove up unemployment. Depending on what metric one uses (unemployment</w:t>
      </w:r>
      <w:r w:rsidR="00CC5D4E" w:rsidRPr="007A0D04">
        <w:rPr>
          <w:spacing w:val="-4"/>
        </w:rPr>
        <w:t>,</w:t>
      </w:r>
      <w:r w:rsidRPr="007A0D04">
        <w:rPr>
          <w:spacing w:val="-4"/>
        </w:rPr>
        <w:t xml:space="preserve"> GDP or GDP per capita), the depression only ended with </w:t>
      </w:r>
      <w:r w:rsidR="006D7835" w:rsidRPr="007A0D04">
        <w:rPr>
          <w:spacing w:val="-4"/>
        </w:rPr>
        <w:t>WWII</w:t>
      </w:r>
      <w:r w:rsidR="00661BC5" w:rsidRPr="007A0D04">
        <w:rPr>
          <w:spacing w:val="-4"/>
        </w:rPr>
        <w:t xml:space="preserve"> </w:t>
      </w:r>
      <w:r w:rsidR="00661BC5" w:rsidRPr="007A0D04">
        <w:rPr>
          <w:spacing w:val="-4"/>
          <w:szCs w:val="24"/>
        </w:rPr>
        <w:t>(McLean 2013)</w:t>
      </w:r>
      <w:r w:rsidRPr="007A0D04">
        <w:rPr>
          <w:spacing w:val="-4"/>
        </w:rPr>
        <w:t xml:space="preserve">. </w:t>
      </w:r>
    </w:p>
    <w:p w14:paraId="12EC6D0F" w14:textId="33840ABE" w:rsidR="00C7399C" w:rsidRDefault="00CB7F3C" w:rsidP="004A75D3">
      <w:pPr>
        <w:pStyle w:val="BodyText"/>
      </w:pPr>
      <w:r>
        <w:t xml:space="preserve">Compounding this </w:t>
      </w:r>
      <w:r w:rsidR="00B65697">
        <w:t>was</w:t>
      </w:r>
      <w:r>
        <w:t xml:space="preserve"> </w:t>
      </w:r>
      <w:r w:rsidR="00A11AA8">
        <w:t>an</w:t>
      </w:r>
      <w:r>
        <w:t xml:space="preserve"> intensification of protection</w:t>
      </w:r>
      <w:r w:rsidR="00A11AA8">
        <w:t>ism</w:t>
      </w:r>
      <w:r>
        <w:t xml:space="preserve"> and centralised labour regulation </w:t>
      </w:r>
      <w:r w:rsidR="00B65697">
        <w:t>that formed a mutually</w:t>
      </w:r>
      <w:r w:rsidR="00B65697">
        <w:noBreakHyphen/>
        <w:t>reinforcing nexus</w:t>
      </w:r>
      <w:r w:rsidR="00306CBC">
        <w:t>. Industrial courts in New South Wales and Victoria were setting increasingly higher basic wages</w:t>
      </w:r>
      <w:r w:rsidR="00306CBC" w:rsidRPr="0008559C">
        <w:rPr>
          <w:rStyle w:val="FootnoteReference"/>
        </w:rPr>
        <w:footnoteReference w:id="12"/>
      </w:r>
      <w:r w:rsidR="00306CBC">
        <w:t xml:space="preserve"> for unskilled workers</w:t>
      </w:r>
      <w:r w:rsidR="00B65697">
        <w:t>. But higher labour costs were used as a basis to (often successfully) lobby</w:t>
      </w:r>
      <w:r w:rsidR="00F352C0" w:rsidRPr="0008559C">
        <w:rPr>
          <w:rStyle w:val="FootnoteReference"/>
        </w:rPr>
        <w:footnoteReference w:id="13"/>
      </w:r>
      <w:r w:rsidR="00B65697">
        <w:t xml:space="preserve"> for greater tariff protection</w:t>
      </w:r>
      <w:r w:rsidR="00782378">
        <w:t xml:space="preserve"> </w:t>
      </w:r>
      <w:r w:rsidR="00782378" w:rsidRPr="00782378">
        <w:rPr>
          <w:szCs w:val="24"/>
        </w:rPr>
        <w:t>(Wilson 2014)</w:t>
      </w:r>
      <w:r w:rsidR="00B65697">
        <w:t xml:space="preserve">. The net result was ever increasing tariffs (especially on </w:t>
      </w:r>
      <w:r w:rsidR="0075210C">
        <w:t>manufacturing</w:t>
      </w:r>
      <w:r w:rsidR="00B65697">
        <w:t xml:space="preserve"> goods) and wage growth outstripping economic growth (figure </w:t>
      </w:r>
      <w:r w:rsidR="00E14AA1">
        <w:t>12</w:t>
      </w:r>
      <w:r w:rsidR="00B65697">
        <w:t xml:space="preserve">). </w:t>
      </w:r>
      <w:r w:rsidR="00782378">
        <w:t>T</w:t>
      </w:r>
      <w:r>
        <w:t xml:space="preserve">ariff protection for manufacturing </w:t>
      </w:r>
      <w:r w:rsidR="004650F2">
        <w:t>increased steadily throughout the 1920s, reach</w:t>
      </w:r>
      <w:r w:rsidR="00F61628">
        <w:t>ing</w:t>
      </w:r>
      <w:r w:rsidR="004650F2">
        <w:t xml:space="preserve"> a peak of</w:t>
      </w:r>
      <w:r>
        <w:t xml:space="preserve"> about 70 per cent of value of </w:t>
      </w:r>
      <w:r w:rsidR="00D02B0E">
        <w:t>durable imports in 1933</w:t>
      </w:r>
      <w:r w:rsidR="00306CBC">
        <w:t xml:space="preserve">. </w:t>
      </w:r>
      <w:r w:rsidR="00A11AA8">
        <w:t xml:space="preserve">The increasing basic wages and tariff protection likely had </w:t>
      </w:r>
      <w:r w:rsidR="0062019E">
        <w:t xml:space="preserve">a </w:t>
      </w:r>
      <w:r w:rsidR="00D70816">
        <w:t xml:space="preserve">negative </w:t>
      </w:r>
      <w:r w:rsidR="00A11AA8">
        <w:t>effect on per capita income growth.</w:t>
      </w:r>
    </w:p>
    <w:p w14:paraId="13209FEF" w14:textId="33C2D404" w:rsidR="004650F2" w:rsidRDefault="004650F2" w:rsidP="00A11AA8">
      <w:pPr>
        <w:pStyle w:val="BoxSpaceAbove"/>
        <w:tabs>
          <w:tab w:val="left" w:pos="6690"/>
        </w:tab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F4DE1" w14:paraId="040FC55F" w14:textId="77777777" w:rsidTr="29E7BBAE">
        <w:trPr>
          <w:tblHeader/>
        </w:trPr>
        <w:tc>
          <w:tcPr>
            <w:tcW w:w="5000" w:type="pct"/>
            <w:tcBorders>
              <w:top w:val="single" w:sz="6" w:space="0" w:color="78A22F" w:themeColor="accent1"/>
              <w:left w:val="nil"/>
              <w:bottom w:val="nil"/>
              <w:right w:val="nil"/>
            </w:tcBorders>
            <w:shd w:val="clear" w:color="auto" w:fill="auto"/>
          </w:tcPr>
          <w:p w14:paraId="65A4523D" w14:textId="7264F66D" w:rsidR="002F4DE1" w:rsidRPr="000E259E" w:rsidRDefault="002F4DE1" w:rsidP="00125006">
            <w:pPr>
              <w:pStyle w:val="FigureTitle"/>
              <w:rPr>
                <w:sz w:val="24"/>
                <w:szCs w:val="24"/>
              </w:rPr>
            </w:pPr>
            <w:r w:rsidRPr="000E259E">
              <w:rPr>
                <w:b w:val="0"/>
                <w:sz w:val="24"/>
                <w:szCs w:val="24"/>
              </w:rPr>
              <w:t xml:space="preserve">Figure </w:t>
            </w:r>
            <w:r w:rsidR="00CE55C0" w:rsidRPr="000E259E">
              <w:rPr>
                <w:b w:val="0"/>
                <w:sz w:val="24"/>
                <w:szCs w:val="24"/>
              </w:rPr>
              <w:t>12</w:t>
            </w:r>
            <w:r w:rsidRPr="000E259E">
              <w:rPr>
                <w:sz w:val="24"/>
                <w:szCs w:val="24"/>
              </w:rPr>
              <w:tab/>
              <w:t>Employees wage growth outstripped GDP growth for most of the interwar period</w:t>
            </w:r>
          </w:p>
          <w:p w14:paraId="6BF3D3C3" w14:textId="77777777" w:rsidR="002F4DE1" w:rsidRPr="00176D3F" w:rsidRDefault="002F4DE1" w:rsidP="00125006">
            <w:pPr>
              <w:pStyle w:val="Subtitle"/>
            </w:pPr>
            <w:r>
              <w:t>Real indices of GDP per capita and real weekly earnings</w:t>
            </w:r>
            <w:r>
              <w:rPr>
                <w:rStyle w:val="NoteLabel"/>
              </w:rPr>
              <w:t>a</w:t>
            </w:r>
            <w:r>
              <w:t xml:space="preserve"> of employees between 1920 and 1936</w:t>
            </w:r>
          </w:p>
        </w:tc>
      </w:tr>
      <w:tr w:rsidR="002F4DE1" w14:paraId="2EF53543"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F4DE1" w:rsidRPr="00B1465D" w14:paraId="4400334E" w14:textId="77777777" w:rsidTr="29E7BBAE">
              <w:trPr>
                <w:tblHeader/>
                <w:jc w:val="center"/>
              </w:trPr>
              <w:tc>
                <w:tcPr>
                  <w:tcW w:w="5000" w:type="pct"/>
                  <w:tcBorders>
                    <w:top w:val="nil"/>
                    <w:bottom w:val="nil"/>
                  </w:tcBorders>
                </w:tcPr>
                <w:p w14:paraId="6C1385C8" w14:textId="77777777" w:rsidR="002F4DE1" w:rsidRPr="00B1465D" w:rsidRDefault="002F4DE1" w:rsidP="00125006">
                  <w:pPr>
                    <w:pStyle w:val="Figure"/>
                    <w:spacing w:before="60" w:after="60"/>
                    <w:rPr>
                      <w:rFonts w:ascii="Arial" w:hAnsi="Arial" w:cs="Arial"/>
                      <w:sz w:val="18"/>
                      <w:szCs w:val="18"/>
                    </w:rPr>
                  </w:pPr>
                  <w:r w:rsidRPr="004650F2">
                    <w:rPr>
                      <w:rFonts w:ascii="Arial" w:hAnsi="Arial" w:cs="Arial"/>
                      <w:noProof/>
                      <w:sz w:val="18"/>
                      <w:szCs w:val="18"/>
                    </w:rPr>
                    <w:drawing>
                      <wp:inline distT="0" distB="0" distL="0" distR="0" wp14:anchorId="04A37293" wp14:editId="7E41862E">
                        <wp:extent cx="5400675" cy="2876550"/>
                        <wp:effectExtent l="0" t="0" r="9525" b="0"/>
                        <wp:docPr id="4" name="Picture 4" descr="This chart shows real indices of GDP per capita and real weekly earnings of employees between 1920 and 1936. It shows that weekly earnings grew by 30 per cent over the period, whereas GDP per capita grew by less than 2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shows real indices of GDP per capita and real weekly earnings of employees between 1920 and 1936. It shows that weekly earnings grew by 30 per cent over the period, whereas GDP per capita grew by less than 20 per cen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56BD15AB" w14:textId="77777777" w:rsidR="002F4DE1" w:rsidRDefault="002F4DE1" w:rsidP="00125006">
            <w:pPr>
              <w:pStyle w:val="Figure"/>
            </w:pPr>
          </w:p>
        </w:tc>
      </w:tr>
      <w:tr w:rsidR="002F4DE1" w:rsidRPr="00176D3F" w14:paraId="474385A5" w14:textId="77777777" w:rsidTr="29E7BBAE">
        <w:tc>
          <w:tcPr>
            <w:tcW w:w="5000" w:type="pct"/>
            <w:tcBorders>
              <w:top w:val="nil"/>
              <w:left w:val="nil"/>
              <w:bottom w:val="nil"/>
              <w:right w:val="nil"/>
            </w:tcBorders>
            <w:shd w:val="clear" w:color="auto" w:fill="auto"/>
          </w:tcPr>
          <w:p w14:paraId="100913A6" w14:textId="77777777" w:rsidR="002F4DE1" w:rsidRPr="00176D3F" w:rsidRDefault="002F4DE1" w:rsidP="00125006">
            <w:pPr>
              <w:pStyle w:val="Note"/>
            </w:pPr>
            <w:r>
              <w:rPr>
                <w:rStyle w:val="NoteLabel"/>
              </w:rPr>
              <w:t>a</w:t>
            </w:r>
            <w:r>
              <w:t xml:space="preserve"> Employee earnings are deflated by the GDP deflator. </w:t>
            </w:r>
          </w:p>
        </w:tc>
      </w:tr>
      <w:tr w:rsidR="002F4DE1" w:rsidRPr="00176D3F" w14:paraId="148F960E" w14:textId="77777777" w:rsidTr="29E7BBAE">
        <w:tc>
          <w:tcPr>
            <w:tcW w:w="5000" w:type="pct"/>
            <w:tcBorders>
              <w:top w:val="nil"/>
              <w:left w:val="nil"/>
              <w:bottom w:val="nil"/>
              <w:right w:val="nil"/>
            </w:tcBorders>
            <w:shd w:val="clear" w:color="auto" w:fill="auto"/>
          </w:tcPr>
          <w:p w14:paraId="046AE994" w14:textId="7FB1FCE6" w:rsidR="002F4DE1" w:rsidRPr="00176D3F" w:rsidRDefault="002F4DE1" w:rsidP="005F579A">
            <w:pPr>
              <w:pStyle w:val="Source"/>
              <w:spacing w:after="0"/>
            </w:pPr>
            <w:r>
              <w:rPr>
                <w:i/>
              </w:rPr>
              <w:t>S</w:t>
            </w:r>
            <w:r w:rsidRPr="00784A05">
              <w:rPr>
                <w:i/>
              </w:rPr>
              <w:t>ource</w:t>
            </w:r>
            <w:r w:rsidRPr="00176D3F">
              <w:t xml:space="preserve">: </w:t>
            </w:r>
            <w:r w:rsidR="00B65697">
              <w:t>Butlin et al.</w:t>
            </w:r>
            <w:r w:rsidR="00782BF3">
              <w:t xml:space="preserve"> </w:t>
            </w:r>
            <w:r w:rsidR="00782BF3" w:rsidRPr="00782BF3">
              <w:rPr>
                <w:rFonts w:cs="Arial"/>
              </w:rPr>
              <w:t>(2015)</w:t>
            </w:r>
            <w:r w:rsidR="00651A90">
              <w:t xml:space="preserve">. </w:t>
            </w:r>
          </w:p>
        </w:tc>
      </w:tr>
      <w:tr w:rsidR="002F4DE1" w14:paraId="32EC007C" w14:textId="77777777" w:rsidTr="29E7BBAE">
        <w:tc>
          <w:tcPr>
            <w:tcW w:w="5000" w:type="pct"/>
            <w:tcBorders>
              <w:top w:val="nil"/>
              <w:left w:val="nil"/>
              <w:bottom w:val="single" w:sz="6" w:space="0" w:color="78A22F" w:themeColor="accent1"/>
              <w:right w:val="nil"/>
            </w:tcBorders>
            <w:shd w:val="clear" w:color="auto" w:fill="auto"/>
          </w:tcPr>
          <w:p w14:paraId="637C4EE8" w14:textId="77777777" w:rsidR="002F4DE1" w:rsidRDefault="002F4DE1" w:rsidP="00125006">
            <w:pPr>
              <w:pStyle w:val="Figurespace"/>
            </w:pPr>
          </w:p>
        </w:tc>
      </w:tr>
      <w:tr w:rsidR="002F4DE1" w:rsidRPr="000863A5" w14:paraId="55D55C2C" w14:textId="77777777" w:rsidTr="29E7BBAE">
        <w:tc>
          <w:tcPr>
            <w:tcW w:w="5000" w:type="pct"/>
            <w:tcBorders>
              <w:top w:val="single" w:sz="6" w:space="0" w:color="78A22F" w:themeColor="accent1"/>
              <w:left w:val="nil"/>
              <w:bottom w:val="nil"/>
              <w:right w:val="nil"/>
            </w:tcBorders>
          </w:tcPr>
          <w:p w14:paraId="22DB6599" w14:textId="313B7603" w:rsidR="002F4DE1" w:rsidRPr="00626D32" w:rsidRDefault="002F4DE1" w:rsidP="00125006">
            <w:pPr>
              <w:pStyle w:val="BoxSpaceBelow"/>
            </w:pPr>
          </w:p>
        </w:tc>
      </w:tr>
    </w:tbl>
    <w:p w14:paraId="753DE9A9" w14:textId="77777777" w:rsidR="002F4DE1" w:rsidRDefault="002F4DE1" w:rsidP="002F4DE1">
      <w:pPr>
        <w:pStyle w:val="Heading4"/>
      </w:pPr>
      <w:r>
        <w:t xml:space="preserve">Why did Australian productivity performance never recover </w:t>
      </w:r>
      <w:r w:rsidR="00CC5D4E">
        <w:t xml:space="preserve">to </w:t>
      </w:r>
      <w:r>
        <w:t xml:space="preserve">its past highs? </w:t>
      </w:r>
    </w:p>
    <w:p w14:paraId="6339E4E4" w14:textId="327DF0A7" w:rsidR="00B80AD6" w:rsidRPr="005F579A" w:rsidRDefault="000744F9" w:rsidP="004A75D3">
      <w:pPr>
        <w:pStyle w:val="BodyText"/>
        <w:rPr>
          <w:spacing w:val="-2"/>
        </w:rPr>
      </w:pPr>
      <w:r w:rsidRPr="005F579A">
        <w:rPr>
          <w:spacing w:val="-2"/>
        </w:rPr>
        <w:t>The Second World War,</w:t>
      </w:r>
      <w:r w:rsidR="00DC6FAF" w:rsidRPr="005F579A">
        <w:rPr>
          <w:spacing w:val="-2"/>
        </w:rPr>
        <w:t xml:space="preserve"> unlike the first, was a positive shock to the Australian economy</w:t>
      </w:r>
      <w:r w:rsidR="003D5A4F" w:rsidRPr="005F579A">
        <w:rPr>
          <w:spacing w:val="-2"/>
        </w:rPr>
        <w:t xml:space="preserve"> </w:t>
      </w:r>
      <w:r w:rsidR="003D5A4F" w:rsidRPr="005F579A">
        <w:rPr>
          <w:spacing w:val="-2"/>
          <w:szCs w:val="24"/>
        </w:rPr>
        <w:t>(McLean 2013, pp. 176–178)</w:t>
      </w:r>
      <w:r w:rsidR="00792C4F" w:rsidRPr="005F579A">
        <w:rPr>
          <w:spacing w:val="-2"/>
        </w:rPr>
        <w:t>, with</w:t>
      </w:r>
      <w:r w:rsidR="00DC6FAF" w:rsidRPr="005F579A">
        <w:rPr>
          <w:spacing w:val="-2"/>
        </w:rPr>
        <w:t xml:space="preserve"> </w:t>
      </w:r>
      <w:r w:rsidR="00792C4F" w:rsidRPr="005F579A">
        <w:rPr>
          <w:spacing w:val="-2"/>
        </w:rPr>
        <w:t>u</w:t>
      </w:r>
      <w:r w:rsidR="003D5A4F" w:rsidRPr="005F579A">
        <w:rPr>
          <w:spacing w:val="-2"/>
        </w:rPr>
        <w:t xml:space="preserve">nemployment </w:t>
      </w:r>
      <w:r w:rsidR="00792C4F" w:rsidRPr="005F579A">
        <w:rPr>
          <w:spacing w:val="-2"/>
        </w:rPr>
        <w:t>falling</w:t>
      </w:r>
      <w:r w:rsidR="003D5A4F" w:rsidRPr="005F579A">
        <w:rPr>
          <w:spacing w:val="-2"/>
        </w:rPr>
        <w:t xml:space="preserve"> </w:t>
      </w:r>
      <w:r w:rsidR="00792C4F" w:rsidRPr="005F579A">
        <w:rPr>
          <w:spacing w:val="-2"/>
        </w:rPr>
        <w:t>while participation and GDP per capita rose</w:t>
      </w:r>
      <w:r w:rsidR="003D5A4F" w:rsidRPr="005F579A">
        <w:rPr>
          <w:spacing w:val="-2"/>
        </w:rPr>
        <w:t>.</w:t>
      </w:r>
      <w:r w:rsidR="002B557E" w:rsidRPr="005F579A">
        <w:rPr>
          <w:spacing w:val="-2"/>
        </w:rPr>
        <w:t xml:space="preserve"> Part of this better performance during WWII</w:t>
      </w:r>
      <w:r w:rsidR="009115FC" w:rsidRPr="005F579A">
        <w:rPr>
          <w:spacing w:val="-2"/>
        </w:rPr>
        <w:t xml:space="preserve"> compared to WWI</w:t>
      </w:r>
      <w:r w:rsidR="002B557E" w:rsidRPr="005F579A">
        <w:rPr>
          <w:spacing w:val="-2"/>
        </w:rPr>
        <w:t xml:space="preserve"> may</w:t>
      </w:r>
      <w:r w:rsidR="009115FC" w:rsidRPr="005F579A">
        <w:rPr>
          <w:spacing w:val="-2"/>
        </w:rPr>
        <w:t xml:space="preserve"> be</w:t>
      </w:r>
      <w:r w:rsidR="002B557E" w:rsidRPr="005F579A">
        <w:rPr>
          <w:spacing w:val="-2"/>
        </w:rPr>
        <w:t xml:space="preserve"> due to the tariffs on manufacturing </w:t>
      </w:r>
      <w:r w:rsidR="009115FC" w:rsidRPr="005F579A">
        <w:rPr>
          <w:spacing w:val="-2"/>
        </w:rPr>
        <w:t>that</w:t>
      </w:r>
      <w:r w:rsidR="002B557E" w:rsidRPr="005F579A">
        <w:rPr>
          <w:spacing w:val="-2"/>
        </w:rPr>
        <w:t>, while potentially hindering productivity performance, did make the country better placed for</w:t>
      </w:r>
      <w:r w:rsidR="0004391C" w:rsidRPr="005F579A">
        <w:rPr>
          <w:spacing w:val="-2"/>
        </w:rPr>
        <w:t xml:space="preserve"> an expansion of</w:t>
      </w:r>
      <w:r w:rsidR="002B557E" w:rsidRPr="005F579A">
        <w:rPr>
          <w:spacing w:val="-2"/>
        </w:rPr>
        <w:t xml:space="preserve"> armaments manufacturing.</w:t>
      </w:r>
      <w:r w:rsidR="005F1B49" w:rsidRPr="005F579A">
        <w:rPr>
          <w:spacing w:val="-2"/>
        </w:rPr>
        <w:t xml:space="preserve"> </w:t>
      </w:r>
    </w:p>
    <w:p w14:paraId="3F0ED944" w14:textId="17E62A4D" w:rsidR="0004391C" w:rsidRDefault="00B80AD6" w:rsidP="004A75D3">
      <w:pPr>
        <w:pStyle w:val="BodyText"/>
      </w:pPr>
      <w:r>
        <w:t xml:space="preserve">After the war, Australia’s economic growth was faster than at most points in its history. For this reason, this period (up to about </w:t>
      </w:r>
      <w:r w:rsidR="00DE0B45">
        <w:t>1973</w:t>
      </w:r>
      <w:r>
        <w:t>) is</w:t>
      </w:r>
      <w:r w:rsidR="005F1B49">
        <w:t xml:space="preserve"> sometimes referred to as a ‘Golden Age’</w:t>
      </w:r>
      <w:r w:rsidR="00DE0B45">
        <w:t xml:space="preserve"> </w:t>
      </w:r>
      <w:r w:rsidR="00B3387A" w:rsidRPr="00B3387A">
        <w:rPr>
          <w:szCs w:val="24"/>
        </w:rPr>
        <w:t>(McLean 2013)</w:t>
      </w:r>
      <w:r w:rsidR="005F1B49">
        <w:t>.</w:t>
      </w:r>
      <w:r w:rsidR="003D5A4F">
        <w:t xml:space="preserve"> </w:t>
      </w:r>
      <w:r w:rsidR="00661BC5">
        <w:t>Paradoxically, while Australian productivity grew much faster in the decades after WWII than in the decades before it</w:t>
      </w:r>
      <w:r w:rsidR="00557CFD">
        <w:t xml:space="preserve"> (and slightly faster than the US)</w:t>
      </w:r>
      <w:r w:rsidR="00661BC5">
        <w:t xml:space="preserve">, Australian relative </w:t>
      </w:r>
      <w:r w:rsidR="00557CFD">
        <w:t>incomes</w:t>
      </w:r>
      <w:r w:rsidR="005F1B49">
        <w:t xml:space="preserve"> actually decline</w:t>
      </w:r>
      <w:r>
        <w:t>d</w:t>
      </w:r>
      <w:r w:rsidR="00661BC5">
        <w:t>.</w:t>
      </w:r>
      <w:r w:rsidR="0004391C">
        <w:t xml:space="preserve"> </w:t>
      </w:r>
    </w:p>
    <w:p w14:paraId="37B1E8C2" w14:textId="1147CAA6" w:rsidR="00B80AD6" w:rsidRDefault="00B80AD6" w:rsidP="004A75D3">
      <w:pPr>
        <w:pStyle w:val="BodyText"/>
      </w:pPr>
      <w:r>
        <w:t xml:space="preserve">These observations raise numerous questions. First, if Australian productivity growth was faster than the US, why did the income gap worsen over this period? Second, does Australia’s strong productivity performance over this period weaken the case against the productivity hindering effects of </w:t>
      </w:r>
      <w:r w:rsidR="0075627D">
        <w:t>protectionism in the interwar and post</w:t>
      </w:r>
      <w:r w:rsidR="0075627D">
        <w:noBreakHyphen/>
        <w:t>war</w:t>
      </w:r>
      <w:r w:rsidR="00C14EB9">
        <w:t xml:space="preserve"> </w:t>
      </w:r>
      <w:r w:rsidR="00596BFB">
        <w:t>period</w:t>
      </w:r>
      <w:r>
        <w:t>?</w:t>
      </w:r>
    </w:p>
    <w:p w14:paraId="3F3B3943" w14:textId="6ABF6DD5" w:rsidR="00557CFD" w:rsidRDefault="00557CFD" w:rsidP="00CA50C9">
      <w:pPr>
        <w:pStyle w:val="BodyText"/>
      </w:pPr>
      <w:r>
        <w:lastRenderedPageBreak/>
        <w:t>Australia’s weak relative GDP per capita performance over this period appears to be attributable to lower participation and price effects (including weak terms of trade) (figure </w:t>
      </w:r>
      <w:r w:rsidR="000374B1">
        <w:t>1</w:t>
      </w:r>
      <w:r w:rsidR="00515707">
        <w:t>3</w:t>
      </w:r>
      <w:r>
        <w:t xml:space="preserve">). </w:t>
      </w:r>
      <w:r w:rsidR="007D0D3A">
        <w:t>The main cause appears to be that</w:t>
      </w:r>
      <w:r>
        <w:t xml:space="preserve"> employment as a share of the population</w:t>
      </w:r>
      <w:r w:rsidR="007D0D3A">
        <w:t xml:space="preserve"> increase</w:t>
      </w:r>
      <w:r w:rsidR="00134E2F">
        <w:t>d</w:t>
      </w:r>
      <w:r w:rsidR="007D0D3A">
        <w:t xml:space="preserve"> from</w:t>
      </w:r>
      <w:r>
        <w:t xml:space="preserve"> </w:t>
      </w:r>
      <w:r w:rsidR="007D0D3A">
        <w:t>40 per cent to 49 per cent</w:t>
      </w:r>
      <w:r>
        <w:t xml:space="preserve"> in the US</w:t>
      </w:r>
      <w:r w:rsidR="00596BFB">
        <w:t>,</w:t>
      </w:r>
      <w:r>
        <w:t xml:space="preserve"> while it </w:t>
      </w:r>
      <w:r w:rsidR="00134E2F">
        <w:t>fell</w:t>
      </w:r>
      <w:r w:rsidR="007D0D3A">
        <w:t xml:space="preserve"> from 43 per cent to 40 per cent</w:t>
      </w:r>
      <w:r>
        <w:t xml:space="preserve"> in Australia </w:t>
      </w:r>
      <w:r w:rsidR="007D0D3A">
        <w:t>between 1950 to 1990</w:t>
      </w:r>
      <w:r w:rsidR="0027300B">
        <w:t xml:space="preserve"> </w:t>
      </w:r>
      <w:r w:rsidR="0027300B" w:rsidRPr="0027300B">
        <w:rPr>
          <w:szCs w:val="24"/>
        </w:rPr>
        <w:t>(The Conference Board 2018)</w:t>
      </w:r>
      <w:r>
        <w:t xml:space="preserve">. </w:t>
      </w:r>
      <w:r w:rsidR="007D0D3A">
        <w:t>This is turn appears to be due to earlier</w:t>
      </w:r>
      <w:r w:rsidR="00763A62">
        <w:t xml:space="preserve"> increase </w:t>
      </w:r>
      <w:r w:rsidR="00763A62" w:rsidDel="0083679A">
        <w:t>in</w:t>
      </w:r>
      <w:r w:rsidR="0083679A">
        <w:t xml:space="preserve"> women’s</w:t>
      </w:r>
      <w:r w:rsidR="00763A62">
        <w:t xml:space="preserve"> </w:t>
      </w:r>
      <w:r w:rsidR="007D0D3A">
        <w:t xml:space="preserve">workforce in the United States during the </w:t>
      </w:r>
      <w:r w:rsidR="00C25535">
        <w:t>19</w:t>
      </w:r>
      <w:r w:rsidR="007D0D3A">
        <w:t xml:space="preserve">70s and </w:t>
      </w:r>
      <w:r w:rsidR="00C25535">
        <w:t>19</w:t>
      </w:r>
      <w:r w:rsidR="007D0D3A">
        <w:t xml:space="preserve">80s, </w:t>
      </w:r>
      <w:r w:rsidR="00C34158">
        <w:t xml:space="preserve">with </w:t>
      </w:r>
      <w:r w:rsidR="007D0D3A">
        <w:t xml:space="preserve">Australia </w:t>
      </w:r>
      <w:r w:rsidR="00C34158">
        <w:t>only</w:t>
      </w:r>
      <w:r w:rsidR="007D0D3A">
        <w:t xml:space="preserve"> catch</w:t>
      </w:r>
      <w:r w:rsidR="00C34158">
        <w:t>ing</w:t>
      </w:r>
      <w:r w:rsidR="007D0D3A">
        <w:t xml:space="preserve"> up </w:t>
      </w:r>
      <w:r w:rsidR="00C34158">
        <w:t>in</w:t>
      </w:r>
      <w:r w:rsidR="007D0D3A">
        <w:t xml:space="preserve"> the </w:t>
      </w:r>
      <w:r w:rsidR="00E00ADC">
        <w:t>2000</w:t>
      </w:r>
      <w:r w:rsidR="007D0D3A">
        <w:t>s.</w:t>
      </w:r>
      <w:r w:rsidR="00084E80">
        <w:rPr>
          <w:rStyle w:val="FootnoteReference"/>
        </w:rPr>
        <w:footnoteReference w:id="14"/>
      </w:r>
      <w:r w:rsidR="007D0D3A">
        <w:t xml:space="preserve"> </w:t>
      </w:r>
    </w:p>
    <w:p w14:paraId="5E109090" w14:textId="512B23E3" w:rsidR="0027300B" w:rsidRDefault="0027300B" w:rsidP="00A83F9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7300B" w14:paraId="11CE222F" w14:textId="77777777" w:rsidTr="29E7BBAE">
        <w:trPr>
          <w:tblHeader/>
        </w:trPr>
        <w:tc>
          <w:tcPr>
            <w:tcW w:w="5000" w:type="pct"/>
            <w:tcBorders>
              <w:top w:val="single" w:sz="6" w:space="0" w:color="78A22F" w:themeColor="accent1"/>
              <w:left w:val="nil"/>
              <w:bottom w:val="nil"/>
              <w:right w:val="nil"/>
            </w:tcBorders>
            <w:shd w:val="clear" w:color="auto" w:fill="auto"/>
          </w:tcPr>
          <w:p w14:paraId="3C86BA41" w14:textId="67AE3AD9" w:rsidR="0027300B" w:rsidRDefault="0027300B" w:rsidP="00A83F90">
            <w:pPr>
              <w:pStyle w:val="FigureTitle"/>
            </w:pPr>
            <w:r w:rsidRPr="00784A05">
              <w:rPr>
                <w:b w:val="0"/>
              </w:rPr>
              <w:t xml:space="preserve">Figure </w:t>
            </w:r>
            <w:r w:rsidR="000374B1">
              <w:rPr>
                <w:b w:val="0"/>
              </w:rPr>
              <w:t>1</w:t>
            </w:r>
            <w:r w:rsidR="00515707">
              <w:rPr>
                <w:b w:val="0"/>
              </w:rPr>
              <w:t>3</w:t>
            </w:r>
            <w:r>
              <w:tab/>
            </w:r>
            <w:r w:rsidR="00161164">
              <w:t>Weaker relative participation and price effects appear to have prevented significant catch-up during the ‘Golden Age’</w:t>
            </w:r>
          </w:p>
          <w:p w14:paraId="17A43691" w14:textId="2C83DB28" w:rsidR="0027300B" w:rsidRPr="00176D3F" w:rsidRDefault="00F421DD" w:rsidP="00A83F90">
            <w:pPr>
              <w:pStyle w:val="Subtitle"/>
            </w:pPr>
            <w:r>
              <w:t>Contributors to the change in the AUS / US GDP per capita ratio between 1950 and 1990</w:t>
            </w:r>
            <w:r w:rsidRPr="00F421DD">
              <w:rPr>
                <w:rStyle w:val="NoteLabel"/>
              </w:rPr>
              <w:t>a</w:t>
            </w:r>
            <w:r w:rsidR="00A17DA3">
              <w:rPr>
                <w:rStyle w:val="NoteLabel"/>
              </w:rPr>
              <w:t xml:space="preserve"> </w:t>
            </w:r>
            <w:r w:rsidR="00A17DA3" w:rsidRPr="00A17DA3">
              <w:t>(US = 100)</w:t>
            </w:r>
          </w:p>
        </w:tc>
      </w:tr>
      <w:tr w:rsidR="0027300B" w14:paraId="6D874205"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7300B" w:rsidRPr="00B1465D" w14:paraId="688B7E59" w14:textId="77777777" w:rsidTr="29E7BBAE">
              <w:trPr>
                <w:tblHeader/>
                <w:jc w:val="center"/>
              </w:trPr>
              <w:tc>
                <w:tcPr>
                  <w:tcW w:w="5000" w:type="pct"/>
                  <w:tcBorders>
                    <w:top w:val="nil"/>
                    <w:bottom w:val="nil"/>
                  </w:tcBorders>
                </w:tcPr>
                <w:p w14:paraId="2C021FD2" w14:textId="630599A1" w:rsidR="0027300B" w:rsidRPr="00B1465D" w:rsidRDefault="009B293C" w:rsidP="00A83F90">
                  <w:pPr>
                    <w:pStyle w:val="Figure"/>
                    <w:spacing w:before="60" w:after="60"/>
                    <w:rPr>
                      <w:rFonts w:ascii="Arial" w:hAnsi="Arial" w:cs="Arial"/>
                      <w:sz w:val="18"/>
                      <w:szCs w:val="18"/>
                    </w:rPr>
                  </w:pPr>
                  <w:r w:rsidRPr="009B293C">
                    <w:rPr>
                      <w:rFonts w:ascii="Arial" w:hAnsi="Arial" w:cs="Arial"/>
                      <w:noProof/>
                      <w:sz w:val="18"/>
                      <w:szCs w:val="18"/>
                    </w:rPr>
                    <w:drawing>
                      <wp:inline distT="0" distB="0" distL="0" distR="0" wp14:anchorId="637131D8" wp14:editId="1D6FBF2B">
                        <wp:extent cx="5565775" cy="3140710"/>
                        <wp:effectExtent l="0" t="0" r="0" b="2540"/>
                        <wp:docPr id="37" name="Picture 37" descr="This chart shows the contributors to the change in the Australian-to-US GDP per capita ratio between 1950 and 1990. This chart shows that in 1950, Australia’s GDP per capita was 90 per cent of the US level which fell to 75 per cent of the US level by 1990. Labour productivity contributed 10 percentage points to a growth in the relative GDP per capita, whereas employment subtracted 10 percentage points, hours worked per employee subtracted 4 percentage points, and price effects subtracted 10 percentage points to the relative levels across th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65775" cy="3140710"/>
                                </a:xfrm>
                                <a:prstGeom prst="rect">
                                  <a:avLst/>
                                </a:prstGeom>
                                <a:noFill/>
                                <a:ln>
                                  <a:noFill/>
                                </a:ln>
                              </pic:spPr>
                            </pic:pic>
                          </a:graphicData>
                        </a:graphic>
                      </wp:inline>
                    </w:drawing>
                  </w:r>
                </w:p>
              </w:tc>
            </w:tr>
          </w:tbl>
          <w:p w14:paraId="4A7B0BFA" w14:textId="77777777" w:rsidR="0027300B" w:rsidRDefault="0027300B" w:rsidP="00A83F90">
            <w:pPr>
              <w:pStyle w:val="Figure"/>
            </w:pPr>
          </w:p>
        </w:tc>
      </w:tr>
      <w:tr w:rsidR="0027300B" w:rsidRPr="00176D3F" w14:paraId="10E99578" w14:textId="77777777" w:rsidTr="29E7BBAE">
        <w:tc>
          <w:tcPr>
            <w:tcW w:w="5000" w:type="pct"/>
            <w:tcBorders>
              <w:top w:val="nil"/>
              <w:left w:val="nil"/>
              <w:bottom w:val="nil"/>
              <w:right w:val="nil"/>
            </w:tcBorders>
            <w:shd w:val="clear" w:color="auto" w:fill="auto"/>
          </w:tcPr>
          <w:p w14:paraId="78FCAF9A" w14:textId="77777777" w:rsidR="0027300B" w:rsidRPr="00176D3F" w:rsidRDefault="0027300B" w:rsidP="00F421DD">
            <w:pPr>
              <w:pStyle w:val="Note"/>
            </w:pPr>
            <w:r>
              <w:rPr>
                <w:rStyle w:val="NoteLabel"/>
              </w:rPr>
              <w:t>a</w:t>
            </w:r>
            <w:r>
              <w:t xml:space="preserve"> </w:t>
            </w:r>
            <w:r w:rsidR="00F421DD">
              <w:t>The effect of labour productivity is the counterfactual if both countries GDP growth had been equal to their labour productivity and there were no price effects. The effect of employment is approximated by the</w:t>
            </w:r>
            <w:r w:rsidR="00513BBE">
              <w:t xml:space="preserve"> difference in the growth in GDP per capita and GDP per employee in the two countries. The effects of hours per employee is approximated by the difference between the growth in GDP per employee and GDP per hour. The price effects are approximated by the difference in growth between GDP per capita (measured in current PPP) and GDP per capita (measured in constant PPP) between the two countries. </w:t>
            </w:r>
            <w:r w:rsidR="00F421DD">
              <w:t xml:space="preserve"> </w:t>
            </w:r>
          </w:p>
        </w:tc>
      </w:tr>
      <w:tr w:rsidR="0027300B" w:rsidRPr="00176D3F" w14:paraId="68231962" w14:textId="77777777" w:rsidTr="29E7BBAE">
        <w:tc>
          <w:tcPr>
            <w:tcW w:w="5000" w:type="pct"/>
            <w:tcBorders>
              <w:top w:val="nil"/>
              <w:left w:val="nil"/>
              <w:bottom w:val="nil"/>
              <w:right w:val="nil"/>
            </w:tcBorders>
            <w:shd w:val="clear" w:color="auto" w:fill="auto"/>
          </w:tcPr>
          <w:p w14:paraId="6C17CD12" w14:textId="07D58AAB" w:rsidR="0027300B" w:rsidRPr="00176D3F" w:rsidRDefault="00161164" w:rsidP="005F579A">
            <w:pPr>
              <w:pStyle w:val="Source"/>
              <w:spacing w:after="0"/>
            </w:pPr>
            <w:r>
              <w:rPr>
                <w:i/>
              </w:rPr>
              <w:t>S</w:t>
            </w:r>
            <w:r w:rsidR="0027300B" w:rsidRPr="00784A05">
              <w:rPr>
                <w:i/>
              </w:rPr>
              <w:t>ource</w:t>
            </w:r>
            <w:r w:rsidR="0027300B" w:rsidRPr="00176D3F">
              <w:t xml:space="preserve">: </w:t>
            </w:r>
            <w:r w:rsidR="009E6B45">
              <w:t xml:space="preserve">Commission estimates based on </w:t>
            </w:r>
            <w:r w:rsidR="001D03A3">
              <w:t>the Conference Board</w:t>
            </w:r>
            <w:r w:rsidR="00782BF3">
              <w:t xml:space="preserve"> </w:t>
            </w:r>
            <w:r w:rsidR="00782BF3" w:rsidRPr="00782BF3">
              <w:rPr>
                <w:rFonts w:cs="Arial"/>
              </w:rPr>
              <w:t>(2018)</w:t>
            </w:r>
            <w:r w:rsidR="00D32D76">
              <w:t>.</w:t>
            </w:r>
          </w:p>
        </w:tc>
      </w:tr>
      <w:tr w:rsidR="0027300B" w14:paraId="60219395" w14:textId="77777777" w:rsidTr="29E7BBAE">
        <w:tc>
          <w:tcPr>
            <w:tcW w:w="5000" w:type="pct"/>
            <w:tcBorders>
              <w:top w:val="nil"/>
              <w:left w:val="nil"/>
              <w:bottom w:val="single" w:sz="6" w:space="0" w:color="78A22F" w:themeColor="accent1"/>
              <w:right w:val="nil"/>
            </w:tcBorders>
            <w:shd w:val="clear" w:color="auto" w:fill="auto"/>
          </w:tcPr>
          <w:p w14:paraId="2591A988" w14:textId="77777777" w:rsidR="0027300B" w:rsidRDefault="0027300B" w:rsidP="00A83F90">
            <w:pPr>
              <w:pStyle w:val="Figurespace"/>
            </w:pPr>
          </w:p>
        </w:tc>
      </w:tr>
      <w:tr w:rsidR="0027300B" w:rsidRPr="000863A5" w14:paraId="210EF9D2" w14:textId="77777777" w:rsidTr="29E7BBAE">
        <w:tc>
          <w:tcPr>
            <w:tcW w:w="5000" w:type="pct"/>
            <w:tcBorders>
              <w:top w:val="single" w:sz="6" w:space="0" w:color="78A22F" w:themeColor="accent1"/>
              <w:left w:val="nil"/>
              <w:bottom w:val="nil"/>
              <w:right w:val="nil"/>
            </w:tcBorders>
          </w:tcPr>
          <w:p w14:paraId="0327986B" w14:textId="7F0C8A49" w:rsidR="0027300B" w:rsidRPr="00626D32" w:rsidRDefault="0027300B" w:rsidP="00A83F90">
            <w:pPr>
              <w:pStyle w:val="BoxSpaceBelow"/>
            </w:pPr>
          </w:p>
        </w:tc>
      </w:tr>
    </w:tbl>
    <w:p w14:paraId="5692A290" w14:textId="7939DCA2" w:rsidR="00EB0E93" w:rsidRDefault="0096338B" w:rsidP="005F579A">
      <w:pPr>
        <w:pStyle w:val="BodyText"/>
        <w:keepNext/>
        <w:keepLines/>
      </w:pPr>
      <w:r>
        <w:lastRenderedPageBreak/>
        <w:t xml:space="preserve">Does </w:t>
      </w:r>
      <w:r w:rsidR="00EB0E93">
        <w:t xml:space="preserve">Australia’s strong productivity performance in the post-war period </w:t>
      </w:r>
      <w:r>
        <w:t>vindicate</w:t>
      </w:r>
      <w:r w:rsidR="00EB0E93">
        <w:t xml:space="preserve"> </w:t>
      </w:r>
      <w:r w:rsidR="00CF44C1">
        <w:t>the post</w:t>
      </w:r>
      <w:r w:rsidR="00CF44C1">
        <w:noBreakHyphen/>
        <w:t>war protectionism</w:t>
      </w:r>
      <w:r>
        <w:t>? Probably not.</w:t>
      </w:r>
      <w:r w:rsidR="00EB0E93">
        <w:t xml:space="preserve"> These policies were beginning in the pre-WWI period and were firmly in place by the interwar period, during which Australia had both weak </w:t>
      </w:r>
      <w:r w:rsidR="00F560BD">
        <w:t xml:space="preserve">relative </w:t>
      </w:r>
      <w:r w:rsidR="00EB0E93">
        <w:t>and absolute productivity growth</w:t>
      </w:r>
      <w:r w:rsidR="00560CE7">
        <w:t xml:space="preserve"> (figure </w:t>
      </w:r>
      <w:r w:rsidR="000374B1">
        <w:t>1</w:t>
      </w:r>
      <w:r w:rsidR="005F2946">
        <w:t>4</w:t>
      </w:r>
      <w:r w:rsidR="00560CE7">
        <w:t>)</w:t>
      </w:r>
      <w:r w:rsidR="00EB0E93">
        <w:t xml:space="preserve">. </w:t>
      </w:r>
      <w:r w:rsidR="00F560BD">
        <w:t>Moreover</w:t>
      </w:r>
      <w:r w:rsidR="00EB0E93">
        <w:t xml:space="preserve">, </w:t>
      </w:r>
      <w:r w:rsidR="00F560BD">
        <w:t xml:space="preserve">the </w:t>
      </w:r>
      <w:r w:rsidR="00EB0E93">
        <w:t>post</w:t>
      </w:r>
      <w:r w:rsidR="00EB0E93">
        <w:noBreakHyphen/>
        <w:t>WWII</w:t>
      </w:r>
      <w:r w:rsidR="00F560BD">
        <w:t xml:space="preserve"> period</w:t>
      </w:r>
      <w:r w:rsidR="00EB0E93">
        <w:t xml:space="preserve"> is</w:t>
      </w:r>
      <w:r w:rsidR="00F560BD">
        <w:t xml:space="preserve"> the first point where there is direct empirical evidence of</w:t>
      </w:r>
      <w:r w:rsidR="00EB0E93">
        <w:t xml:space="preserve"> protectionism </w:t>
      </w:r>
      <w:r w:rsidR="002712E2">
        <w:t>being associated with weak</w:t>
      </w:r>
      <w:r w:rsidR="0002061C">
        <w:t>er</w:t>
      </w:r>
      <w:r w:rsidR="002712E2">
        <w:t xml:space="preserve"> economic growth in a broad set of countries</w:t>
      </w:r>
      <w:r w:rsidR="006A7BBE">
        <w:t xml:space="preserve"> </w:t>
      </w:r>
      <w:r w:rsidR="006A7BBE" w:rsidRPr="006A7BBE">
        <w:rPr>
          <w:szCs w:val="24"/>
        </w:rPr>
        <w:t>(Clemens and Williamson 2004)</w:t>
      </w:r>
      <w:r w:rsidR="006A7BBE">
        <w:t>.</w:t>
      </w:r>
      <w:r w:rsidR="003523FA">
        <w:t xml:space="preserve"> </w:t>
      </w:r>
    </w:p>
    <w:p w14:paraId="527364C6" w14:textId="79B38F43" w:rsidR="00D152AF" w:rsidRDefault="00D152AF" w:rsidP="00D152A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152AF" w14:paraId="3AD0C9D2" w14:textId="77777777" w:rsidTr="29E7BBAE">
        <w:trPr>
          <w:tblHeader/>
        </w:trPr>
        <w:tc>
          <w:tcPr>
            <w:tcW w:w="5000" w:type="pct"/>
            <w:tcBorders>
              <w:top w:val="single" w:sz="6" w:space="0" w:color="78A22F" w:themeColor="accent1"/>
              <w:left w:val="nil"/>
              <w:bottom w:val="nil"/>
              <w:right w:val="nil"/>
            </w:tcBorders>
            <w:shd w:val="clear" w:color="auto" w:fill="auto"/>
          </w:tcPr>
          <w:p w14:paraId="2FEDE070" w14:textId="48D50514" w:rsidR="00D152AF" w:rsidRPr="005F579A" w:rsidRDefault="00D152AF" w:rsidP="005C25AB">
            <w:pPr>
              <w:pStyle w:val="FigureTitle"/>
              <w:rPr>
                <w:sz w:val="24"/>
                <w:szCs w:val="24"/>
              </w:rPr>
            </w:pPr>
            <w:r w:rsidRPr="005F579A">
              <w:rPr>
                <w:b w:val="0"/>
                <w:sz w:val="24"/>
                <w:szCs w:val="24"/>
              </w:rPr>
              <w:t xml:space="preserve">Figure </w:t>
            </w:r>
            <w:r w:rsidR="000374B1" w:rsidRPr="005F579A">
              <w:rPr>
                <w:b w:val="0"/>
                <w:sz w:val="24"/>
                <w:szCs w:val="24"/>
              </w:rPr>
              <w:t>1</w:t>
            </w:r>
            <w:r w:rsidR="00515707" w:rsidRPr="005F579A">
              <w:rPr>
                <w:b w:val="0"/>
                <w:sz w:val="24"/>
                <w:szCs w:val="24"/>
              </w:rPr>
              <w:t>4</w:t>
            </w:r>
            <w:r w:rsidRPr="005F579A">
              <w:rPr>
                <w:sz w:val="24"/>
                <w:szCs w:val="24"/>
              </w:rPr>
              <w:tab/>
              <w:t>The postwar period’s golden age did see a significant rise in Australian productivity growth</w:t>
            </w:r>
          </w:p>
          <w:p w14:paraId="53C800BA" w14:textId="77777777" w:rsidR="00D152AF" w:rsidRPr="00176D3F" w:rsidRDefault="00D152AF" w:rsidP="005C25AB">
            <w:pPr>
              <w:pStyle w:val="Subtitle"/>
            </w:pPr>
            <w:r>
              <w:t>Australian and United States average annual labour productivity</w:t>
            </w:r>
            <w:r w:rsidRPr="00560CE7">
              <w:rPr>
                <w:rStyle w:val="NoteLabel"/>
              </w:rPr>
              <w:t>a</w:t>
            </w:r>
            <w:r>
              <w:t xml:space="preserve"> growth in select periods from 1900 to 1990</w:t>
            </w:r>
          </w:p>
        </w:tc>
      </w:tr>
      <w:tr w:rsidR="00D152AF" w14:paraId="048D2A3C"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152AF" w:rsidRPr="00B1465D" w14:paraId="552C3B5F" w14:textId="77777777" w:rsidTr="29E7BBAE">
              <w:trPr>
                <w:tblHeader/>
                <w:jc w:val="center"/>
              </w:trPr>
              <w:tc>
                <w:tcPr>
                  <w:tcW w:w="5000" w:type="pct"/>
                  <w:tcBorders>
                    <w:top w:val="nil"/>
                    <w:bottom w:val="nil"/>
                  </w:tcBorders>
                </w:tcPr>
                <w:p w14:paraId="76DB467E" w14:textId="77777777" w:rsidR="00D152AF" w:rsidRPr="00B1465D" w:rsidRDefault="00D152AF" w:rsidP="005F579A">
                  <w:pPr>
                    <w:pStyle w:val="Figure"/>
                    <w:spacing w:before="0" w:after="60"/>
                    <w:rPr>
                      <w:rFonts w:ascii="Arial" w:hAnsi="Arial" w:cs="Arial"/>
                      <w:sz w:val="18"/>
                      <w:szCs w:val="18"/>
                    </w:rPr>
                  </w:pPr>
                  <w:r w:rsidRPr="00560CE7">
                    <w:rPr>
                      <w:rFonts w:ascii="Arial" w:hAnsi="Arial" w:cs="Arial"/>
                      <w:noProof/>
                      <w:sz w:val="18"/>
                      <w:szCs w:val="18"/>
                    </w:rPr>
                    <w:drawing>
                      <wp:inline distT="0" distB="0" distL="0" distR="0" wp14:anchorId="70194D28" wp14:editId="016FA537">
                        <wp:extent cx="5600700" cy="2990850"/>
                        <wp:effectExtent l="0" t="0" r="0" b="0"/>
                        <wp:docPr id="2" name="Picture 2" descr="This chart shows Australian and United States average annual labour productivity growth in select periods from 1900 to 1990. The period shows comparisons for 1900 to 1913, 1913 to 1938, 1938 to 1950, 1950 to 1970 and 1970 to 1990. Labour productivity in Australia grew no more than half a percent faster in 1900-13, 1950 to 1970 and 1970 to 1990. The chart shows that in the 1913 to 1938 period, US labour productivity grew by more than 3 per cent p.a. relative to Australia’s more than 1 percent. The chart shows that the US’ labour productivity was also nearly double that of Australia in the 1938-1950 period (0.7 per cent vs 1.2 per cent approxim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chart shows Australian and United States average annual labour productivity growth in select periods from 1900 to 1990. The period shows comparisons for 1900 to 1913, 1913 to 1938, 1938 to 1950, 1950 to 1970 and 1970 to 1990. Labour productivity in Australia grew no more than half a percent faster in 1900-13, 1950 to 1970 and 1970 to 1990. The chart shows that in the 1913 to 1938 period, US labour productivity grew by more than 3 per cent p.a. relative to Australia’s more than 1 percent. The chart shows that the US’ labour productivity was also nearly double that of Australia in the 1938-1950 period (0.7 per cent vs 1.2 per cent approximatel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0" cy="2990850"/>
                                </a:xfrm>
                                <a:prstGeom prst="rect">
                                  <a:avLst/>
                                </a:prstGeom>
                                <a:noFill/>
                                <a:ln>
                                  <a:noFill/>
                                </a:ln>
                              </pic:spPr>
                            </pic:pic>
                          </a:graphicData>
                        </a:graphic>
                      </wp:inline>
                    </w:drawing>
                  </w:r>
                </w:p>
              </w:tc>
            </w:tr>
          </w:tbl>
          <w:p w14:paraId="1CEE7F0F" w14:textId="77777777" w:rsidR="00D152AF" w:rsidRDefault="00D152AF" w:rsidP="005C25AB">
            <w:pPr>
              <w:pStyle w:val="Figure"/>
            </w:pPr>
          </w:p>
        </w:tc>
      </w:tr>
      <w:tr w:rsidR="00D152AF" w:rsidRPr="00176D3F" w14:paraId="4B27D553" w14:textId="77777777" w:rsidTr="29E7BBAE">
        <w:tc>
          <w:tcPr>
            <w:tcW w:w="5000" w:type="pct"/>
            <w:tcBorders>
              <w:top w:val="nil"/>
              <w:left w:val="nil"/>
              <w:bottom w:val="nil"/>
              <w:right w:val="nil"/>
            </w:tcBorders>
            <w:shd w:val="clear" w:color="auto" w:fill="auto"/>
          </w:tcPr>
          <w:p w14:paraId="3699F3B9" w14:textId="105096E4" w:rsidR="00D152AF" w:rsidRPr="00176D3F" w:rsidRDefault="00D152AF" w:rsidP="005C25AB">
            <w:pPr>
              <w:pStyle w:val="Note"/>
            </w:pPr>
            <w:r>
              <w:rPr>
                <w:rStyle w:val="NoteLabel"/>
              </w:rPr>
              <w:t>a</w:t>
            </w:r>
            <w:r>
              <w:t xml:space="preserve"> Labour productivity uses an estimate of total hours derived from using the average hours per male full</w:t>
            </w:r>
            <w:r>
              <w:noBreakHyphen/>
              <w:t>time worker (for pre</w:t>
            </w:r>
            <w:r>
              <w:noBreakHyphen/>
              <w:t xml:space="preserve">1950) in Huberman and Minns, multiplied by employment estimates from other sources. This implicitly assumes that the difference in the male full-time work weeks between Australia and the United States are indicative of the differences for the broader labour force. </w:t>
            </w:r>
          </w:p>
        </w:tc>
      </w:tr>
      <w:tr w:rsidR="00D152AF" w:rsidRPr="00176D3F" w14:paraId="0BB98D30" w14:textId="77777777" w:rsidTr="29E7BBAE">
        <w:tc>
          <w:tcPr>
            <w:tcW w:w="5000" w:type="pct"/>
            <w:tcBorders>
              <w:top w:val="nil"/>
              <w:left w:val="nil"/>
              <w:bottom w:val="nil"/>
              <w:right w:val="nil"/>
            </w:tcBorders>
            <w:shd w:val="clear" w:color="auto" w:fill="auto"/>
          </w:tcPr>
          <w:p w14:paraId="522FB82E" w14:textId="61A8FC9F" w:rsidR="00D152AF" w:rsidRPr="00176D3F" w:rsidRDefault="00D152AF" w:rsidP="005F579A">
            <w:pPr>
              <w:pStyle w:val="Source"/>
              <w:spacing w:after="0"/>
            </w:pPr>
            <w:r>
              <w:rPr>
                <w:i/>
              </w:rPr>
              <w:t>S</w:t>
            </w:r>
            <w:r w:rsidRPr="00784A05">
              <w:rPr>
                <w:i/>
              </w:rPr>
              <w:t>ource</w:t>
            </w:r>
            <w:r w:rsidRPr="00176D3F">
              <w:t xml:space="preserve">: </w:t>
            </w:r>
            <w:r w:rsidR="00E924F5">
              <w:t xml:space="preserve">GDP and GDP per capita: Bolt et al. </w:t>
            </w:r>
            <w:r w:rsidR="008E19A7" w:rsidRPr="008E19A7">
              <w:rPr>
                <w:rFonts w:cs="Arial"/>
                <w:szCs w:val="24"/>
              </w:rPr>
              <w:t>(2018)</w:t>
            </w:r>
            <w:r w:rsidR="00E924F5">
              <w:t xml:space="preserve">; Employment: 1890 to 1938: Butlin et al. </w:t>
            </w:r>
            <w:r w:rsidR="003E6654" w:rsidRPr="003E6654">
              <w:rPr>
                <w:rFonts w:cs="Arial"/>
                <w:szCs w:val="24"/>
              </w:rPr>
              <w:t>(2015)</w:t>
            </w:r>
            <w:r w:rsidR="00BD4D6C">
              <w:t>, US Bureau </w:t>
            </w:r>
            <w:r w:rsidR="00E924F5">
              <w:t xml:space="preserve">of the Census </w:t>
            </w:r>
            <w:r w:rsidR="00F22760">
              <w:t>(</w:t>
            </w:r>
            <w:r w:rsidR="00EB3D7D" w:rsidRPr="00EB3D7D">
              <w:rPr>
                <w:rFonts w:cs="Arial"/>
                <w:szCs w:val="24"/>
              </w:rPr>
              <w:t>1975)</w:t>
            </w:r>
            <w:r w:rsidR="00E924F5">
              <w:t xml:space="preserve">, 1950: </w:t>
            </w:r>
            <w:r w:rsidR="00BD4D6C">
              <w:t>The Conference Board</w:t>
            </w:r>
            <w:r w:rsidR="00E924F5">
              <w:t xml:space="preserve"> </w:t>
            </w:r>
            <w:r w:rsidR="00F22760" w:rsidRPr="00F22760">
              <w:rPr>
                <w:rFonts w:cs="Arial"/>
                <w:szCs w:val="24"/>
              </w:rPr>
              <w:t>(2018)</w:t>
            </w:r>
            <w:r w:rsidR="00E924F5">
              <w:t xml:space="preserve">; Hours per worker: 1870 to 1938: Huberman and Minns </w:t>
            </w:r>
            <w:r w:rsidR="00E24DE9" w:rsidRPr="00E24DE9">
              <w:rPr>
                <w:rFonts w:cs="Arial"/>
                <w:szCs w:val="24"/>
              </w:rPr>
              <w:t>(2007)</w:t>
            </w:r>
            <w:r w:rsidR="00E924F5">
              <w:t>, 1950</w:t>
            </w:r>
            <w:r w:rsidR="00F1225C">
              <w:t>.</w:t>
            </w:r>
          </w:p>
        </w:tc>
      </w:tr>
      <w:tr w:rsidR="00D152AF" w14:paraId="4A83263F" w14:textId="77777777" w:rsidTr="29E7BBAE">
        <w:tc>
          <w:tcPr>
            <w:tcW w:w="5000" w:type="pct"/>
            <w:tcBorders>
              <w:top w:val="nil"/>
              <w:left w:val="nil"/>
              <w:bottom w:val="single" w:sz="6" w:space="0" w:color="78A22F" w:themeColor="accent1"/>
              <w:right w:val="nil"/>
            </w:tcBorders>
            <w:shd w:val="clear" w:color="auto" w:fill="auto"/>
          </w:tcPr>
          <w:p w14:paraId="686A210F" w14:textId="77777777" w:rsidR="00D152AF" w:rsidRDefault="00D152AF" w:rsidP="005C25AB">
            <w:pPr>
              <w:pStyle w:val="Figurespace"/>
            </w:pPr>
          </w:p>
        </w:tc>
      </w:tr>
      <w:tr w:rsidR="00D152AF" w:rsidRPr="000863A5" w14:paraId="7201C9AF" w14:textId="77777777" w:rsidTr="29E7BBAE">
        <w:tc>
          <w:tcPr>
            <w:tcW w:w="5000" w:type="pct"/>
            <w:tcBorders>
              <w:top w:val="single" w:sz="6" w:space="0" w:color="78A22F" w:themeColor="accent1"/>
              <w:left w:val="nil"/>
              <w:bottom w:val="nil"/>
              <w:right w:val="nil"/>
            </w:tcBorders>
          </w:tcPr>
          <w:p w14:paraId="245F2B03" w14:textId="788BE82F" w:rsidR="00D152AF" w:rsidRPr="00626D32" w:rsidRDefault="00D152AF" w:rsidP="005C25AB">
            <w:pPr>
              <w:pStyle w:val="BoxSpaceBelow"/>
            </w:pPr>
          </w:p>
        </w:tc>
      </w:tr>
    </w:tbl>
    <w:p w14:paraId="49A3363C" w14:textId="26647A97" w:rsidR="00F560BD" w:rsidRDefault="0002061C" w:rsidP="00CA50C9">
      <w:pPr>
        <w:pStyle w:val="BodyText"/>
      </w:pPr>
      <w:r>
        <w:t>In reality,</w:t>
      </w:r>
      <w:r w:rsidR="00A85A55">
        <w:t xml:space="preserve"> </w:t>
      </w:r>
      <w:r w:rsidR="00170DF0">
        <w:t xml:space="preserve">much </w:t>
      </w:r>
      <w:r w:rsidR="005F1B49">
        <w:t>of</w:t>
      </w:r>
      <w:r w:rsidR="00F560BD">
        <w:t xml:space="preserve"> Australia’s faster productivity growth</w:t>
      </w:r>
      <w:r w:rsidR="00BD47C8">
        <w:t xml:space="preserve"> during</w:t>
      </w:r>
      <w:r w:rsidR="00F560BD">
        <w:t xml:space="preserve"> </w:t>
      </w:r>
      <w:r w:rsidR="000864D9">
        <w:t>the ‘Golden Age’ up to 1970</w:t>
      </w:r>
      <w:r w:rsidR="00F560BD">
        <w:t xml:space="preserve"> can be </w:t>
      </w:r>
      <w:r w:rsidR="005F1B49">
        <w:t>attributed</w:t>
      </w:r>
      <w:r w:rsidR="00F560BD">
        <w:t xml:space="preserve"> to international </w:t>
      </w:r>
      <w:r w:rsidR="005F1B49">
        <w:t>economic conditions</w:t>
      </w:r>
      <w:r w:rsidR="00F560BD">
        <w:t xml:space="preserve">. </w:t>
      </w:r>
      <w:r w:rsidR="00B80AD6">
        <w:t>As McLean explains:</w:t>
      </w:r>
    </w:p>
    <w:p w14:paraId="156478C9" w14:textId="29EE58CD" w:rsidR="00B80AD6" w:rsidRDefault="005C25AB" w:rsidP="0096338B">
      <w:pPr>
        <w:pStyle w:val="Quote"/>
      </w:pPr>
      <w:r>
        <w:t>Perhaps the most import</w:t>
      </w:r>
      <w:r w:rsidR="003A5113">
        <w:t>ant</w:t>
      </w:r>
      <w:r>
        <w:t xml:space="preserve"> fact about the long boom is that it was </w:t>
      </w:r>
      <w:r w:rsidR="0096338B">
        <w:t>not</w:t>
      </w:r>
      <w:r>
        <w:t xml:space="preserve"> unique to Australia. Indeed, all industrialized or advanced </w:t>
      </w:r>
      <w:r w:rsidR="0096338B">
        <w:t>Western economies participated. In</w:t>
      </w:r>
      <w:r>
        <w:t xml:space="preserve"> addition, the Soviet Union and its East European satellite economies, though in many respects operating in self-imposed economic isolation, also experienced respectable growth during these years </w:t>
      </w:r>
      <w:r w:rsidR="00C304C7">
        <w:t>…</w:t>
      </w:r>
    </w:p>
    <w:p w14:paraId="4A7A7A74" w14:textId="54C21D1E" w:rsidR="00C304C7" w:rsidRPr="00C304C7" w:rsidRDefault="00C304C7" w:rsidP="00C304C7">
      <w:pPr>
        <w:pStyle w:val="Quote"/>
      </w:pPr>
      <w:r>
        <w:t xml:space="preserve">Given the international environment, the only surprising outcome for the Australian economy after 1945 would have been slow growth, stagnation, or decline. </w:t>
      </w:r>
      <w:r w:rsidRPr="00C304C7">
        <w:rPr>
          <w:szCs w:val="24"/>
        </w:rPr>
        <w:t>(McLean 2013, pp. 184–186)</w:t>
      </w:r>
    </w:p>
    <w:p w14:paraId="57B8A043" w14:textId="6A63762C" w:rsidR="0096338B" w:rsidRDefault="00CB1059" w:rsidP="00CA50C9">
      <w:pPr>
        <w:pStyle w:val="BodyText"/>
      </w:pPr>
      <w:r>
        <w:lastRenderedPageBreak/>
        <w:t>This</w:t>
      </w:r>
      <w:r w:rsidR="0096338B">
        <w:t xml:space="preserve"> rapid growth in </w:t>
      </w:r>
      <w:r>
        <w:t>advanced</w:t>
      </w:r>
      <w:r w:rsidR="0096338B">
        <w:t xml:space="preserve"> economies was initially due to deferred consumption and (non-military) investment during the war years</w:t>
      </w:r>
      <w:r>
        <w:t xml:space="preserve"> </w:t>
      </w:r>
      <w:r w:rsidRPr="00CB1059">
        <w:rPr>
          <w:szCs w:val="24"/>
        </w:rPr>
        <w:t>(McLean 2013, p. 185)</w:t>
      </w:r>
      <w:r w:rsidR="0096338B">
        <w:t>. Many parts of Europe also needed to replace the infrastructure and private capital that was destroyed during the conflict</w:t>
      </w:r>
      <w:r w:rsidR="008D161F">
        <w:t>, providing rapid, input</w:t>
      </w:r>
      <w:r w:rsidR="008D161F">
        <w:noBreakHyphen/>
        <w:t>driven economic growth</w:t>
      </w:r>
      <w:r w:rsidR="0096338B">
        <w:t xml:space="preserve">. </w:t>
      </w:r>
      <w:r w:rsidR="00915D98">
        <w:t>Though Australia had not lost significant amounts of capital directly to war destruction</w:t>
      </w:r>
      <w:r w:rsidR="0096338B">
        <w:t xml:space="preserve">, </w:t>
      </w:r>
      <w:r w:rsidR="00FE2742">
        <w:t>there was likely deferred consumption and private investment.</w:t>
      </w:r>
      <w:r w:rsidR="0096338B">
        <w:t xml:space="preserve"> </w:t>
      </w:r>
    </w:p>
    <w:p w14:paraId="22A2A9E0" w14:textId="7A9954AD" w:rsidR="009F7480" w:rsidRDefault="00A85A55" w:rsidP="00CA50C9">
      <w:pPr>
        <w:pStyle w:val="BodyText"/>
      </w:pPr>
      <w:r>
        <w:t>Another</w:t>
      </w:r>
      <w:r w:rsidR="007D0D3A">
        <w:t xml:space="preserve"> possibility is that Australian protectionism, while lowering growth against a counterfactual of free trade,</w:t>
      </w:r>
      <w:r>
        <w:t xml:space="preserve"> did not significantly hinder productivity</w:t>
      </w:r>
      <w:r w:rsidR="00CB1059">
        <w:t xml:space="preserve"> during the initial post</w:t>
      </w:r>
      <w:r w:rsidR="00CB1059">
        <w:noBreakHyphen/>
      </w:r>
      <w:r w:rsidR="007D0D3A">
        <w:t xml:space="preserve">war </w:t>
      </w:r>
      <w:r>
        <w:t>period (1945 to 1973) due to</w:t>
      </w:r>
      <w:r w:rsidR="009F7480">
        <w:t xml:space="preserve"> redu</w:t>
      </w:r>
      <w:r w:rsidR="002E0DD6">
        <w:t xml:space="preserve">ced opportunities for (mainly commodity) </w:t>
      </w:r>
      <w:r w:rsidR="009F7480">
        <w:t>export</w:t>
      </w:r>
      <w:r w:rsidR="002E0DD6">
        <w:noBreakHyphen/>
        <w:t>driven</w:t>
      </w:r>
      <w:r w:rsidR="009F7480">
        <w:t xml:space="preserve"> growth.</w:t>
      </w:r>
      <w:r>
        <w:t xml:space="preserve"> Australia’s growth strategy during the late Nineteenth Century was underpinned</w:t>
      </w:r>
      <w:r w:rsidR="00CB1059">
        <w:t xml:space="preserve"> by</w:t>
      </w:r>
      <w:r>
        <w:t xml:space="preserve"> commodity exports (especially wool and gold), which would have been difficult to maintain as global trade openness collapsed after WWI, when m</w:t>
      </w:r>
      <w:r w:rsidR="005F52EE">
        <w:t xml:space="preserve">ost governments </w:t>
      </w:r>
      <w:r>
        <w:t>became</w:t>
      </w:r>
      <w:r w:rsidR="005F52EE">
        <w:t xml:space="preserve"> more protectionist.</w:t>
      </w:r>
      <w:r w:rsidR="009F7480">
        <w:t xml:space="preserve"> There are two pieces of evidence in favour of </w:t>
      </w:r>
      <w:r w:rsidR="00B70AB7">
        <w:t>this</w:t>
      </w:r>
      <w:r w:rsidR="009F7480">
        <w:t xml:space="preserve"> hypothesis. First,</w:t>
      </w:r>
      <w:r w:rsidR="005F52EE">
        <w:t xml:space="preserve"> </w:t>
      </w:r>
      <w:r w:rsidR="009F7480">
        <w:t xml:space="preserve">the level of global trade openness (imports plus exports as a share of global GDP), despite </w:t>
      </w:r>
      <w:r w:rsidR="00872210">
        <w:t>rapid</w:t>
      </w:r>
      <w:r w:rsidR="009F7480">
        <w:t xml:space="preserve"> growth after WWII, was</w:t>
      </w:r>
      <w:r w:rsidR="00872210">
        <w:t xml:space="preserve"> still</w:t>
      </w:r>
      <w:r w:rsidR="009F7480">
        <w:t xml:space="preserve"> below its peak 1914 level until</w:t>
      </w:r>
      <w:r w:rsidR="00872210">
        <w:t xml:space="preserve"> well into</w:t>
      </w:r>
      <w:r w:rsidR="009F7480">
        <w:t xml:space="preserve"> the 1970s (figure 15). Second, </w:t>
      </w:r>
      <w:r w:rsidR="002E0DD6">
        <w:t>as global trade openness was approaching its past highs in the 1970s, Australia’s trade with East Asia intensified to a much greater extent than the rest of the world, due to the rapid industrialisation of the latter, combined with the re</w:t>
      </w:r>
      <w:r w:rsidR="002E0DD6">
        <w:noBreakHyphen/>
        <w:t>emergence of a mining industry in the former (table </w:t>
      </w:r>
      <w:r w:rsidR="002B152C">
        <w:t>2</w:t>
      </w:r>
      <w:r w:rsidR="002E0DD6">
        <w:t xml:space="preserve">). </w:t>
      </w:r>
    </w:p>
    <w:p w14:paraId="66F04345" w14:textId="73451AFC" w:rsidR="0056253B" w:rsidRDefault="0056253B" w:rsidP="005C2B1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253B" w14:paraId="588D7F8C" w14:textId="77777777" w:rsidTr="29E7BBAE">
        <w:trPr>
          <w:tblHeader/>
        </w:trPr>
        <w:tc>
          <w:tcPr>
            <w:tcW w:w="5000" w:type="pct"/>
            <w:tcBorders>
              <w:top w:val="single" w:sz="6" w:space="0" w:color="78A22F" w:themeColor="accent1"/>
              <w:left w:val="nil"/>
              <w:bottom w:val="nil"/>
              <w:right w:val="nil"/>
            </w:tcBorders>
            <w:shd w:val="clear" w:color="auto" w:fill="auto"/>
          </w:tcPr>
          <w:p w14:paraId="2A518AFB" w14:textId="2275F646" w:rsidR="0056253B" w:rsidRPr="005F579A" w:rsidRDefault="0056253B" w:rsidP="005C2B17">
            <w:pPr>
              <w:pStyle w:val="FigureTitle"/>
              <w:rPr>
                <w:spacing w:val="-2"/>
                <w:sz w:val="24"/>
                <w:szCs w:val="24"/>
              </w:rPr>
            </w:pPr>
            <w:r w:rsidRPr="005F579A">
              <w:rPr>
                <w:b w:val="0"/>
                <w:spacing w:val="-2"/>
                <w:sz w:val="24"/>
                <w:szCs w:val="24"/>
              </w:rPr>
              <w:t xml:space="preserve">Figure </w:t>
            </w:r>
            <w:r w:rsidR="008C2761" w:rsidRPr="005F579A">
              <w:rPr>
                <w:b w:val="0"/>
                <w:spacing w:val="-2"/>
                <w:sz w:val="24"/>
                <w:szCs w:val="24"/>
              </w:rPr>
              <w:t>1</w:t>
            </w:r>
            <w:r w:rsidR="005F2946" w:rsidRPr="005F579A">
              <w:rPr>
                <w:b w:val="0"/>
                <w:spacing w:val="-2"/>
                <w:sz w:val="24"/>
                <w:szCs w:val="24"/>
              </w:rPr>
              <w:t>5</w:t>
            </w:r>
            <w:r w:rsidRPr="005F579A">
              <w:rPr>
                <w:spacing w:val="-2"/>
                <w:sz w:val="24"/>
                <w:szCs w:val="24"/>
              </w:rPr>
              <w:tab/>
            </w:r>
            <w:r w:rsidR="008C2761" w:rsidRPr="005F579A">
              <w:rPr>
                <w:spacing w:val="-2"/>
                <w:sz w:val="24"/>
                <w:szCs w:val="24"/>
              </w:rPr>
              <w:t xml:space="preserve">Global trade openness fell after WWI, and did not </w:t>
            </w:r>
            <w:r w:rsidR="00585D39" w:rsidRPr="005F579A">
              <w:rPr>
                <w:spacing w:val="-2"/>
                <w:sz w:val="24"/>
                <w:szCs w:val="24"/>
              </w:rPr>
              <w:t>reach its past levels</w:t>
            </w:r>
            <w:r w:rsidR="008C2761" w:rsidRPr="005F579A">
              <w:rPr>
                <w:spacing w:val="-2"/>
                <w:sz w:val="24"/>
                <w:szCs w:val="24"/>
              </w:rPr>
              <w:t xml:space="preserve"> until the 1970s</w:t>
            </w:r>
          </w:p>
          <w:p w14:paraId="154D7BA7" w14:textId="77777777" w:rsidR="0056253B" w:rsidRPr="005F579A" w:rsidRDefault="008C2761" w:rsidP="005F579A">
            <w:pPr>
              <w:pStyle w:val="Subtitle"/>
              <w:spacing w:after="0"/>
              <w:rPr>
                <w:spacing w:val="-4"/>
              </w:rPr>
            </w:pPr>
            <w:r w:rsidRPr="005F579A">
              <w:rPr>
                <w:spacing w:val="-4"/>
              </w:rPr>
              <w:t xml:space="preserve">World trade openness ratio (exports plus imports as a </w:t>
            </w:r>
            <w:r w:rsidR="00CE3D3F" w:rsidRPr="005F579A">
              <w:rPr>
                <w:spacing w:val="-4"/>
              </w:rPr>
              <w:t>proportion</w:t>
            </w:r>
            <w:r w:rsidRPr="005F579A">
              <w:rPr>
                <w:spacing w:val="-4"/>
              </w:rPr>
              <w:t xml:space="preserve"> of global</w:t>
            </w:r>
            <w:r w:rsidR="00CE3D3F" w:rsidRPr="005F579A">
              <w:rPr>
                <w:spacing w:val="-4"/>
              </w:rPr>
              <w:t> </w:t>
            </w:r>
            <w:r w:rsidRPr="005F579A">
              <w:rPr>
                <w:spacing w:val="-4"/>
              </w:rPr>
              <w:t xml:space="preserve">GDP) as estimated by Klasing and Milionis and the Penn World Table </w:t>
            </w:r>
            <w:r w:rsidR="00CE3D3F" w:rsidRPr="005F579A">
              <w:rPr>
                <w:spacing w:val="-4"/>
              </w:rPr>
              <w:t>between 1870 and 1990</w:t>
            </w:r>
          </w:p>
        </w:tc>
      </w:tr>
      <w:tr w:rsidR="0056253B" w14:paraId="3E10943C" w14:textId="77777777" w:rsidTr="29E7BBAE">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56253B" w:rsidRPr="00B1465D" w14:paraId="3B55193C" w14:textId="77777777" w:rsidTr="00D15A93">
              <w:trPr>
                <w:tblHeader/>
                <w:jc w:val="center"/>
              </w:trPr>
              <w:tc>
                <w:tcPr>
                  <w:tcW w:w="8505" w:type="dxa"/>
                  <w:tcBorders>
                    <w:top w:val="nil"/>
                    <w:bottom w:val="nil"/>
                  </w:tcBorders>
                </w:tcPr>
                <w:p w14:paraId="4762FB72" w14:textId="7E2AF6FB" w:rsidR="0056253B" w:rsidRPr="00B1465D" w:rsidRDefault="00D15A93" w:rsidP="005C2B17">
                  <w:pPr>
                    <w:pStyle w:val="Figure"/>
                    <w:spacing w:before="60" w:after="60"/>
                    <w:rPr>
                      <w:rFonts w:ascii="Arial" w:hAnsi="Arial" w:cs="Arial"/>
                      <w:sz w:val="18"/>
                      <w:szCs w:val="18"/>
                    </w:rPr>
                  </w:pPr>
                  <w:r>
                    <w:rPr>
                      <w:noProof/>
                    </w:rPr>
                    <w:drawing>
                      <wp:inline distT="0" distB="0" distL="0" distR="0" wp14:anchorId="5151E522" wp14:editId="65C64E45">
                        <wp:extent cx="5400000" cy="3240000"/>
                        <wp:effectExtent l="0" t="0" r="0" b="0"/>
                        <wp:docPr id="19" name="Chart 19" descr="This chart shows the world trade openness ratio (exports plus imports as a proportion of global GDP) as estimated by Klasing and Milionis and the Penn World Table between 1870 and 1990. The chart shows that trade openness rose from approximately 20 per cent in the 1870s to nearly 30 per cent to 1910, then declined to less than 10 percent by the end of WWII. The chart shows that trade openness then rose from the end of WWII to approximately 40 per cent by 1990. ">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4E1335-5FA4-4EAE-97FC-5FF3F8A06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14:paraId="4AB5DDF3" w14:textId="77777777" w:rsidR="0056253B" w:rsidRDefault="0056253B" w:rsidP="005C2B17">
            <w:pPr>
              <w:pStyle w:val="Figure"/>
            </w:pPr>
          </w:p>
        </w:tc>
      </w:tr>
      <w:tr w:rsidR="0056253B" w:rsidRPr="00176D3F" w14:paraId="1485CB0B" w14:textId="77777777" w:rsidTr="29E7BBAE">
        <w:tc>
          <w:tcPr>
            <w:tcW w:w="5000" w:type="pct"/>
            <w:tcBorders>
              <w:top w:val="nil"/>
              <w:left w:val="nil"/>
              <w:bottom w:val="nil"/>
              <w:right w:val="nil"/>
            </w:tcBorders>
            <w:shd w:val="clear" w:color="auto" w:fill="auto"/>
          </w:tcPr>
          <w:p w14:paraId="1D139D49" w14:textId="134781AF" w:rsidR="0056253B" w:rsidRPr="00176D3F" w:rsidRDefault="008C2761" w:rsidP="005F579A">
            <w:pPr>
              <w:pStyle w:val="Source"/>
              <w:spacing w:after="0"/>
            </w:pPr>
            <w:r>
              <w:rPr>
                <w:i/>
              </w:rPr>
              <w:t>S</w:t>
            </w:r>
            <w:r w:rsidR="0056253B" w:rsidRPr="00784A05">
              <w:rPr>
                <w:i/>
              </w:rPr>
              <w:t>ource</w:t>
            </w:r>
            <w:r>
              <w:rPr>
                <w:i/>
              </w:rPr>
              <w:t>s</w:t>
            </w:r>
            <w:r w:rsidR="0056253B" w:rsidRPr="00176D3F">
              <w:t xml:space="preserve">: </w:t>
            </w:r>
            <w:r w:rsidR="00CE3D3F">
              <w:t xml:space="preserve">Klasing and Milinions </w:t>
            </w:r>
            <w:r w:rsidR="00CE3D3F" w:rsidRPr="00CE3D3F">
              <w:rPr>
                <w:rFonts w:cs="Arial"/>
              </w:rPr>
              <w:t>(2014)</w:t>
            </w:r>
            <w:r w:rsidR="00CE3D3F">
              <w:t xml:space="preserve">; Feenstra et al. </w:t>
            </w:r>
            <w:r w:rsidR="00CE3D3F" w:rsidRPr="00CE3D3F">
              <w:rPr>
                <w:rFonts w:cs="Arial"/>
              </w:rPr>
              <w:t>(2015)</w:t>
            </w:r>
            <w:r w:rsidR="00CE3D3F">
              <w:t>.</w:t>
            </w:r>
          </w:p>
        </w:tc>
      </w:tr>
      <w:tr w:rsidR="0056253B" w14:paraId="6D0E823E" w14:textId="77777777" w:rsidTr="29E7BBAE">
        <w:tc>
          <w:tcPr>
            <w:tcW w:w="5000" w:type="pct"/>
            <w:tcBorders>
              <w:top w:val="nil"/>
              <w:left w:val="nil"/>
              <w:bottom w:val="single" w:sz="6" w:space="0" w:color="78A22F" w:themeColor="accent1"/>
              <w:right w:val="nil"/>
            </w:tcBorders>
            <w:shd w:val="clear" w:color="auto" w:fill="auto"/>
          </w:tcPr>
          <w:p w14:paraId="6BCB3072" w14:textId="77777777" w:rsidR="0056253B" w:rsidRDefault="0056253B" w:rsidP="005F579A">
            <w:pPr>
              <w:pStyle w:val="Figurespace"/>
              <w:keepNext w:val="0"/>
            </w:pPr>
          </w:p>
        </w:tc>
      </w:tr>
    </w:tbl>
    <w:p w14:paraId="569333F3" w14:textId="70508075" w:rsidR="002E0DD6" w:rsidRDefault="002E0DD6" w:rsidP="0080035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E0DD6" w14:paraId="4FD1E2E1" w14:textId="77777777" w:rsidTr="00800353">
        <w:trPr>
          <w:tblHeader/>
        </w:trPr>
        <w:tc>
          <w:tcPr>
            <w:tcW w:w="5000" w:type="pct"/>
            <w:tcBorders>
              <w:top w:val="single" w:sz="6" w:space="0" w:color="78A22F"/>
              <w:left w:val="nil"/>
              <w:bottom w:val="nil"/>
              <w:right w:val="nil"/>
            </w:tcBorders>
            <w:shd w:val="clear" w:color="auto" w:fill="auto"/>
          </w:tcPr>
          <w:p w14:paraId="683CE2CB" w14:textId="3B3F1588" w:rsidR="002E0DD6" w:rsidRPr="005F579A" w:rsidRDefault="002E0DD6" w:rsidP="00800353">
            <w:pPr>
              <w:pStyle w:val="TableTitle"/>
              <w:rPr>
                <w:sz w:val="24"/>
                <w:szCs w:val="24"/>
              </w:rPr>
            </w:pPr>
            <w:r w:rsidRPr="005F579A">
              <w:rPr>
                <w:b w:val="0"/>
                <w:sz w:val="24"/>
                <w:szCs w:val="24"/>
              </w:rPr>
              <w:t xml:space="preserve">Table </w:t>
            </w:r>
            <w:r w:rsidR="00710FA6" w:rsidRPr="005F579A">
              <w:rPr>
                <w:b w:val="0"/>
                <w:sz w:val="24"/>
                <w:szCs w:val="24"/>
              </w:rPr>
              <w:t>1.</w:t>
            </w:r>
            <w:r w:rsidR="0094184E" w:rsidRPr="005F579A">
              <w:rPr>
                <w:b w:val="0"/>
                <w:noProof/>
                <w:sz w:val="24"/>
                <w:szCs w:val="24"/>
              </w:rPr>
              <w:t>2</w:t>
            </w:r>
            <w:r w:rsidRPr="005F579A">
              <w:rPr>
                <w:sz w:val="24"/>
                <w:szCs w:val="24"/>
              </w:rPr>
              <w:tab/>
            </w:r>
            <w:r w:rsidR="002B152C" w:rsidRPr="005F579A">
              <w:rPr>
                <w:sz w:val="24"/>
                <w:szCs w:val="24"/>
              </w:rPr>
              <w:t>Australian trade with East Asian countries grew more rapidly than the rest of the world</w:t>
            </w:r>
            <w:r w:rsidR="000A356D" w:rsidRPr="005F579A">
              <w:rPr>
                <w:sz w:val="24"/>
                <w:szCs w:val="24"/>
              </w:rPr>
              <w:t xml:space="preserve"> in the 1970s</w:t>
            </w:r>
          </w:p>
          <w:p w14:paraId="02D566B5" w14:textId="5152AA6B" w:rsidR="002E0DD6" w:rsidRPr="00784A05" w:rsidRDefault="000A356D" w:rsidP="00800353">
            <w:pPr>
              <w:pStyle w:val="Subtitle"/>
            </w:pPr>
            <w:r>
              <w:t xml:space="preserve">Australia and the rest of the world’s share of trade with Asian </w:t>
            </w:r>
            <w:r w:rsidR="005F579A">
              <w:t>countries</w:t>
            </w:r>
            <w:r>
              <w:t xml:space="preserve"> and the UK in 1970 and 1979</w:t>
            </w:r>
          </w:p>
        </w:tc>
      </w:tr>
      <w:tr w:rsidR="002E0DD6" w14:paraId="7F5820B2" w14:textId="77777777" w:rsidTr="0080035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19"/>
              <w:gridCol w:w="1419"/>
              <w:gridCol w:w="1419"/>
              <w:gridCol w:w="1417"/>
              <w:gridCol w:w="1417"/>
              <w:gridCol w:w="1414"/>
            </w:tblGrid>
            <w:tr w:rsidR="002B152C" w14:paraId="2278BAD2" w14:textId="77777777" w:rsidTr="005F579A">
              <w:trPr>
                <w:tblHeader/>
              </w:trPr>
              <w:tc>
                <w:tcPr>
                  <w:tcW w:w="834" w:type="pct"/>
                  <w:tcBorders>
                    <w:top w:val="single" w:sz="6" w:space="0" w:color="BFBFBF"/>
                  </w:tcBorders>
                  <w:shd w:val="clear" w:color="auto" w:fill="auto"/>
                  <w:tcMar>
                    <w:top w:w="28" w:type="dxa"/>
                  </w:tcMar>
                </w:tcPr>
                <w:p w14:paraId="41F9A343" w14:textId="77777777" w:rsidR="002B152C" w:rsidRDefault="002B152C" w:rsidP="00800353">
                  <w:pPr>
                    <w:pStyle w:val="TableColumnHeading"/>
                    <w:jc w:val="left"/>
                  </w:pPr>
                </w:p>
              </w:tc>
              <w:tc>
                <w:tcPr>
                  <w:tcW w:w="834" w:type="pct"/>
                  <w:tcBorders>
                    <w:top w:val="single" w:sz="6" w:space="0" w:color="BFBFBF"/>
                  </w:tcBorders>
                </w:tcPr>
                <w:p w14:paraId="7CA38FC6" w14:textId="77777777" w:rsidR="002B152C" w:rsidRDefault="002B152C" w:rsidP="00800353">
                  <w:pPr>
                    <w:pStyle w:val="TableColumnHeading"/>
                  </w:pPr>
                </w:p>
              </w:tc>
              <w:tc>
                <w:tcPr>
                  <w:tcW w:w="1667" w:type="pct"/>
                  <w:gridSpan w:val="2"/>
                  <w:tcBorders>
                    <w:top w:val="single" w:sz="6" w:space="0" w:color="BFBFBF"/>
                    <w:bottom w:val="single" w:sz="6" w:space="0" w:color="BFBFBF"/>
                    <w:right w:val="single" w:sz="24" w:space="0" w:color="FFFFFF" w:themeColor="background1"/>
                  </w:tcBorders>
                </w:tcPr>
                <w:p w14:paraId="1B539D81" w14:textId="3A02F0B1" w:rsidR="002B152C" w:rsidRDefault="002B152C" w:rsidP="005F579A">
                  <w:pPr>
                    <w:pStyle w:val="TableColumnHeading"/>
                  </w:pPr>
                  <w:r>
                    <w:t xml:space="preserve">Partner’s share of </w:t>
                  </w:r>
                  <w:r w:rsidR="005F579A">
                    <w:br/>
                  </w:r>
                  <w:r>
                    <w:t>Australia’s trade</w:t>
                  </w:r>
                </w:p>
              </w:tc>
              <w:tc>
                <w:tcPr>
                  <w:tcW w:w="1664" w:type="pct"/>
                  <w:gridSpan w:val="2"/>
                  <w:tcBorders>
                    <w:top w:val="single" w:sz="6" w:space="0" w:color="BFBFBF"/>
                    <w:left w:val="single" w:sz="24" w:space="0" w:color="FFFFFF" w:themeColor="background1"/>
                    <w:bottom w:val="single" w:sz="6" w:space="0" w:color="BFBFBF"/>
                  </w:tcBorders>
                  <w:shd w:val="clear" w:color="auto" w:fill="auto"/>
                  <w:tcMar>
                    <w:top w:w="28" w:type="dxa"/>
                  </w:tcMar>
                </w:tcPr>
                <w:p w14:paraId="596F6B6B" w14:textId="65AD1666" w:rsidR="002B152C" w:rsidRDefault="002B152C" w:rsidP="005F579A">
                  <w:pPr>
                    <w:pStyle w:val="TableColumnHeading"/>
                    <w:ind w:right="28"/>
                  </w:pPr>
                  <w:r>
                    <w:t xml:space="preserve">Partner’s share of the rest </w:t>
                  </w:r>
                  <w:r w:rsidR="005F579A">
                    <w:br/>
                  </w:r>
                  <w:r>
                    <w:t>of the world’s trade</w:t>
                  </w:r>
                </w:p>
              </w:tc>
            </w:tr>
            <w:tr w:rsidR="002B152C" w14:paraId="288DF5C8" w14:textId="77777777" w:rsidTr="005F579A">
              <w:trPr>
                <w:tblHeader/>
              </w:trPr>
              <w:tc>
                <w:tcPr>
                  <w:tcW w:w="834" w:type="pct"/>
                  <w:shd w:val="clear" w:color="auto" w:fill="auto"/>
                  <w:tcMar>
                    <w:top w:w="28" w:type="dxa"/>
                  </w:tcMar>
                </w:tcPr>
                <w:p w14:paraId="2393870A" w14:textId="208A456F" w:rsidR="002B152C" w:rsidRDefault="002B152C" w:rsidP="002B152C">
                  <w:pPr>
                    <w:pStyle w:val="TableColumnHeading"/>
                    <w:jc w:val="left"/>
                  </w:pPr>
                </w:p>
              </w:tc>
              <w:tc>
                <w:tcPr>
                  <w:tcW w:w="834" w:type="pct"/>
                </w:tcPr>
                <w:p w14:paraId="6DB05A94" w14:textId="77777777" w:rsidR="002B152C" w:rsidRDefault="002B152C" w:rsidP="002B152C">
                  <w:pPr>
                    <w:pStyle w:val="TableColumnHeading"/>
                  </w:pPr>
                </w:p>
              </w:tc>
              <w:tc>
                <w:tcPr>
                  <w:tcW w:w="834" w:type="pct"/>
                  <w:tcBorders>
                    <w:top w:val="single" w:sz="6" w:space="0" w:color="BFBFBF"/>
                    <w:bottom w:val="single" w:sz="6" w:space="0" w:color="BFBFBF"/>
                  </w:tcBorders>
                </w:tcPr>
                <w:p w14:paraId="218FD8B4" w14:textId="69CA715B" w:rsidR="002B152C" w:rsidRDefault="002B152C" w:rsidP="002B152C">
                  <w:pPr>
                    <w:pStyle w:val="TableColumnHeading"/>
                  </w:pPr>
                  <w:r>
                    <w:t>1970</w:t>
                  </w:r>
                </w:p>
              </w:tc>
              <w:tc>
                <w:tcPr>
                  <w:tcW w:w="833" w:type="pct"/>
                  <w:tcBorders>
                    <w:top w:val="single" w:sz="6" w:space="0" w:color="BFBFBF"/>
                    <w:bottom w:val="single" w:sz="6" w:space="0" w:color="BFBFBF"/>
                    <w:right w:val="single" w:sz="24" w:space="0" w:color="FFFFFF" w:themeColor="background1"/>
                  </w:tcBorders>
                </w:tcPr>
                <w:p w14:paraId="26792B76" w14:textId="166B966A" w:rsidR="002B152C" w:rsidRDefault="002B152C" w:rsidP="002B152C">
                  <w:pPr>
                    <w:pStyle w:val="TableColumnHeading"/>
                  </w:pPr>
                  <w:r>
                    <w:t>1979</w:t>
                  </w:r>
                </w:p>
              </w:tc>
              <w:tc>
                <w:tcPr>
                  <w:tcW w:w="833" w:type="pct"/>
                  <w:tcBorders>
                    <w:top w:val="single" w:sz="6" w:space="0" w:color="BFBFBF"/>
                    <w:left w:val="single" w:sz="24" w:space="0" w:color="FFFFFF" w:themeColor="background1"/>
                    <w:bottom w:val="single" w:sz="6" w:space="0" w:color="BFBFBF"/>
                  </w:tcBorders>
                  <w:shd w:val="clear" w:color="auto" w:fill="auto"/>
                  <w:tcMar>
                    <w:top w:w="28" w:type="dxa"/>
                  </w:tcMar>
                </w:tcPr>
                <w:p w14:paraId="11851EF1" w14:textId="387618A1" w:rsidR="002B152C" w:rsidRDefault="002B152C" w:rsidP="002B152C">
                  <w:pPr>
                    <w:pStyle w:val="TableColumnHeading"/>
                  </w:pPr>
                  <w:r>
                    <w:t>1970</w:t>
                  </w:r>
                </w:p>
              </w:tc>
              <w:tc>
                <w:tcPr>
                  <w:tcW w:w="831" w:type="pct"/>
                  <w:tcBorders>
                    <w:top w:val="single" w:sz="6" w:space="0" w:color="BFBFBF"/>
                    <w:bottom w:val="single" w:sz="6" w:space="0" w:color="BFBFBF"/>
                  </w:tcBorders>
                  <w:shd w:val="clear" w:color="auto" w:fill="auto"/>
                  <w:tcMar>
                    <w:top w:w="28" w:type="dxa"/>
                  </w:tcMar>
                </w:tcPr>
                <w:p w14:paraId="3B00CB8F" w14:textId="7365B97F" w:rsidR="002B152C" w:rsidRDefault="002B152C" w:rsidP="002B152C">
                  <w:pPr>
                    <w:pStyle w:val="TableColumnHeading"/>
                    <w:ind w:right="28"/>
                  </w:pPr>
                  <w:r>
                    <w:t>1979</w:t>
                  </w:r>
                </w:p>
              </w:tc>
            </w:tr>
            <w:tr w:rsidR="00AA723A" w14:paraId="505CF291" w14:textId="77777777" w:rsidTr="005F579A">
              <w:tc>
                <w:tcPr>
                  <w:tcW w:w="834" w:type="pct"/>
                  <w:tcBorders>
                    <w:bottom w:val="single" w:sz="6" w:space="0" w:color="BFBFBF"/>
                  </w:tcBorders>
                </w:tcPr>
                <w:p w14:paraId="0CA3C0B1" w14:textId="07027797" w:rsidR="00AA723A" w:rsidRDefault="00AA723A" w:rsidP="00AA723A">
                  <w:pPr>
                    <w:pStyle w:val="TableUnitsRow"/>
                    <w:jc w:val="left"/>
                  </w:pPr>
                </w:p>
              </w:tc>
              <w:tc>
                <w:tcPr>
                  <w:tcW w:w="834" w:type="pct"/>
                  <w:tcBorders>
                    <w:bottom w:val="single" w:sz="6" w:space="0" w:color="BFBFBF"/>
                  </w:tcBorders>
                </w:tcPr>
                <w:p w14:paraId="0B352D35" w14:textId="5518BF7B" w:rsidR="00AA723A" w:rsidRDefault="00AA723A" w:rsidP="002B152C">
                  <w:pPr>
                    <w:pStyle w:val="TableUnitsRow"/>
                  </w:pPr>
                </w:p>
              </w:tc>
              <w:tc>
                <w:tcPr>
                  <w:tcW w:w="834" w:type="pct"/>
                  <w:tcBorders>
                    <w:top w:val="single" w:sz="6" w:space="0" w:color="BFBFBF"/>
                  </w:tcBorders>
                </w:tcPr>
                <w:p w14:paraId="0123F4D6" w14:textId="1B19758C" w:rsidR="00AA723A" w:rsidRDefault="002B152C" w:rsidP="00800353">
                  <w:pPr>
                    <w:pStyle w:val="TableUnitsRow"/>
                  </w:pPr>
                  <w:r>
                    <w:t>%</w:t>
                  </w:r>
                </w:p>
              </w:tc>
              <w:tc>
                <w:tcPr>
                  <w:tcW w:w="833" w:type="pct"/>
                  <w:tcBorders>
                    <w:top w:val="single" w:sz="6" w:space="0" w:color="BFBFBF"/>
                    <w:right w:val="single" w:sz="24" w:space="0" w:color="FFFFFF" w:themeColor="background1"/>
                  </w:tcBorders>
                </w:tcPr>
                <w:p w14:paraId="35E6F65B" w14:textId="3D1C0E90" w:rsidR="00AA723A" w:rsidRDefault="002B152C" w:rsidP="00800353">
                  <w:pPr>
                    <w:pStyle w:val="TableUnitsRow"/>
                  </w:pPr>
                  <w:r>
                    <w:t>%</w:t>
                  </w:r>
                </w:p>
              </w:tc>
              <w:tc>
                <w:tcPr>
                  <w:tcW w:w="833" w:type="pct"/>
                  <w:tcBorders>
                    <w:top w:val="single" w:sz="6" w:space="0" w:color="BFBFBF"/>
                    <w:left w:val="single" w:sz="24" w:space="0" w:color="FFFFFF" w:themeColor="background1"/>
                  </w:tcBorders>
                </w:tcPr>
                <w:p w14:paraId="5B746180" w14:textId="6C08200E" w:rsidR="00AA723A" w:rsidRDefault="002B152C" w:rsidP="00800353">
                  <w:pPr>
                    <w:pStyle w:val="TableUnitsRow"/>
                  </w:pPr>
                  <w:r>
                    <w:t>%</w:t>
                  </w:r>
                </w:p>
              </w:tc>
              <w:tc>
                <w:tcPr>
                  <w:tcW w:w="831" w:type="pct"/>
                  <w:tcBorders>
                    <w:top w:val="single" w:sz="6" w:space="0" w:color="BFBFBF"/>
                  </w:tcBorders>
                </w:tcPr>
                <w:p w14:paraId="1ACD4857" w14:textId="7F6FAE2C" w:rsidR="00AA723A" w:rsidRDefault="002B152C" w:rsidP="00800353">
                  <w:pPr>
                    <w:pStyle w:val="TableUnitsRow"/>
                    <w:ind w:right="28"/>
                  </w:pPr>
                  <w:r>
                    <w:t>%</w:t>
                  </w:r>
                </w:p>
              </w:tc>
            </w:tr>
            <w:tr w:rsidR="00AA723A" w14:paraId="206B7D1E" w14:textId="77777777" w:rsidTr="005F579A">
              <w:tc>
                <w:tcPr>
                  <w:tcW w:w="834" w:type="pct"/>
                  <w:tcBorders>
                    <w:top w:val="single" w:sz="6" w:space="0" w:color="BFBFBF"/>
                  </w:tcBorders>
                </w:tcPr>
                <w:p w14:paraId="3CEAB2E0" w14:textId="4D2DFDCA" w:rsidR="00AA723A" w:rsidRDefault="00AA723A" w:rsidP="009B293C">
                  <w:pPr>
                    <w:pStyle w:val="TableUnitsRow"/>
                    <w:spacing w:before="0"/>
                    <w:jc w:val="left"/>
                  </w:pPr>
                  <w:r w:rsidRPr="00AA723A">
                    <w:t>Asian NICs</w:t>
                  </w:r>
                  <w:r w:rsidRPr="00AA723A">
                    <w:rPr>
                      <w:rStyle w:val="NoteLabel"/>
                    </w:rPr>
                    <w:t>a</w:t>
                  </w:r>
                </w:p>
              </w:tc>
              <w:tc>
                <w:tcPr>
                  <w:tcW w:w="834" w:type="pct"/>
                  <w:tcBorders>
                    <w:top w:val="single" w:sz="6" w:space="0" w:color="BFBFBF"/>
                  </w:tcBorders>
                </w:tcPr>
                <w:p w14:paraId="12DD11EC" w14:textId="409E64C8" w:rsidR="00AA723A" w:rsidRDefault="00AA723A" w:rsidP="00DC6B89">
                  <w:pPr>
                    <w:pStyle w:val="TableBodyText"/>
                    <w:spacing w:before="40"/>
                  </w:pPr>
                  <w:r w:rsidRPr="00AA723A">
                    <w:t>-</w:t>
                  </w:r>
                  <w:r w:rsidR="002B152C">
                    <w:t>exports</w:t>
                  </w:r>
                </w:p>
              </w:tc>
              <w:tc>
                <w:tcPr>
                  <w:tcW w:w="834" w:type="pct"/>
                  <w:tcBorders>
                    <w:top w:val="single" w:sz="6" w:space="0" w:color="BFBFBF"/>
                  </w:tcBorders>
                </w:tcPr>
                <w:p w14:paraId="46053658" w14:textId="35A70240" w:rsidR="00AA723A" w:rsidRDefault="002B152C" w:rsidP="00DC6B89">
                  <w:pPr>
                    <w:pStyle w:val="TableBodyText"/>
                    <w:spacing w:before="40"/>
                  </w:pPr>
                  <w:r>
                    <w:t>5.4</w:t>
                  </w:r>
                </w:p>
              </w:tc>
              <w:tc>
                <w:tcPr>
                  <w:tcW w:w="833" w:type="pct"/>
                  <w:tcBorders>
                    <w:top w:val="single" w:sz="6" w:space="0" w:color="BFBFBF"/>
                    <w:right w:val="single" w:sz="24" w:space="0" w:color="FFFFFF" w:themeColor="background1"/>
                  </w:tcBorders>
                </w:tcPr>
                <w:p w14:paraId="51029CDE" w14:textId="7E5D4CD4" w:rsidR="00AA723A" w:rsidRDefault="002B152C" w:rsidP="00DC6B89">
                  <w:pPr>
                    <w:pStyle w:val="TableBodyText"/>
                    <w:spacing w:before="40"/>
                  </w:pPr>
                  <w:r>
                    <w:t xml:space="preserve">9.0 </w:t>
                  </w:r>
                </w:p>
              </w:tc>
              <w:tc>
                <w:tcPr>
                  <w:tcW w:w="833" w:type="pct"/>
                  <w:tcBorders>
                    <w:top w:val="single" w:sz="6" w:space="0" w:color="BFBFBF"/>
                    <w:left w:val="single" w:sz="24" w:space="0" w:color="FFFFFF" w:themeColor="background1"/>
                  </w:tcBorders>
                </w:tcPr>
                <w:p w14:paraId="6C48D4C0" w14:textId="15A2B1C1" w:rsidR="00AA723A" w:rsidRDefault="002B152C" w:rsidP="00DC6B89">
                  <w:pPr>
                    <w:pStyle w:val="TableBodyText"/>
                    <w:spacing w:before="40"/>
                  </w:pPr>
                  <w:r>
                    <w:t>3.0</w:t>
                  </w:r>
                </w:p>
              </w:tc>
              <w:tc>
                <w:tcPr>
                  <w:tcW w:w="831" w:type="pct"/>
                  <w:tcBorders>
                    <w:top w:val="single" w:sz="6" w:space="0" w:color="BFBFBF"/>
                  </w:tcBorders>
                </w:tcPr>
                <w:p w14:paraId="4116BD5D" w14:textId="0D9C0E1C" w:rsidR="00AA723A" w:rsidRDefault="002B152C" w:rsidP="00DC6B89">
                  <w:pPr>
                    <w:pStyle w:val="TableBodyText"/>
                    <w:spacing w:before="40"/>
                  </w:pPr>
                  <w:r>
                    <w:t>4.5</w:t>
                  </w:r>
                </w:p>
              </w:tc>
            </w:tr>
            <w:tr w:rsidR="00AA723A" w14:paraId="6CC4809A" w14:textId="77777777" w:rsidTr="005F579A">
              <w:tc>
                <w:tcPr>
                  <w:tcW w:w="834" w:type="pct"/>
                </w:tcPr>
                <w:p w14:paraId="18D29106" w14:textId="77777777" w:rsidR="00AA723A" w:rsidRDefault="00AA723A" w:rsidP="00800353">
                  <w:pPr>
                    <w:pStyle w:val="TableBodyText"/>
                    <w:jc w:val="left"/>
                  </w:pPr>
                </w:p>
              </w:tc>
              <w:tc>
                <w:tcPr>
                  <w:tcW w:w="834" w:type="pct"/>
                </w:tcPr>
                <w:p w14:paraId="68DC8428" w14:textId="25833C4B" w:rsidR="00AA723A" w:rsidRDefault="00AA723A" w:rsidP="00800353">
                  <w:pPr>
                    <w:pStyle w:val="TableBodyText"/>
                  </w:pPr>
                  <w:r>
                    <w:t>-imports</w:t>
                  </w:r>
                </w:p>
              </w:tc>
              <w:tc>
                <w:tcPr>
                  <w:tcW w:w="834" w:type="pct"/>
                </w:tcPr>
                <w:p w14:paraId="61125FAE" w14:textId="5496EC86" w:rsidR="00AA723A" w:rsidRDefault="002B152C" w:rsidP="00800353">
                  <w:pPr>
                    <w:pStyle w:val="TableBodyText"/>
                  </w:pPr>
                  <w:r>
                    <w:t>2.3</w:t>
                  </w:r>
                </w:p>
              </w:tc>
              <w:tc>
                <w:tcPr>
                  <w:tcW w:w="833" w:type="pct"/>
                  <w:tcBorders>
                    <w:right w:val="single" w:sz="24" w:space="0" w:color="FFFFFF" w:themeColor="background1"/>
                  </w:tcBorders>
                </w:tcPr>
                <w:p w14:paraId="6BA05980" w14:textId="22631C83" w:rsidR="00AA723A" w:rsidRDefault="002B152C" w:rsidP="00800353">
                  <w:pPr>
                    <w:pStyle w:val="TableBodyText"/>
                  </w:pPr>
                  <w:r>
                    <w:t>8.0</w:t>
                  </w:r>
                </w:p>
              </w:tc>
              <w:tc>
                <w:tcPr>
                  <w:tcW w:w="833" w:type="pct"/>
                  <w:tcBorders>
                    <w:left w:val="single" w:sz="24" w:space="0" w:color="FFFFFF" w:themeColor="background1"/>
                  </w:tcBorders>
                </w:tcPr>
                <w:p w14:paraId="18ED8183" w14:textId="50C7FB9C" w:rsidR="00AA723A" w:rsidRDefault="002B152C" w:rsidP="00800353">
                  <w:pPr>
                    <w:pStyle w:val="TableBodyText"/>
                  </w:pPr>
                  <w:r>
                    <w:t>2.3</w:t>
                  </w:r>
                </w:p>
              </w:tc>
              <w:tc>
                <w:tcPr>
                  <w:tcW w:w="831" w:type="pct"/>
                </w:tcPr>
                <w:p w14:paraId="6A8E3642" w14:textId="2BAE23F3" w:rsidR="00AA723A" w:rsidRDefault="002B152C" w:rsidP="00800353">
                  <w:pPr>
                    <w:pStyle w:val="TableBodyText"/>
                    <w:ind w:right="28"/>
                  </w:pPr>
                  <w:r>
                    <w:t>4.0</w:t>
                  </w:r>
                </w:p>
              </w:tc>
            </w:tr>
            <w:tr w:rsidR="00AA723A" w14:paraId="74F911CA" w14:textId="77777777" w:rsidTr="005F579A">
              <w:tc>
                <w:tcPr>
                  <w:tcW w:w="834" w:type="pct"/>
                </w:tcPr>
                <w:p w14:paraId="723451DB" w14:textId="6379E098" w:rsidR="00AA723A" w:rsidRDefault="00AA723A" w:rsidP="00AA723A">
                  <w:pPr>
                    <w:pStyle w:val="TableBodyText"/>
                    <w:jc w:val="left"/>
                  </w:pPr>
                  <w:r>
                    <w:t>Other ASEAN</w:t>
                  </w:r>
                  <w:r w:rsidRPr="00AA723A">
                    <w:rPr>
                      <w:rStyle w:val="NoteLabel"/>
                    </w:rPr>
                    <w:t>b</w:t>
                  </w:r>
                </w:p>
              </w:tc>
              <w:tc>
                <w:tcPr>
                  <w:tcW w:w="834" w:type="pct"/>
                </w:tcPr>
                <w:p w14:paraId="207A7670" w14:textId="7C794CAD" w:rsidR="00AA723A" w:rsidRDefault="00AA723A" w:rsidP="00AA723A">
                  <w:pPr>
                    <w:pStyle w:val="TableBodyText"/>
                  </w:pPr>
                  <w:r>
                    <w:t>-exports</w:t>
                  </w:r>
                </w:p>
              </w:tc>
              <w:tc>
                <w:tcPr>
                  <w:tcW w:w="834" w:type="pct"/>
                </w:tcPr>
                <w:p w14:paraId="5C35407C" w14:textId="0D5F1EFE" w:rsidR="00AA723A" w:rsidRDefault="002B152C" w:rsidP="00AA723A">
                  <w:pPr>
                    <w:pStyle w:val="TableBodyText"/>
                  </w:pPr>
                  <w:r>
                    <w:t>4.3</w:t>
                  </w:r>
                </w:p>
              </w:tc>
              <w:tc>
                <w:tcPr>
                  <w:tcW w:w="833" w:type="pct"/>
                  <w:tcBorders>
                    <w:right w:val="single" w:sz="24" w:space="0" w:color="FFFFFF" w:themeColor="background1"/>
                  </w:tcBorders>
                </w:tcPr>
                <w:p w14:paraId="01F7ADB1" w14:textId="4AA8A6E5" w:rsidR="00AA723A" w:rsidRDefault="002B152C" w:rsidP="00AA723A">
                  <w:pPr>
                    <w:pStyle w:val="TableBodyText"/>
                  </w:pPr>
                  <w:r>
                    <w:t>5.3</w:t>
                  </w:r>
                </w:p>
              </w:tc>
              <w:tc>
                <w:tcPr>
                  <w:tcW w:w="833" w:type="pct"/>
                  <w:tcBorders>
                    <w:left w:val="single" w:sz="24" w:space="0" w:color="FFFFFF" w:themeColor="background1"/>
                  </w:tcBorders>
                </w:tcPr>
                <w:p w14:paraId="15CF0E35" w14:textId="4CB96749" w:rsidR="00AA723A" w:rsidRDefault="002B152C" w:rsidP="00AA723A">
                  <w:pPr>
                    <w:pStyle w:val="TableBodyText"/>
                  </w:pPr>
                  <w:r>
                    <w:t>1.7</w:t>
                  </w:r>
                </w:p>
              </w:tc>
              <w:tc>
                <w:tcPr>
                  <w:tcW w:w="831" w:type="pct"/>
                </w:tcPr>
                <w:p w14:paraId="4360D5DB" w14:textId="3C5101DC" w:rsidR="00AA723A" w:rsidRDefault="002B152C" w:rsidP="00AA723A">
                  <w:pPr>
                    <w:pStyle w:val="TableBodyText"/>
                    <w:ind w:right="28"/>
                  </w:pPr>
                  <w:r>
                    <w:t>1.9</w:t>
                  </w:r>
                </w:p>
              </w:tc>
            </w:tr>
            <w:tr w:rsidR="00AA723A" w14:paraId="2B8E222B" w14:textId="77777777" w:rsidTr="005F579A">
              <w:tc>
                <w:tcPr>
                  <w:tcW w:w="834" w:type="pct"/>
                </w:tcPr>
                <w:p w14:paraId="1AE1C254" w14:textId="4E04E4A8" w:rsidR="00AA723A" w:rsidRDefault="00AA723A" w:rsidP="00AA723A">
                  <w:pPr>
                    <w:pStyle w:val="TableBodyText"/>
                    <w:jc w:val="left"/>
                  </w:pPr>
                </w:p>
              </w:tc>
              <w:tc>
                <w:tcPr>
                  <w:tcW w:w="834" w:type="pct"/>
                </w:tcPr>
                <w:p w14:paraId="3AE7464F" w14:textId="2DD729CF" w:rsidR="00AA723A" w:rsidRDefault="00AA723A" w:rsidP="00AA723A">
                  <w:pPr>
                    <w:pStyle w:val="TableBodyText"/>
                  </w:pPr>
                  <w:r>
                    <w:t>-imports</w:t>
                  </w:r>
                </w:p>
              </w:tc>
              <w:tc>
                <w:tcPr>
                  <w:tcW w:w="834" w:type="pct"/>
                </w:tcPr>
                <w:p w14:paraId="61E8CE8E" w14:textId="55DC39A6" w:rsidR="00AA723A" w:rsidRDefault="002B152C" w:rsidP="00AA723A">
                  <w:pPr>
                    <w:pStyle w:val="TableBodyText"/>
                  </w:pPr>
                  <w:r>
                    <w:t>1.9</w:t>
                  </w:r>
                </w:p>
              </w:tc>
              <w:tc>
                <w:tcPr>
                  <w:tcW w:w="833" w:type="pct"/>
                  <w:tcBorders>
                    <w:right w:val="single" w:sz="24" w:space="0" w:color="FFFFFF" w:themeColor="background1"/>
                  </w:tcBorders>
                </w:tcPr>
                <w:p w14:paraId="3B4906B6" w14:textId="204E0327" w:rsidR="00AA723A" w:rsidRDefault="002B152C" w:rsidP="00AA723A">
                  <w:pPr>
                    <w:pStyle w:val="TableBodyText"/>
                  </w:pPr>
                  <w:r>
                    <w:t>3.3</w:t>
                  </w:r>
                </w:p>
              </w:tc>
              <w:tc>
                <w:tcPr>
                  <w:tcW w:w="833" w:type="pct"/>
                  <w:tcBorders>
                    <w:left w:val="single" w:sz="24" w:space="0" w:color="FFFFFF" w:themeColor="background1"/>
                  </w:tcBorders>
                </w:tcPr>
                <w:p w14:paraId="7B9347E2" w14:textId="2EBC5F83" w:rsidR="00AA723A" w:rsidRDefault="002B152C" w:rsidP="00AA723A">
                  <w:pPr>
                    <w:pStyle w:val="TableBodyText"/>
                  </w:pPr>
                  <w:r>
                    <w:t>1.6</w:t>
                  </w:r>
                </w:p>
              </w:tc>
              <w:tc>
                <w:tcPr>
                  <w:tcW w:w="831" w:type="pct"/>
                </w:tcPr>
                <w:p w14:paraId="5C39AC26" w14:textId="2A5EE6EB" w:rsidR="00AA723A" w:rsidRDefault="002B152C" w:rsidP="00AA723A">
                  <w:pPr>
                    <w:pStyle w:val="TableBodyText"/>
                    <w:ind w:right="28"/>
                  </w:pPr>
                  <w:r>
                    <w:t>2.4</w:t>
                  </w:r>
                </w:p>
              </w:tc>
            </w:tr>
            <w:tr w:rsidR="00AA723A" w14:paraId="1B0F14C3" w14:textId="77777777" w:rsidTr="005F579A">
              <w:tc>
                <w:tcPr>
                  <w:tcW w:w="834" w:type="pct"/>
                  <w:shd w:val="clear" w:color="auto" w:fill="auto"/>
                </w:tcPr>
                <w:p w14:paraId="49869319" w14:textId="77550E86" w:rsidR="00AA723A" w:rsidRDefault="002B152C" w:rsidP="002B152C">
                  <w:pPr>
                    <w:pStyle w:val="TableBodyText"/>
                    <w:jc w:val="left"/>
                  </w:pPr>
                  <w:r>
                    <w:t>Japan</w:t>
                  </w:r>
                </w:p>
              </w:tc>
              <w:tc>
                <w:tcPr>
                  <w:tcW w:w="834" w:type="pct"/>
                </w:tcPr>
                <w:p w14:paraId="07CD83EE" w14:textId="43592B95" w:rsidR="00AA723A" w:rsidRDefault="00AA723A" w:rsidP="00AA723A">
                  <w:pPr>
                    <w:pStyle w:val="TableBodyText"/>
                  </w:pPr>
                  <w:r>
                    <w:t>-exports</w:t>
                  </w:r>
                </w:p>
              </w:tc>
              <w:tc>
                <w:tcPr>
                  <w:tcW w:w="834" w:type="pct"/>
                </w:tcPr>
                <w:p w14:paraId="4AC6095D" w14:textId="4D700E2B" w:rsidR="00AA723A" w:rsidRDefault="002B152C" w:rsidP="00AA723A">
                  <w:pPr>
                    <w:pStyle w:val="TableBodyText"/>
                  </w:pPr>
                  <w:r>
                    <w:t>26.2</w:t>
                  </w:r>
                </w:p>
              </w:tc>
              <w:tc>
                <w:tcPr>
                  <w:tcW w:w="833" w:type="pct"/>
                  <w:tcBorders>
                    <w:right w:val="single" w:sz="24" w:space="0" w:color="FFFFFF" w:themeColor="background1"/>
                  </w:tcBorders>
                </w:tcPr>
                <w:p w14:paraId="243208B5" w14:textId="225EA3C9" w:rsidR="00AA723A" w:rsidRDefault="002B152C" w:rsidP="00AA723A">
                  <w:pPr>
                    <w:pStyle w:val="TableBodyText"/>
                  </w:pPr>
                  <w:r>
                    <w:t>27.8</w:t>
                  </w:r>
                </w:p>
              </w:tc>
              <w:tc>
                <w:tcPr>
                  <w:tcW w:w="833" w:type="pct"/>
                  <w:tcBorders>
                    <w:left w:val="single" w:sz="24" w:space="0" w:color="FFFFFF" w:themeColor="background1"/>
                  </w:tcBorders>
                  <w:shd w:val="clear" w:color="auto" w:fill="auto"/>
                </w:tcPr>
                <w:p w14:paraId="2A62021D" w14:textId="498B45FA" w:rsidR="00AA723A" w:rsidRDefault="002B152C" w:rsidP="00AA723A">
                  <w:pPr>
                    <w:pStyle w:val="TableBodyText"/>
                  </w:pPr>
                  <w:r>
                    <w:t>6.5</w:t>
                  </w:r>
                </w:p>
              </w:tc>
              <w:tc>
                <w:tcPr>
                  <w:tcW w:w="831" w:type="pct"/>
                  <w:shd w:val="clear" w:color="auto" w:fill="auto"/>
                </w:tcPr>
                <w:p w14:paraId="0CF7D766" w14:textId="52A8D740" w:rsidR="00AA723A" w:rsidRDefault="002B152C" w:rsidP="00AA723A">
                  <w:pPr>
                    <w:pStyle w:val="TableBodyText"/>
                    <w:ind w:right="28"/>
                  </w:pPr>
                  <w:r>
                    <w:t>7.1</w:t>
                  </w:r>
                </w:p>
              </w:tc>
            </w:tr>
            <w:tr w:rsidR="00AA723A" w14:paraId="1749D055" w14:textId="77777777" w:rsidTr="005F579A">
              <w:tc>
                <w:tcPr>
                  <w:tcW w:w="834" w:type="pct"/>
                  <w:shd w:val="clear" w:color="auto" w:fill="auto"/>
                </w:tcPr>
                <w:p w14:paraId="742FECED" w14:textId="2F515505" w:rsidR="00AA723A" w:rsidRDefault="00AA723A" w:rsidP="00AA723A">
                  <w:pPr>
                    <w:pStyle w:val="TableBodyText"/>
                    <w:jc w:val="left"/>
                  </w:pPr>
                </w:p>
              </w:tc>
              <w:tc>
                <w:tcPr>
                  <w:tcW w:w="834" w:type="pct"/>
                </w:tcPr>
                <w:p w14:paraId="6DA128FF" w14:textId="7920AAF8" w:rsidR="00AA723A" w:rsidRDefault="00AA723A" w:rsidP="00AA723A">
                  <w:pPr>
                    <w:pStyle w:val="TableBodyText"/>
                  </w:pPr>
                  <w:r>
                    <w:t>-imports</w:t>
                  </w:r>
                </w:p>
              </w:tc>
              <w:tc>
                <w:tcPr>
                  <w:tcW w:w="834" w:type="pct"/>
                </w:tcPr>
                <w:p w14:paraId="5AAEA3DD" w14:textId="1D9C4C87" w:rsidR="00AA723A" w:rsidRDefault="002B152C" w:rsidP="00AA723A">
                  <w:pPr>
                    <w:pStyle w:val="TableBodyText"/>
                  </w:pPr>
                  <w:r>
                    <w:t>12.7</w:t>
                  </w:r>
                </w:p>
              </w:tc>
              <w:tc>
                <w:tcPr>
                  <w:tcW w:w="833" w:type="pct"/>
                  <w:tcBorders>
                    <w:right w:val="single" w:sz="24" w:space="0" w:color="FFFFFF" w:themeColor="background1"/>
                  </w:tcBorders>
                </w:tcPr>
                <w:p w14:paraId="78D13E68" w14:textId="36B87E32" w:rsidR="00AA723A" w:rsidRDefault="002B152C" w:rsidP="00AA723A">
                  <w:pPr>
                    <w:pStyle w:val="TableBodyText"/>
                  </w:pPr>
                  <w:r>
                    <w:t>15.5</w:t>
                  </w:r>
                </w:p>
              </w:tc>
              <w:tc>
                <w:tcPr>
                  <w:tcW w:w="833" w:type="pct"/>
                  <w:tcBorders>
                    <w:left w:val="single" w:sz="24" w:space="0" w:color="FFFFFF" w:themeColor="background1"/>
                  </w:tcBorders>
                  <w:shd w:val="clear" w:color="auto" w:fill="auto"/>
                </w:tcPr>
                <w:p w14:paraId="0E5415EB" w14:textId="30D6E4CE" w:rsidR="00AA723A" w:rsidRDefault="002B152C" w:rsidP="00AA723A">
                  <w:pPr>
                    <w:pStyle w:val="TableBodyText"/>
                  </w:pPr>
                  <w:r>
                    <w:t>7.0</w:t>
                  </w:r>
                </w:p>
              </w:tc>
              <w:tc>
                <w:tcPr>
                  <w:tcW w:w="831" w:type="pct"/>
                  <w:shd w:val="clear" w:color="auto" w:fill="auto"/>
                </w:tcPr>
                <w:p w14:paraId="4AD98ED8" w14:textId="43A60F85" w:rsidR="00AA723A" w:rsidRDefault="002B152C" w:rsidP="00AA723A">
                  <w:pPr>
                    <w:pStyle w:val="TableBodyText"/>
                    <w:ind w:right="28"/>
                  </w:pPr>
                  <w:r>
                    <w:t>6.8</w:t>
                  </w:r>
                </w:p>
              </w:tc>
            </w:tr>
            <w:tr w:rsidR="00AA723A" w14:paraId="2BD851EA" w14:textId="77777777" w:rsidTr="005F579A">
              <w:tc>
                <w:tcPr>
                  <w:tcW w:w="834" w:type="pct"/>
                  <w:shd w:val="clear" w:color="auto" w:fill="auto"/>
                </w:tcPr>
                <w:p w14:paraId="3962E744" w14:textId="26553788" w:rsidR="00AA723A" w:rsidRDefault="00AA723A" w:rsidP="00AA723A">
                  <w:pPr>
                    <w:pStyle w:val="TableBodyText"/>
                    <w:jc w:val="left"/>
                  </w:pPr>
                  <w:r>
                    <w:t>UK</w:t>
                  </w:r>
                </w:p>
              </w:tc>
              <w:tc>
                <w:tcPr>
                  <w:tcW w:w="834" w:type="pct"/>
                </w:tcPr>
                <w:p w14:paraId="224EF6F8" w14:textId="1EC236F0" w:rsidR="00AA723A" w:rsidRDefault="00AA723A" w:rsidP="00AA723A">
                  <w:pPr>
                    <w:pStyle w:val="TableBodyText"/>
                  </w:pPr>
                  <w:r>
                    <w:t>-exports</w:t>
                  </w:r>
                </w:p>
              </w:tc>
              <w:tc>
                <w:tcPr>
                  <w:tcW w:w="834" w:type="pct"/>
                </w:tcPr>
                <w:p w14:paraId="4A6544B6" w14:textId="32F6C199" w:rsidR="00AA723A" w:rsidRDefault="002B152C" w:rsidP="00AA723A">
                  <w:pPr>
                    <w:pStyle w:val="TableBodyText"/>
                  </w:pPr>
                  <w:r>
                    <w:t>11.4</w:t>
                  </w:r>
                </w:p>
              </w:tc>
              <w:tc>
                <w:tcPr>
                  <w:tcW w:w="833" w:type="pct"/>
                  <w:tcBorders>
                    <w:right w:val="single" w:sz="24" w:space="0" w:color="FFFFFF" w:themeColor="background1"/>
                  </w:tcBorders>
                </w:tcPr>
                <w:p w14:paraId="2A09D1EF" w14:textId="006C94FF" w:rsidR="00AA723A" w:rsidRDefault="002B152C" w:rsidP="00AA723A">
                  <w:pPr>
                    <w:pStyle w:val="TableBodyText"/>
                  </w:pPr>
                  <w:r>
                    <w:t>4.4</w:t>
                  </w:r>
                </w:p>
              </w:tc>
              <w:tc>
                <w:tcPr>
                  <w:tcW w:w="833" w:type="pct"/>
                  <w:tcBorders>
                    <w:left w:val="single" w:sz="24" w:space="0" w:color="FFFFFF" w:themeColor="background1"/>
                  </w:tcBorders>
                  <w:shd w:val="clear" w:color="auto" w:fill="auto"/>
                </w:tcPr>
                <w:p w14:paraId="55C7932B" w14:textId="402D559A" w:rsidR="00AA723A" w:rsidRDefault="002B152C" w:rsidP="00AA723A">
                  <w:pPr>
                    <w:pStyle w:val="TableBodyText"/>
                  </w:pPr>
                  <w:r>
                    <w:t>7.4</w:t>
                  </w:r>
                </w:p>
              </w:tc>
              <w:tc>
                <w:tcPr>
                  <w:tcW w:w="831" w:type="pct"/>
                  <w:shd w:val="clear" w:color="auto" w:fill="auto"/>
                </w:tcPr>
                <w:p w14:paraId="6465AE30" w14:textId="6AF7BCB5" w:rsidR="00AA723A" w:rsidRDefault="002B152C" w:rsidP="00AA723A">
                  <w:pPr>
                    <w:pStyle w:val="TableBodyText"/>
                    <w:ind w:right="28"/>
                  </w:pPr>
                  <w:r>
                    <w:t>6.6</w:t>
                  </w:r>
                </w:p>
              </w:tc>
            </w:tr>
            <w:tr w:rsidR="00AA723A" w14:paraId="3B1B5AAB" w14:textId="77777777" w:rsidTr="005F579A">
              <w:tc>
                <w:tcPr>
                  <w:tcW w:w="834" w:type="pct"/>
                  <w:tcBorders>
                    <w:bottom w:val="single" w:sz="6" w:space="0" w:color="BFBFBF"/>
                  </w:tcBorders>
                  <w:shd w:val="clear" w:color="auto" w:fill="auto"/>
                </w:tcPr>
                <w:p w14:paraId="7DD6AEB3" w14:textId="77777777" w:rsidR="00AA723A" w:rsidRDefault="00AA723A" w:rsidP="00AA723A">
                  <w:pPr>
                    <w:pStyle w:val="TableBodyText"/>
                    <w:jc w:val="left"/>
                  </w:pPr>
                </w:p>
              </w:tc>
              <w:tc>
                <w:tcPr>
                  <w:tcW w:w="834" w:type="pct"/>
                  <w:tcBorders>
                    <w:bottom w:val="single" w:sz="6" w:space="0" w:color="BFBFBF"/>
                  </w:tcBorders>
                </w:tcPr>
                <w:p w14:paraId="2FF910B9" w14:textId="4C0DF734" w:rsidR="00AA723A" w:rsidRDefault="00AA723A" w:rsidP="00AA723A">
                  <w:pPr>
                    <w:pStyle w:val="TableBodyText"/>
                  </w:pPr>
                  <w:r>
                    <w:t>-exports</w:t>
                  </w:r>
                </w:p>
              </w:tc>
              <w:tc>
                <w:tcPr>
                  <w:tcW w:w="834" w:type="pct"/>
                  <w:tcBorders>
                    <w:bottom w:val="single" w:sz="6" w:space="0" w:color="BFBFBF"/>
                  </w:tcBorders>
                </w:tcPr>
                <w:p w14:paraId="01036140" w14:textId="65451FD8" w:rsidR="00AA723A" w:rsidRDefault="002B152C" w:rsidP="00AA723A">
                  <w:pPr>
                    <w:pStyle w:val="TableBodyText"/>
                  </w:pPr>
                  <w:r>
                    <w:t>21.2</w:t>
                  </w:r>
                </w:p>
              </w:tc>
              <w:tc>
                <w:tcPr>
                  <w:tcW w:w="833" w:type="pct"/>
                  <w:tcBorders>
                    <w:bottom w:val="single" w:sz="6" w:space="0" w:color="BFBFBF"/>
                    <w:right w:val="single" w:sz="24" w:space="0" w:color="FFFFFF" w:themeColor="background1"/>
                  </w:tcBorders>
                </w:tcPr>
                <w:p w14:paraId="79B69822" w14:textId="03AF6B97" w:rsidR="00AA723A" w:rsidRDefault="002B152C" w:rsidP="00AA723A">
                  <w:pPr>
                    <w:pStyle w:val="TableBodyText"/>
                  </w:pPr>
                  <w:r>
                    <w:t>10.6</w:t>
                  </w:r>
                </w:p>
              </w:tc>
              <w:tc>
                <w:tcPr>
                  <w:tcW w:w="833" w:type="pct"/>
                  <w:tcBorders>
                    <w:left w:val="single" w:sz="24" w:space="0" w:color="FFFFFF" w:themeColor="background1"/>
                    <w:bottom w:val="single" w:sz="6" w:space="0" w:color="BFBFBF"/>
                  </w:tcBorders>
                  <w:shd w:val="clear" w:color="auto" w:fill="auto"/>
                </w:tcPr>
                <w:p w14:paraId="6CF73FEB" w14:textId="71F8E902" w:rsidR="00AA723A" w:rsidRDefault="002B152C" w:rsidP="00AA723A">
                  <w:pPr>
                    <w:pStyle w:val="TableBodyText"/>
                  </w:pPr>
                  <w:r>
                    <w:t>7.0</w:t>
                  </w:r>
                </w:p>
              </w:tc>
              <w:tc>
                <w:tcPr>
                  <w:tcW w:w="831" w:type="pct"/>
                  <w:tcBorders>
                    <w:bottom w:val="single" w:sz="6" w:space="0" w:color="BFBFBF"/>
                  </w:tcBorders>
                  <w:shd w:val="clear" w:color="auto" w:fill="auto"/>
                </w:tcPr>
                <w:p w14:paraId="645C1195" w14:textId="79DBE44B" w:rsidR="00AA723A" w:rsidRDefault="002B152C" w:rsidP="00AA723A">
                  <w:pPr>
                    <w:pStyle w:val="TableBodyText"/>
                    <w:ind w:right="28"/>
                  </w:pPr>
                  <w:r>
                    <w:t>6.1</w:t>
                  </w:r>
                </w:p>
              </w:tc>
            </w:tr>
          </w:tbl>
          <w:p w14:paraId="2C9C32DD" w14:textId="77777777" w:rsidR="002E0DD6" w:rsidRDefault="002E0DD6" w:rsidP="00800353">
            <w:pPr>
              <w:pStyle w:val="Box"/>
            </w:pPr>
          </w:p>
        </w:tc>
      </w:tr>
      <w:tr w:rsidR="002E0DD6" w14:paraId="49DF1C27" w14:textId="77777777" w:rsidTr="00800353">
        <w:tc>
          <w:tcPr>
            <w:tcW w:w="5000" w:type="pct"/>
            <w:tcBorders>
              <w:top w:val="nil"/>
              <w:left w:val="nil"/>
              <w:bottom w:val="nil"/>
              <w:right w:val="nil"/>
            </w:tcBorders>
            <w:shd w:val="clear" w:color="auto" w:fill="auto"/>
          </w:tcPr>
          <w:p w14:paraId="72EB59C0" w14:textId="35562640" w:rsidR="002E0DD6" w:rsidRPr="00DC6B89" w:rsidRDefault="002E0DD6" w:rsidP="00AA723A">
            <w:pPr>
              <w:pStyle w:val="Note"/>
              <w:rPr>
                <w:i/>
                <w:spacing w:val="-4"/>
              </w:rPr>
            </w:pPr>
            <w:r w:rsidRPr="00DC6B89">
              <w:rPr>
                <w:rStyle w:val="NoteLabel"/>
                <w:spacing w:val="-4"/>
              </w:rPr>
              <w:t>a</w:t>
            </w:r>
            <w:r w:rsidRPr="00DC6B89">
              <w:rPr>
                <w:spacing w:val="-4"/>
              </w:rPr>
              <w:t xml:space="preserve"> </w:t>
            </w:r>
            <w:r w:rsidR="00AA723A" w:rsidRPr="00DC6B89">
              <w:rPr>
                <w:spacing w:val="-4"/>
              </w:rPr>
              <w:t>East Asian ‘newly’ industrialised countries: South Korea, Taiwan, Singapore and Hong Kong</w:t>
            </w:r>
            <w:r w:rsidRPr="00DC6B89">
              <w:rPr>
                <w:spacing w:val="-4"/>
              </w:rPr>
              <w:t xml:space="preserve">. </w:t>
            </w:r>
            <w:r w:rsidRPr="00DC6B89">
              <w:rPr>
                <w:rStyle w:val="NoteLabel"/>
                <w:spacing w:val="-4"/>
              </w:rPr>
              <w:t>b</w:t>
            </w:r>
            <w:r w:rsidRPr="00DC6B89">
              <w:rPr>
                <w:spacing w:val="-4"/>
              </w:rPr>
              <w:t xml:space="preserve"> </w:t>
            </w:r>
            <w:r w:rsidR="00AA723A" w:rsidRPr="00DC6B89">
              <w:rPr>
                <w:spacing w:val="-4"/>
              </w:rPr>
              <w:t>These countries are: Indonesia, Thailand, Singapore, Malaysia, Philippines, Vietnam, Brunei, Cambodia, Myanmar (Burma), Laos</w:t>
            </w:r>
            <w:r w:rsidRPr="00DC6B89">
              <w:rPr>
                <w:spacing w:val="-4"/>
              </w:rPr>
              <w:t>.</w:t>
            </w:r>
          </w:p>
        </w:tc>
      </w:tr>
      <w:tr w:rsidR="002E0DD6" w14:paraId="515C5893" w14:textId="77777777" w:rsidTr="00800353">
        <w:tc>
          <w:tcPr>
            <w:tcW w:w="5000" w:type="pct"/>
            <w:tcBorders>
              <w:top w:val="nil"/>
              <w:left w:val="nil"/>
              <w:bottom w:val="nil"/>
              <w:right w:val="nil"/>
            </w:tcBorders>
            <w:shd w:val="clear" w:color="auto" w:fill="auto"/>
          </w:tcPr>
          <w:p w14:paraId="0F47D252" w14:textId="2B88334C" w:rsidR="002E0DD6" w:rsidRDefault="00800353" w:rsidP="005F579A">
            <w:pPr>
              <w:pStyle w:val="Source"/>
              <w:spacing w:after="0"/>
            </w:pPr>
            <w:r>
              <w:rPr>
                <w:i/>
              </w:rPr>
              <w:t>Source</w:t>
            </w:r>
            <w:r w:rsidR="002E0DD6" w:rsidRPr="00167F06">
              <w:t>:</w:t>
            </w:r>
            <w:r w:rsidR="00782BF3">
              <w:t xml:space="preserve"> Anderson &amp; Garnaut </w:t>
            </w:r>
            <w:r w:rsidR="00782BF3" w:rsidRPr="00782BF3">
              <w:rPr>
                <w:rFonts w:cs="Arial"/>
                <w:szCs w:val="24"/>
              </w:rPr>
              <w:t>(1987, p. 101)</w:t>
            </w:r>
            <w:r>
              <w:t>.</w:t>
            </w:r>
          </w:p>
        </w:tc>
      </w:tr>
      <w:tr w:rsidR="002E0DD6" w14:paraId="592B4202" w14:textId="77777777" w:rsidTr="00800353">
        <w:tc>
          <w:tcPr>
            <w:tcW w:w="5000" w:type="pct"/>
            <w:tcBorders>
              <w:top w:val="nil"/>
              <w:left w:val="nil"/>
              <w:bottom w:val="single" w:sz="6" w:space="0" w:color="78A22F"/>
              <w:right w:val="nil"/>
            </w:tcBorders>
            <w:shd w:val="clear" w:color="auto" w:fill="auto"/>
          </w:tcPr>
          <w:p w14:paraId="5EBECF80" w14:textId="77777777" w:rsidR="002E0DD6" w:rsidRDefault="002E0DD6" w:rsidP="00800353">
            <w:pPr>
              <w:pStyle w:val="Box"/>
              <w:spacing w:before="0" w:line="120" w:lineRule="exact"/>
            </w:pPr>
          </w:p>
        </w:tc>
      </w:tr>
      <w:tr w:rsidR="002E0DD6" w:rsidRPr="000863A5" w14:paraId="12F92F74" w14:textId="77777777" w:rsidTr="00800353">
        <w:tc>
          <w:tcPr>
            <w:tcW w:w="5000" w:type="pct"/>
            <w:tcBorders>
              <w:top w:val="single" w:sz="6" w:space="0" w:color="78A22F"/>
              <w:left w:val="nil"/>
              <w:bottom w:val="nil"/>
              <w:right w:val="nil"/>
            </w:tcBorders>
          </w:tcPr>
          <w:p w14:paraId="6B901EC4" w14:textId="5B5D0509" w:rsidR="002E0DD6" w:rsidRPr="00626D32" w:rsidRDefault="002E0DD6" w:rsidP="00800353">
            <w:pPr>
              <w:pStyle w:val="BoxSpaceBelow"/>
            </w:pPr>
          </w:p>
        </w:tc>
      </w:tr>
    </w:tbl>
    <w:p w14:paraId="69F29347" w14:textId="77777777" w:rsidR="00C637E1" w:rsidRDefault="00C637E1" w:rsidP="00C637E1">
      <w:pPr>
        <w:pStyle w:val="BodyText"/>
      </w:pPr>
      <w:r>
        <w:t>It is possible that prior to possibility of export driven growth that occurred with the industrialisation of East Asia, Australian protectionism, while detrimental, had a lower opportunity cost and only became a significant hindrance as trade opportunities expanded.</w:t>
      </w:r>
    </w:p>
    <w:p w14:paraId="2138E237" w14:textId="2A3F4E7A" w:rsidR="00FF06FC" w:rsidRDefault="00FF06FC" w:rsidP="00FF06FC">
      <w:pPr>
        <w:pStyle w:val="BodyText"/>
      </w:pPr>
      <w:r>
        <w:t>Although Australia had decent relative productivity growth post</w:t>
      </w:r>
      <w:r>
        <w:noBreakHyphen/>
        <w:t xml:space="preserve">1973, its absolute growth fell along with other advanced economies at this time. </w:t>
      </w:r>
      <w:r w:rsidR="00CB1059">
        <w:t>Simultaneously, u</w:t>
      </w:r>
      <w:r>
        <w:t>nemployment and inflation both rose to levels not seen in decades</w:t>
      </w:r>
      <w:r w:rsidR="001879F8">
        <w:t xml:space="preserve"> </w:t>
      </w:r>
      <w:r w:rsidR="00F1225C" w:rsidRPr="00F1225C">
        <w:rPr>
          <w:szCs w:val="24"/>
        </w:rPr>
        <w:t>(McLean 2013)</w:t>
      </w:r>
      <w:r>
        <w:t xml:space="preserve">. </w:t>
      </w:r>
      <w:r w:rsidR="007540A2">
        <w:t xml:space="preserve">Dissatisfaction with this economic performance, combined with greater trade opportunities in Asia provided impetus for the economic reforms that were to come. </w:t>
      </w:r>
    </w:p>
    <w:p w14:paraId="1E4B2562" w14:textId="77777777" w:rsidR="004A75D3" w:rsidRDefault="004A75D3" w:rsidP="00FD1744">
      <w:pPr>
        <w:pStyle w:val="Heading3"/>
      </w:pPr>
      <w:r>
        <w:t xml:space="preserve">A partial resurgence </w:t>
      </w:r>
    </w:p>
    <w:p w14:paraId="43E5EC6E" w14:textId="1441FD74" w:rsidR="004A75D3" w:rsidRDefault="004A75D3" w:rsidP="004A75D3">
      <w:pPr>
        <w:pStyle w:val="BodyText"/>
      </w:pPr>
      <w:r>
        <w:t>Since 1990, Australia has experienced a significant lifting of its relative standard of living against both the US and a broader set of economies, such as the OECD (figure 1</w:t>
      </w:r>
      <w:r w:rsidR="00A129C9">
        <w:t>6</w:t>
      </w:r>
      <w:r>
        <w:t>). The causes of this resurgence appear to be man</w:t>
      </w:r>
      <w:r w:rsidR="006A5B27">
        <w:t>i</w:t>
      </w:r>
      <w:r>
        <w:t xml:space="preserve">fold. </w:t>
      </w:r>
      <w:r w:rsidR="002D0CEB">
        <w:t>During this time</w:t>
      </w:r>
      <w:r>
        <w:t xml:space="preserve">, Australian </w:t>
      </w:r>
      <w:r w:rsidR="002D0CEB">
        <w:t xml:space="preserve">GDP per capita </w:t>
      </w:r>
      <w:r>
        <w:t xml:space="preserve">growth </w:t>
      </w:r>
      <w:r w:rsidR="007F0247">
        <w:t xml:space="preserve">outstripped most </w:t>
      </w:r>
      <w:r w:rsidR="00A129C9">
        <w:t>high-income</w:t>
      </w:r>
      <w:r w:rsidR="007F0247">
        <w:t xml:space="preserve"> countries</w:t>
      </w:r>
      <w:r>
        <w:t xml:space="preserve">. </w:t>
      </w:r>
      <w:r w:rsidR="007F0247">
        <w:t xml:space="preserve">This was also at a time when countries at the productivity frontier, such as the US, experienced particularly fast growth. </w:t>
      </w:r>
      <w:r>
        <w:t xml:space="preserve">And this productivity performance </w:t>
      </w:r>
      <w:r w:rsidR="00F05875">
        <w:t>was</w:t>
      </w:r>
      <w:r>
        <w:t xml:space="preserve"> </w:t>
      </w:r>
      <w:r w:rsidR="00E43504">
        <w:t xml:space="preserve">complemented </w:t>
      </w:r>
      <w:r>
        <w:t>by increased labour utilisation, favourable terms of trade and capital deepening at least as high as comparable economies (figure 1</w:t>
      </w:r>
      <w:r w:rsidR="00A129C9">
        <w:t>7</w:t>
      </w:r>
      <w:r>
        <w:t xml:space="preserve">). </w:t>
      </w:r>
    </w:p>
    <w:p w14:paraId="66AC0AE8" w14:textId="274F427F" w:rsidR="004A75D3" w:rsidRPr="005F579A" w:rsidRDefault="004A75D3" w:rsidP="004A75D3">
      <w:pPr>
        <w:pStyle w:val="BodyText"/>
        <w:rPr>
          <w:spacing w:val="-2"/>
        </w:rPr>
      </w:pPr>
      <w:r w:rsidRPr="005F579A">
        <w:rPr>
          <w:spacing w:val="-2"/>
        </w:rPr>
        <w:t>The ultimate causes of this resurgence are difficult to identify. It will be argued below that a sizeable portion is likely due to economic reforms that both raised productivity and created a more stable macroeconomic environment, but i</w:t>
      </w:r>
      <w:r w:rsidR="00B65101" w:rsidRPr="005F579A">
        <w:rPr>
          <w:spacing w:val="-2"/>
        </w:rPr>
        <w:t>t</w:t>
      </w:r>
      <w:r w:rsidRPr="005F579A">
        <w:rPr>
          <w:spacing w:val="-2"/>
        </w:rPr>
        <w:t xml:space="preserve"> must be acknowledged that </w:t>
      </w:r>
      <w:r w:rsidR="00E45E9E" w:rsidRPr="005F579A">
        <w:rPr>
          <w:spacing w:val="-2"/>
        </w:rPr>
        <w:t xml:space="preserve">the latter part </w:t>
      </w:r>
      <w:r w:rsidRPr="005F579A">
        <w:rPr>
          <w:spacing w:val="-2"/>
        </w:rPr>
        <w:t xml:space="preserve">of </w:t>
      </w:r>
      <w:r w:rsidRPr="005F579A">
        <w:rPr>
          <w:spacing w:val="-2"/>
        </w:rPr>
        <w:lastRenderedPageBreak/>
        <w:t>this resurgence</w:t>
      </w:r>
      <w:r w:rsidR="00E45E9E" w:rsidRPr="005F579A">
        <w:rPr>
          <w:spacing w:val="-2"/>
        </w:rPr>
        <w:t xml:space="preserve"> also</w:t>
      </w:r>
      <w:r w:rsidRPr="005F579A">
        <w:rPr>
          <w:spacing w:val="-2"/>
        </w:rPr>
        <w:t xml:space="preserve"> overlapped with a very significant terms of trade boom (the recent ‘mining boom’). And although the direct effect of the terms of trade on GDP growth appear small (as proxied by the difference in the estimates of the ratio of GDP per capita using current and constant PPP respectively in figure 1</w:t>
      </w:r>
      <w:r w:rsidR="00A129C9" w:rsidRPr="005F579A">
        <w:rPr>
          <w:spacing w:val="-2"/>
        </w:rPr>
        <w:t>6</w:t>
      </w:r>
      <w:r w:rsidRPr="005F579A">
        <w:rPr>
          <w:spacing w:val="-2"/>
        </w:rPr>
        <w:t xml:space="preserve">), the mining boom likely contributed indirectly though capital deepening </w:t>
      </w:r>
      <w:r w:rsidR="00703B06" w:rsidRPr="005F579A">
        <w:rPr>
          <w:spacing w:val="-2"/>
        </w:rPr>
        <w:t xml:space="preserve">towards the end of </w:t>
      </w:r>
      <w:r w:rsidRPr="005F579A">
        <w:rPr>
          <w:spacing w:val="-2"/>
        </w:rPr>
        <w:t>this period. That said, how much the mining sector’s effect on capital deepening is offset by its negative effect on MFP growth is unclear.</w:t>
      </w:r>
      <w:r w:rsidRPr="005F579A">
        <w:rPr>
          <w:rStyle w:val="FootnoteReference"/>
          <w:spacing w:val="-2"/>
        </w:rPr>
        <w:footnoteReference w:id="15"/>
      </w:r>
      <w:r w:rsidRPr="005F579A">
        <w:rPr>
          <w:spacing w:val="-2"/>
        </w:rPr>
        <w:t xml:space="preserve"> </w:t>
      </w:r>
    </w:p>
    <w:p w14:paraId="712B430A" w14:textId="1A96FFEA" w:rsidR="004A75D3" w:rsidRDefault="004A75D3" w:rsidP="004A75D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75D3" w14:paraId="244DCBFC" w14:textId="77777777" w:rsidTr="29E7BBAE">
        <w:trPr>
          <w:tblHeader/>
        </w:trPr>
        <w:tc>
          <w:tcPr>
            <w:tcW w:w="5000" w:type="pct"/>
            <w:tcBorders>
              <w:top w:val="single" w:sz="6" w:space="0" w:color="78A22F" w:themeColor="accent1"/>
              <w:left w:val="nil"/>
              <w:bottom w:val="nil"/>
              <w:right w:val="nil"/>
            </w:tcBorders>
            <w:shd w:val="clear" w:color="auto" w:fill="auto"/>
          </w:tcPr>
          <w:p w14:paraId="23B7D1E4" w14:textId="423F60AF" w:rsidR="004A75D3" w:rsidRPr="005F579A" w:rsidRDefault="004A75D3" w:rsidP="004A75D3">
            <w:pPr>
              <w:pStyle w:val="FigureTitle"/>
              <w:rPr>
                <w:sz w:val="24"/>
                <w:szCs w:val="24"/>
              </w:rPr>
            </w:pPr>
            <w:r w:rsidRPr="005F579A">
              <w:rPr>
                <w:b w:val="0"/>
                <w:sz w:val="24"/>
                <w:szCs w:val="24"/>
              </w:rPr>
              <w:t>Figure 1</w:t>
            </w:r>
            <w:r w:rsidR="00A129C9" w:rsidRPr="005F579A">
              <w:rPr>
                <w:b w:val="0"/>
                <w:sz w:val="24"/>
                <w:szCs w:val="24"/>
              </w:rPr>
              <w:t>6</w:t>
            </w:r>
            <w:r w:rsidRPr="005F579A">
              <w:rPr>
                <w:sz w:val="24"/>
                <w:szCs w:val="24"/>
              </w:rPr>
              <w:tab/>
              <w:t>After a long fall, Australia’s</w:t>
            </w:r>
            <w:r w:rsidR="001F077F" w:rsidRPr="005F579A">
              <w:rPr>
                <w:sz w:val="24"/>
                <w:szCs w:val="24"/>
              </w:rPr>
              <w:t xml:space="preserve"> relative</w:t>
            </w:r>
            <w:r w:rsidRPr="005F579A">
              <w:rPr>
                <w:sz w:val="24"/>
                <w:szCs w:val="24"/>
              </w:rPr>
              <w:t xml:space="preserve"> GDP per capita has risen </w:t>
            </w:r>
            <w:r w:rsidR="00D81CB3" w:rsidRPr="005F579A">
              <w:rPr>
                <w:sz w:val="24"/>
                <w:szCs w:val="24"/>
              </w:rPr>
              <w:t>against</w:t>
            </w:r>
            <w:r w:rsidRPr="005F579A">
              <w:rPr>
                <w:sz w:val="24"/>
                <w:szCs w:val="24"/>
              </w:rPr>
              <w:t xml:space="preserve"> benchmark economies since the 1990s …</w:t>
            </w:r>
          </w:p>
          <w:p w14:paraId="5DFBEA06" w14:textId="77777777" w:rsidR="004A75D3" w:rsidRPr="005F579A" w:rsidRDefault="004A75D3" w:rsidP="004A75D3">
            <w:pPr>
              <w:pStyle w:val="Subtitle"/>
              <w:rPr>
                <w:spacing w:val="-2"/>
              </w:rPr>
            </w:pPr>
            <w:r w:rsidRPr="005F579A">
              <w:rPr>
                <w:spacing w:val="-2"/>
              </w:rPr>
              <w:t>Difference between Australian GDP per capita and the OECD average</w:t>
            </w:r>
            <w:r w:rsidRPr="005F579A">
              <w:rPr>
                <w:rStyle w:val="NoteLabel"/>
                <w:spacing w:val="-2"/>
              </w:rPr>
              <w:t xml:space="preserve">a </w:t>
            </w:r>
            <w:r w:rsidRPr="005F579A">
              <w:rPr>
                <w:spacing w:val="-2"/>
              </w:rPr>
              <w:t>measured using current PPP and constant (2011 USD) PPP</w:t>
            </w:r>
            <w:r w:rsidRPr="005F579A">
              <w:rPr>
                <w:rStyle w:val="NoteLabel"/>
                <w:spacing w:val="-2"/>
              </w:rPr>
              <w:t xml:space="preserve">b </w:t>
            </w:r>
            <w:r w:rsidRPr="005F579A">
              <w:rPr>
                <w:spacing w:val="-2"/>
              </w:rPr>
              <w:t>from 1950 to 2016</w:t>
            </w:r>
          </w:p>
        </w:tc>
      </w:tr>
      <w:tr w:rsidR="004A75D3" w14:paraId="398F9BDB"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A75D3" w:rsidRPr="00B1465D" w14:paraId="646F9742" w14:textId="77777777" w:rsidTr="29E7BBAE">
              <w:trPr>
                <w:tblHeader/>
                <w:jc w:val="center"/>
              </w:trPr>
              <w:tc>
                <w:tcPr>
                  <w:tcW w:w="5000" w:type="pct"/>
                  <w:tcBorders>
                    <w:top w:val="nil"/>
                    <w:bottom w:val="nil"/>
                  </w:tcBorders>
                </w:tcPr>
                <w:p w14:paraId="57975A49" w14:textId="77777777" w:rsidR="004A75D3" w:rsidRPr="00B1465D" w:rsidRDefault="004A75D3" w:rsidP="004A75D3">
                  <w:pPr>
                    <w:pStyle w:val="Figure"/>
                    <w:spacing w:before="60" w:after="60"/>
                    <w:rPr>
                      <w:rFonts w:ascii="Arial" w:hAnsi="Arial" w:cs="Arial"/>
                      <w:sz w:val="18"/>
                      <w:szCs w:val="18"/>
                    </w:rPr>
                  </w:pPr>
                  <w:r w:rsidRPr="002E4732">
                    <w:rPr>
                      <w:rFonts w:ascii="Arial" w:hAnsi="Arial" w:cs="Arial"/>
                      <w:noProof/>
                      <w:sz w:val="18"/>
                      <w:szCs w:val="18"/>
                    </w:rPr>
                    <w:drawing>
                      <wp:inline distT="0" distB="0" distL="0" distR="0" wp14:anchorId="14DB6562" wp14:editId="598988B3">
                        <wp:extent cx="5400675" cy="2876550"/>
                        <wp:effectExtent l="0" t="0" r="9525" b="0"/>
                        <wp:docPr id="51" name="Picture 51" descr="Australia’s GDP per capita declined relative to the OECD average from 1950 to 1990 but recovers after. Current and constant purchasing power parity (PPP) measures of the relative GDP per capita diverge at 2010 with a consistent upwards trend in constant PPP but sharp drop in current 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s GDP per capita declined relative to the OECD average from 1950 to 1990 but recovers after. Current and constant purchasing power parity (PPP) measures of the relative GDP per capita diverge at 2010 with a consistent upwards trend in constant PPP but sharp drop in current PP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280A98AB" w14:textId="77777777" w:rsidR="004A75D3" w:rsidRDefault="004A75D3" w:rsidP="004A75D3">
            <w:pPr>
              <w:pStyle w:val="Figure"/>
            </w:pPr>
          </w:p>
        </w:tc>
      </w:tr>
      <w:tr w:rsidR="004A75D3" w:rsidRPr="00176D3F" w14:paraId="1F6FDF47" w14:textId="77777777" w:rsidTr="29E7BBAE">
        <w:tc>
          <w:tcPr>
            <w:tcW w:w="5000" w:type="pct"/>
            <w:tcBorders>
              <w:top w:val="nil"/>
              <w:left w:val="nil"/>
              <w:bottom w:val="nil"/>
              <w:right w:val="nil"/>
            </w:tcBorders>
            <w:shd w:val="clear" w:color="auto" w:fill="auto"/>
          </w:tcPr>
          <w:p w14:paraId="555B0230" w14:textId="4C47E3DA" w:rsidR="004A75D3" w:rsidRPr="00DC6B89" w:rsidRDefault="004A75D3" w:rsidP="004A75D3">
            <w:pPr>
              <w:pStyle w:val="Note"/>
              <w:rPr>
                <w:spacing w:val="-4"/>
              </w:rPr>
            </w:pPr>
            <w:r w:rsidRPr="00DC6B89">
              <w:rPr>
                <w:rStyle w:val="NoteLabel"/>
                <w:spacing w:val="-4"/>
              </w:rPr>
              <w:t>a</w:t>
            </w:r>
            <w:r w:rsidRPr="00DC6B89">
              <w:rPr>
                <w:spacing w:val="-4"/>
              </w:rPr>
              <w:t xml:space="preserve"> The 24 longest standing members of the OECD were used for comparability over time. </w:t>
            </w:r>
            <w:r w:rsidRPr="00DC6B89">
              <w:rPr>
                <w:rStyle w:val="NoteLabel"/>
                <w:spacing w:val="-4"/>
              </w:rPr>
              <w:t>b</w:t>
            </w:r>
            <w:r w:rsidRPr="00DC6B89">
              <w:rPr>
                <w:spacing w:val="-4"/>
              </w:rPr>
              <w:t xml:space="preserve"> The gap between constant and current PPP measures of GDP per capita give a proxy for the effect of the terms of trade as well as the role of domestic prices. So for example, the narrowing of the difference between the two measures around 2010 shows Australia’s significant </w:t>
            </w:r>
            <w:r w:rsidR="000476E7" w:rsidRPr="00DC6B89">
              <w:rPr>
                <w:spacing w:val="-4"/>
              </w:rPr>
              <w:t>improvement in the</w:t>
            </w:r>
            <w:r w:rsidRPr="00DC6B89">
              <w:rPr>
                <w:spacing w:val="-4"/>
              </w:rPr>
              <w:t xml:space="preserve"> terms of trade </w:t>
            </w:r>
            <w:r w:rsidR="000476E7" w:rsidRPr="00DC6B89">
              <w:rPr>
                <w:spacing w:val="-4"/>
              </w:rPr>
              <w:t>around</w:t>
            </w:r>
            <w:r w:rsidRPr="00DC6B89">
              <w:rPr>
                <w:spacing w:val="-4"/>
              </w:rPr>
              <w:t xml:space="preserve"> this time (and its subsequent fall).</w:t>
            </w:r>
          </w:p>
        </w:tc>
      </w:tr>
      <w:tr w:rsidR="004A75D3" w:rsidRPr="00176D3F" w14:paraId="15A664AF" w14:textId="77777777" w:rsidTr="29E7BBAE">
        <w:tc>
          <w:tcPr>
            <w:tcW w:w="5000" w:type="pct"/>
            <w:tcBorders>
              <w:top w:val="nil"/>
              <w:left w:val="nil"/>
              <w:bottom w:val="nil"/>
              <w:right w:val="nil"/>
            </w:tcBorders>
            <w:shd w:val="clear" w:color="auto" w:fill="auto"/>
          </w:tcPr>
          <w:p w14:paraId="21D57997" w14:textId="0E6F2AD6" w:rsidR="004A75D3" w:rsidRPr="00176D3F" w:rsidRDefault="004A75D3" w:rsidP="005F579A">
            <w:pPr>
              <w:pStyle w:val="Source"/>
              <w:spacing w:after="0"/>
            </w:pPr>
            <w:r>
              <w:rPr>
                <w:i/>
              </w:rPr>
              <w:t>S</w:t>
            </w:r>
            <w:r w:rsidRPr="00784A05">
              <w:rPr>
                <w:i/>
              </w:rPr>
              <w:t>ource</w:t>
            </w:r>
            <w:r w:rsidRPr="00176D3F">
              <w:t xml:space="preserve">: </w:t>
            </w:r>
            <w:r>
              <w:t>Bolt et al..</w:t>
            </w:r>
          </w:p>
        </w:tc>
      </w:tr>
      <w:tr w:rsidR="004A75D3" w14:paraId="3357DBB5" w14:textId="77777777" w:rsidTr="29E7BBAE">
        <w:tc>
          <w:tcPr>
            <w:tcW w:w="5000" w:type="pct"/>
            <w:tcBorders>
              <w:top w:val="nil"/>
              <w:left w:val="nil"/>
              <w:bottom w:val="single" w:sz="6" w:space="0" w:color="78A22F" w:themeColor="accent1"/>
              <w:right w:val="nil"/>
            </w:tcBorders>
            <w:shd w:val="clear" w:color="auto" w:fill="auto"/>
          </w:tcPr>
          <w:p w14:paraId="2B714459" w14:textId="77777777" w:rsidR="004A75D3" w:rsidRDefault="004A75D3" w:rsidP="004A75D3">
            <w:pPr>
              <w:pStyle w:val="Figurespace"/>
            </w:pPr>
          </w:p>
        </w:tc>
      </w:tr>
      <w:tr w:rsidR="004A75D3" w:rsidRPr="000863A5" w14:paraId="750A71C6" w14:textId="77777777" w:rsidTr="29E7BBAE">
        <w:tc>
          <w:tcPr>
            <w:tcW w:w="5000" w:type="pct"/>
            <w:tcBorders>
              <w:top w:val="single" w:sz="6" w:space="0" w:color="78A22F" w:themeColor="accent1"/>
              <w:left w:val="nil"/>
              <w:bottom w:val="nil"/>
              <w:right w:val="nil"/>
            </w:tcBorders>
          </w:tcPr>
          <w:p w14:paraId="4C946C45" w14:textId="2DE47F16" w:rsidR="004A75D3" w:rsidRPr="00626D32" w:rsidRDefault="004A75D3" w:rsidP="004A75D3">
            <w:pPr>
              <w:pStyle w:val="BoxSpaceBelow"/>
            </w:pPr>
          </w:p>
        </w:tc>
      </w:tr>
    </w:tbl>
    <w:p w14:paraId="2CBBA98C" w14:textId="50B8A4CB" w:rsidR="004A75D3" w:rsidRDefault="004A75D3" w:rsidP="004A75D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75D3" w14:paraId="4DC5A8FB" w14:textId="77777777" w:rsidTr="29E7BBAE">
        <w:trPr>
          <w:tblHeader/>
        </w:trPr>
        <w:tc>
          <w:tcPr>
            <w:tcW w:w="5000" w:type="pct"/>
            <w:tcBorders>
              <w:top w:val="single" w:sz="6" w:space="0" w:color="78A22F" w:themeColor="accent1"/>
              <w:left w:val="nil"/>
              <w:bottom w:val="nil"/>
              <w:right w:val="nil"/>
            </w:tcBorders>
            <w:shd w:val="clear" w:color="auto" w:fill="auto"/>
          </w:tcPr>
          <w:p w14:paraId="36643A00" w14:textId="6AD23D8C" w:rsidR="004A75D3" w:rsidRPr="005F579A" w:rsidRDefault="004A75D3" w:rsidP="004A75D3">
            <w:pPr>
              <w:pStyle w:val="FigureTitle"/>
              <w:rPr>
                <w:sz w:val="24"/>
                <w:szCs w:val="24"/>
              </w:rPr>
            </w:pPr>
            <w:r w:rsidRPr="005F579A">
              <w:rPr>
                <w:b w:val="0"/>
                <w:sz w:val="24"/>
                <w:szCs w:val="24"/>
              </w:rPr>
              <w:t>Figure 1</w:t>
            </w:r>
            <w:r w:rsidR="00A129C9" w:rsidRPr="005F579A">
              <w:rPr>
                <w:b w:val="0"/>
                <w:sz w:val="24"/>
                <w:szCs w:val="24"/>
              </w:rPr>
              <w:t>7</w:t>
            </w:r>
            <w:r w:rsidRPr="005F579A">
              <w:rPr>
                <w:sz w:val="24"/>
                <w:szCs w:val="24"/>
              </w:rPr>
              <w:tab/>
              <w:t xml:space="preserve">… due to </w:t>
            </w:r>
            <w:r w:rsidR="00D72125" w:rsidRPr="005F579A">
              <w:rPr>
                <w:sz w:val="24"/>
                <w:szCs w:val="24"/>
              </w:rPr>
              <w:t xml:space="preserve">favourable </w:t>
            </w:r>
            <w:r w:rsidR="00605B58" w:rsidRPr="005F579A">
              <w:rPr>
                <w:sz w:val="24"/>
                <w:szCs w:val="24"/>
              </w:rPr>
              <w:t>price effects</w:t>
            </w:r>
            <w:r w:rsidRPr="005F579A">
              <w:rPr>
                <w:sz w:val="24"/>
                <w:szCs w:val="24"/>
              </w:rPr>
              <w:t>, capital deepening, labour utilisation and productivity growth</w:t>
            </w:r>
          </w:p>
          <w:p w14:paraId="3E11D92F" w14:textId="07629664" w:rsidR="004A75D3" w:rsidRPr="00176D3F" w:rsidRDefault="004A75D3" w:rsidP="004A75D3">
            <w:pPr>
              <w:pStyle w:val="Subtitle"/>
            </w:pPr>
            <w:r>
              <w:t xml:space="preserve">Growth in real GDP per capita (current PPP) and the </w:t>
            </w:r>
            <w:r w:rsidR="00D265A1">
              <w:t>per capita</w:t>
            </w:r>
            <w:r w:rsidR="005718AB">
              <w:t xml:space="preserve"> </w:t>
            </w:r>
            <w:r>
              <w:t xml:space="preserve">contribution from its components: </w:t>
            </w:r>
            <w:r w:rsidR="00246803">
              <w:t>price effects</w:t>
            </w:r>
            <w:r>
              <w:t>, capital-deepening, labour utilisation and MFP</w:t>
            </w:r>
            <w:r w:rsidRPr="002B2D75">
              <w:rPr>
                <w:rStyle w:val="NoteLabel"/>
              </w:rPr>
              <w:t>a</w:t>
            </w:r>
            <w:r>
              <w:rPr>
                <w:rStyle w:val="NoteLabel"/>
              </w:rPr>
              <w:t xml:space="preserve"> </w:t>
            </w:r>
            <w:r w:rsidRPr="00A92634">
              <w:rPr>
                <w:bCs/>
              </w:rPr>
              <w:t>between 1990 and 2017</w:t>
            </w:r>
          </w:p>
        </w:tc>
      </w:tr>
      <w:tr w:rsidR="004A75D3" w14:paraId="74D01B57"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A75D3" w:rsidRPr="00B1465D" w14:paraId="4DC1CC4F" w14:textId="77777777" w:rsidTr="29E7BBAE">
              <w:trPr>
                <w:tblHeader/>
                <w:jc w:val="center"/>
              </w:trPr>
              <w:tc>
                <w:tcPr>
                  <w:tcW w:w="5000" w:type="pct"/>
                  <w:tcBorders>
                    <w:top w:val="nil"/>
                    <w:bottom w:val="nil"/>
                  </w:tcBorders>
                </w:tcPr>
                <w:p w14:paraId="32F074E9" w14:textId="508C10C4" w:rsidR="004A75D3" w:rsidRPr="00B1465D" w:rsidRDefault="00C47003" w:rsidP="0021235D">
                  <w:pPr>
                    <w:pStyle w:val="Figure"/>
                    <w:spacing w:before="0" w:after="0"/>
                    <w:rPr>
                      <w:rFonts w:ascii="Arial" w:hAnsi="Arial" w:cs="Arial"/>
                      <w:sz w:val="18"/>
                      <w:szCs w:val="18"/>
                    </w:rPr>
                  </w:pPr>
                  <w:r>
                    <w:rPr>
                      <w:rFonts w:ascii="Arial" w:hAnsi="Arial" w:cs="Arial"/>
                      <w:sz w:val="18"/>
                      <w:szCs w:val="18"/>
                    </w:rPr>
                    <w:t xml:space="preserve"> </w:t>
                  </w:r>
                  <w:r w:rsidRPr="00C47003">
                    <w:rPr>
                      <w:rFonts w:ascii="Arial" w:hAnsi="Arial" w:cs="Arial"/>
                      <w:noProof/>
                      <w:sz w:val="18"/>
                      <w:szCs w:val="18"/>
                    </w:rPr>
                    <w:drawing>
                      <wp:inline distT="0" distB="0" distL="0" distR="0" wp14:anchorId="17513135" wp14:editId="7A6A916A">
                        <wp:extent cx="5200650" cy="2876550"/>
                        <wp:effectExtent l="0" t="0" r="0" b="0"/>
                        <wp:docPr id="8" name="Picture 8" descr="This chart shows the GDP per capita growth between 1990 and 2017 for a range of countries and breaks down this growth into contributions from price effects, labour utilisation, capital deepening and MFP. Australia shows the largest growth in GDP per capita growth when compared to the UK, Germany, France, US, Canada, Italy, and Japan. Most countries’ GDP per capita growth is attributable to MFP growth and capital deepening however Australia is unique due meaningful contribution from labour utilisation. GDP per capita growth attributable to price effects are mixed across countries with Australia having positive price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chart shows the GDP per capita growth between 1990 and 2017 for a range of countries and breaks down this growth into contributions from price effects, labour utilisation, capital deepening and MFP. Australia shows the largest growth in GDP per capita growth when compared to the UK, Germany, France, US, Canada, Italy, and Japan. Most countries’ GDP per capita growth is attributable to MFP growth and capital deepening however Australia is unique due meaningful contribution from labour utilisation. GDP per capita growth attributable to price effects are mixed across countries with Australia having positive price effect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00650" cy="2876550"/>
                                </a:xfrm>
                                <a:prstGeom prst="rect">
                                  <a:avLst/>
                                </a:prstGeom>
                                <a:noFill/>
                                <a:ln>
                                  <a:noFill/>
                                </a:ln>
                              </pic:spPr>
                            </pic:pic>
                          </a:graphicData>
                        </a:graphic>
                      </wp:inline>
                    </w:drawing>
                  </w:r>
                </w:p>
              </w:tc>
            </w:tr>
          </w:tbl>
          <w:p w14:paraId="1EC7DF59" w14:textId="77777777" w:rsidR="004A75D3" w:rsidRDefault="004A75D3" w:rsidP="004A75D3">
            <w:pPr>
              <w:pStyle w:val="Figure"/>
            </w:pPr>
          </w:p>
        </w:tc>
      </w:tr>
      <w:tr w:rsidR="004A75D3" w:rsidRPr="00176D3F" w14:paraId="5170AD30" w14:textId="77777777" w:rsidTr="29E7BBAE">
        <w:tc>
          <w:tcPr>
            <w:tcW w:w="5000" w:type="pct"/>
            <w:tcBorders>
              <w:top w:val="nil"/>
              <w:left w:val="nil"/>
              <w:bottom w:val="nil"/>
              <w:right w:val="nil"/>
            </w:tcBorders>
            <w:shd w:val="clear" w:color="auto" w:fill="auto"/>
          </w:tcPr>
          <w:p w14:paraId="6EB5D9C8" w14:textId="1384A2F7" w:rsidR="004A75D3" w:rsidRPr="00176D3F" w:rsidRDefault="004A75D3" w:rsidP="004A75D3">
            <w:pPr>
              <w:pStyle w:val="Note"/>
            </w:pPr>
            <w:r>
              <w:rPr>
                <w:rStyle w:val="NoteLabel"/>
              </w:rPr>
              <w:t>a</w:t>
            </w:r>
            <w:r>
              <w:t xml:space="preserve"> The </w:t>
            </w:r>
            <w:r w:rsidR="006D3FB8">
              <w:t>price</w:t>
            </w:r>
            <w:r>
              <w:t xml:space="preserve"> effect</w:t>
            </w:r>
            <w:r w:rsidR="006D3FB8">
              <w:t>s</w:t>
            </w:r>
            <w:r>
              <w:t xml:space="preserve"> </w:t>
            </w:r>
            <w:r w:rsidR="006D3FB8">
              <w:t>are</w:t>
            </w:r>
            <w:r>
              <w:t xml:space="preserve"> approximated by the differen</w:t>
            </w:r>
            <w:r w:rsidR="00D265A1">
              <w:t>ce</w:t>
            </w:r>
            <w:r>
              <w:t xml:space="preserve"> in growth in real GDP per capita measured in current and constant PPP terms respectively. Note this estimation of the terms of trade effect only has meaning when making comparisons across countries, unlike other measures such as real domestic income, which have an interpretation independent of any cross</w:t>
            </w:r>
            <w:r>
              <w:noBreakHyphen/>
              <w:t xml:space="preserve">country comparison. </w:t>
            </w:r>
            <w:r w:rsidRPr="001D109B">
              <w:t xml:space="preserve">Capital </w:t>
            </w:r>
            <w:r>
              <w:t>deepening is the difference between growth in labour productivity and MFP. Labour utilisation is the difference between growth in GDP per capita (constant PPP) and labour productivity.</w:t>
            </w:r>
          </w:p>
        </w:tc>
      </w:tr>
      <w:tr w:rsidR="004A75D3" w:rsidRPr="00176D3F" w14:paraId="229C2227" w14:textId="77777777" w:rsidTr="29E7BBAE">
        <w:tc>
          <w:tcPr>
            <w:tcW w:w="5000" w:type="pct"/>
            <w:tcBorders>
              <w:top w:val="nil"/>
              <w:left w:val="nil"/>
              <w:bottom w:val="nil"/>
              <w:right w:val="nil"/>
            </w:tcBorders>
            <w:shd w:val="clear" w:color="auto" w:fill="auto"/>
          </w:tcPr>
          <w:p w14:paraId="6AB0FB0D" w14:textId="77777777" w:rsidR="004A75D3" w:rsidRPr="00176D3F" w:rsidRDefault="004A75D3" w:rsidP="005F579A">
            <w:pPr>
              <w:pStyle w:val="Source"/>
              <w:spacing w:after="0"/>
            </w:pPr>
            <w:r>
              <w:rPr>
                <w:i/>
              </w:rPr>
              <w:t>S</w:t>
            </w:r>
            <w:r w:rsidRPr="00784A05">
              <w:rPr>
                <w:i/>
              </w:rPr>
              <w:t>ource</w:t>
            </w:r>
            <w:r w:rsidRPr="00176D3F">
              <w:t xml:space="preserve">: </w:t>
            </w:r>
            <w:r>
              <w:t>OECD STAT database.</w:t>
            </w:r>
          </w:p>
        </w:tc>
      </w:tr>
      <w:tr w:rsidR="004A75D3" w14:paraId="031D66A2" w14:textId="77777777" w:rsidTr="29E7BBAE">
        <w:tc>
          <w:tcPr>
            <w:tcW w:w="5000" w:type="pct"/>
            <w:tcBorders>
              <w:top w:val="nil"/>
              <w:left w:val="nil"/>
              <w:bottom w:val="single" w:sz="6" w:space="0" w:color="78A22F" w:themeColor="accent1"/>
              <w:right w:val="nil"/>
            </w:tcBorders>
            <w:shd w:val="clear" w:color="auto" w:fill="auto"/>
          </w:tcPr>
          <w:p w14:paraId="5AD6F261" w14:textId="77777777" w:rsidR="004A75D3" w:rsidRDefault="004A75D3" w:rsidP="004A75D3">
            <w:pPr>
              <w:pStyle w:val="Figurespace"/>
            </w:pPr>
          </w:p>
        </w:tc>
      </w:tr>
      <w:tr w:rsidR="004A75D3" w:rsidRPr="000863A5" w14:paraId="3374E24C" w14:textId="77777777" w:rsidTr="29E7BBAE">
        <w:tc>
          <w:tcPr>
            <w:tcW w:w="5000" w:type="pct"/>
            <w:tcBorders>
              <w:top w:val="single" w:sz="6" w:space="0" w:color="78A22F" w:themeColor="accent1"/>
              <w:left w:val="nil"/>
              <w:bottom w:val="nil"/>
              <w:right w:val="nil"/>
            </w:tcBorders>
          </w:tcPr>
          <w:p w14:paraId="19F6FDD7" w14:textId="5696D0E4" w:rsidR="004A75D3" w:rsidRPr="00626D32" w:rsidRDefault="004A75D3" w:rsidP="004A75D3">
            <w:pPr>
              <w:pStyle w:val="BoxSpaceBelow"/>
            </w:pPr>
          </w:p>
        </w:tc>
      </w:tr>
    </w:tbl>
    <w:p w14:paraId="261A4924" w14:textId="0167C8D6" w:rsidR="00256048" w:rsidRDefault="00782BF3" w:rsidP="0021235D">
      <w:pPr>
        <w:pStyle w:val="Heading2"/>
      </w:pPr>
      <w:bookmarkStart w:id="13" w:name="_Toc56080375"/>
      <w:r>
        <w:rPr>
          <w:noProof/>
        </w:rPr>
        <w:t>5</w:t>
      </w:r>
      <w:r w:rsidR="00256048">
        <w:tab/>
      </w:r>
      <w:r w:rsidR="005E4587">
        <w:t>The role of policy in Australia’s shifting fortunes</w:t>
      </w:r>
      <w:bookmarkEnd w:id="13"/>
    </w:p>
    <w:p w14:paraId="5974A126" w14:textId="2AAD9B65" w:rsidR="002B3DAD" w:rsidRPr="0021235D" w:rsidRDefault="00E13D7D" w:rsidP="00E970DB">
      <w:pPr>
        <w:pStyle w:val="BodyText"/>
        <w:rPr>
          <w:spacing w:val="-4"/>
        </w:rPr>
      </w:pPr>
      <w:r w:rsidRPr="0021235D">
        <w:rPr>
          <w:spacing w:val="-4"/>
        </w:rPr>
        <w:t>As the preceding discussion shows, Australia’s economic performance has been influenced by innate factors and impacted at vari</w:t>
      </w:r>
      <w:r w:rsidR="0021235D">
        <w:rPr>
          <w:spacing w:val="-4"/>
        </w:rPr>
        <w:t xml:space="preserve">ous points by external events. </w:t>
      </w:r>
      <w:r w:rsidRPr="0021235D">
        <w:rPr>
          <w:spacing w:val="-4"/>
        </w:rPr>
        <w:t xml:space="preserve">But policy also plays a role. Government </w:t>
      </w:r>
      <w:r w:rsidR="00FD47F1" w:rsidRPr="0021235D">
        <w:rPr>
          <w:spacing w:val="-4"/>
        </w:rPr>
        <w:t xml:space="preserve">policy </w:t>
      </w:r>
      <w:r w:rsidR="00A54ED0" w:rsidRPr="0021235D">
        <w:rPr>
          <w:spacing w:val="-4"/>
        </w:rPr>
        <w:t xml:space="preserve">can either aid or hinder the adaption </w:t>
      </w:r>
      <w:r w:rsidR="00B71C07" w:rsidRPr="0021235D">
        <w:rPr>
          <w:spacing w:val="-4"/>
        </w:rPr>
        <w:t xml:space="preserve">of </w:t>
      </w:r>
      <w:r w:rsidR="00BE3B7A" w:rsidRPr="0021235D">
        <w:rPr>
          <w:spacing w:val="-4"/>
        </w:rPr>
        <w:t>households and businesses to a</w:t>
      </w:r>
      <w:r w:rsidR="008E298B" w:rsidRPr="0021235D">
        <w:rPr>
          <w:spacing w:val="-4"/>
        </w:rPr>
        <w:t xml:space="preserve"> constantly</w:t>
      </w:r>
      <w:r w:rsidR="00BE3B7A" w:rsidRPr="0021235D">
        <w:rPr>
          <w:spacing w:val="-4"/>
        </w:rPr>
        <w:t xml:space="preserve"> changing economic environment. </w:t>
      </w:r>
      <w:r w:rsidR="00D14A3D" w:rsidRPr="0021235D">
        <w:rPr>
          <w:spacing w:val="-4"/>
        </w:rPr>
        <w:t>For example, although governments cannot (significant</w:t>
      </w:r>
      <w:r w:rsidR="00E95166" w:rsidRPr="0021235D">
        <w:rPr>
          <w:spacing w:val="-4"/>
        </w:rPr>
        <w:t>ly</w:t>
      </w:r>
      <w:r w:rsidR="00D14A3D" w:rsidRPr="0021235D">
        <w:rPr>
          <w:spacing w:val="-4"/>
        </w:rPr>
        <w:t xml:space="preserve">) </w:t>
      </w:r>
      <w:r w:rsidR="003F28E4" w:rsidRPr="0021235D">
        <w:rPr>
          <w:spacing w:val="-4"/>
        </w:rPr>
        <w:t>a</w:t>
      </w:r>
      <w:r w:rsidR="00D14A3D" w:rsidRPr="0021235D">
        <w:rPr>
          <w:spacing w:val="-4"/>
        </w:rPr>
        <w:t>ffect the</w:t>
      </w:r>
      <w:r w:rsidR="00D755C6" w:rsidRPr="0021235D">
        <w:rPr>
          <w:spacing w:val="-4"/>
        </w:rPr>
        <w:t xml:space="preserve"> price of iron ore in the </w:t>
      </w:r>
      <w:r w:rsidR="003F28E4" w:rsidRPr="0021235D">
        <w:rPr>
          <w:spacing w:val="-4"/>
        </w:rPr>
        <w:t>global market, they can affect</w:t>
      </w:r>
      <w:r w:rsidR="00D14A3D" w:rsidRPr="0021235D">
        <w:rPr>
          <w:spacing w:val="-4"/>
        </w:rPr>
        <w:t xml:space="preserve"> </w:t>
      </w:r>
      <w:r w:rsidR="006937D5" w:rsidRPr="0021235D">
        <w:rPr>
          <w:spacing w:val="-4"/>
        </w:rPr>
        <w:t xml:space="preserve">the </w:t>
      </w:r>
      <w:r w:rsidR="00D14A3D" w:rsidRPr="0021235D">
        <w:rPr>
          <w:spacing w:val="-4"/>
        </w:rPr>
        <w:t>ability of the economy to respond</w:t>
      </w:r>
      <w:r w:rsidR="00BD32FB" w:rsidRPr="0021235D">
        <w:rPr>
          <w:spacing w:val="-4"/>
        </w:rPr>
        <w:t xml:space="preserve"> to</w:t>
      </w:r>
      <w:r w:rsidR="00D14A3D" w:rsidRPr="0021235D">
        <w:rPr>
          <w:spacing w:val="-4"/>
        </w:rPr>
        <w:t xml:space="preserve"> </w:t>
      </w:r>
      <w:r w:rsidR="003F28E4" w:rsidRPr="0021235D">
        <w:rPr>
          <w:spacing w:val="-4"/>
        </w:rPr>
        <w:t xml:space="preserve">changes in these prices. </w:t>
      </w:r>
      <w:r w:rsidR="00F10452" w:rsidRPr="0021235D">
        <w:rPr>
          <w:spacing w:val="-4"/>
        </w:rPr>
        <w:t>That is, they</w:t>
      </w:r>
      <w:r w:rsidR="00F10452" w:rsidRPr="0021235D" w:rsidDel="00703B06">
        <w:rPr>
          <w:spacing w:val="-4"/>
        </w:rPr>
        <w:t xml:space="preserve"> </w:t>
      </w:r>
      <w:r w:rsidR="00703B06" w:rsidRPr="0021235D">
        <w:rPr>
          <w:spacing w:val="-4"/>
        </w:rPr>
        <w:t>help create settings that</w:t>
      </w:r>
      <w:r w:rsidR="00F10452" w:rsidRPr="0021235D">
        <w:rPr>
          <w:spacing w:val="-4"/>
        </w:rPr>
        <w:t xml:space="preserve"> enable </w:t>
      </w:r>
      <w:r w:rsidR="000B3CFD" w:rsidRPr="0021235D">
        <w:rPr>
          <w:spacing w:val="-4"/>
        </w:rPr>
        <w:t>capital and labour to flow</w:t>
      </w:r>
      <w:r w:rsidR="00BD32FB" w:rsidRPr="0021235D">
        <w:rPr>
          <w:spacing w:val="-4"/>
        </w:rPr>
        <w:t xml:space="preserve"> </w:t>
      </w:r>
      <w:r w:rsidR="000B3CFD" w:rsidRPr="0021235D">
        <w:rPr>
          <w:spacing w:val="-4"/>
        </w:rPr>
        <w:t>in and out of the mining sector</w:t>
      </w:r>
      <w:r w:rsidR="00EF7026" w:rsidRPr="0021235D">
        <w:rPr>
          <w:spacing w:val="-4"/>
        </w:rPr>
        <w:t xml:space="preserve"> with minimal detriment to individuals</w:t>
      </w:r>
      <w:r w:rsidR="000B3CFD" w:rsidRPr="0021235D">
        <w:rPr>
          <w:spacing w:val="-4"/>
        </w:rPr>
        <w:t xml:space="preserve"> </w:t>
      </w:r>
      <w:r w:rsidR="00E42C25" w:rsidRPr="0021235D">
        <w:rPr>
          <w:spacing w:val="-4"/>
        </w:rPr>
        <w:t xml:space="preserve">by </w:t>
      </w:r>
      <w:r w:rsidR="00D455B7" w:rsidRPr="0021235D">
        <w:rPr>
          <w:spacing w:val="-4"/>
        </w:rPr>
        <w:t>enforcing</w:t>
      </w:r>
      <w:r w:rsidR="00C3490E" w:rsidRPr="0021235D">
        <w:rPr>
          <w:spacing w:val="-4"/>
        </w:rPr>
        <w:t xml:space="preserve"> rule of law, </w:t>
      </w:r>
      <w:r w:rsidR="00D455B7" w:rsidRPr="0021235D">
        <w:rPr>
          <w:spacing w:val="-4"/>
        </w:rPr>
        <w:t xml:space="preserve">properly regulating capital markets, maintaining efficient </w:t>
      </w:r>
      <w:r w:rsidR="00D455B7" w:rsidRPr="0021235D">
        <w:rPr>
          <w:spacing w:val="-4"/>
        </w:rPr>
        <w:lastRenderedPageBreak/>
        <w:t xml:space="preserve">infrastructure, </w:t>
      </w:r>
      <w:r w:rsidR="00E7392B" w:rsidRPr="0021235D">
        <w:rPr>
          <w:spacing w:val="-4"/>
        </w:rPr>
        <w:t>funding and regulating education,</w:t>
      </w:r>
      <w:r w:rsidR="005E22DF" w:rsidRPr="0021235D">
        <w:rPr>
          <w:spacing w:val="-4"/>
        </w:rPr>
        <w:t xml:space="preserve"> and providing a safety net for the most </w:t>
      </w:r>
      <w:r w:rsidR="00E7392B" w:rsidRPr="0021235D">
        <w:rPr>
          <w:spacing w:val="-4"/>
        </w:rPr>
        <w:t>vulnerable in society.</w:t>
      </w:r>
      <w:r w:rsidR="008738BF" w:rsidRPr="0021235D">
        <w:rPr>
          <w:rStyle w:val="FootnoteReference"/>
          <w:spacing w:val="-4"/>
        </w:rPr>
        <w:footnoteReference w:id="16"/>
      </w:r>
      <w:r w:rsidR="00E7392B" w:rsidRPr="0021235D">
        <w:rPr>
          <w:spacing w:val="-4"/>
        </w:rPr>
        <w:t xml:space="preserve"> </w:t>
      </w:r>
    </w:p>
    <w:p w14:paraId="6A571C0C" w14:textId="792EEB36" w:rsidR="008555F2" w:rsidRDefault="008555F2" w:rsidP="00E970DB">
      <w:pPr>
        <w:pStyle w:val="BodyText"/>
      </w:pPr>
      <w:r>
        <w:t xml:space="preserve">In this section, we </w:t>
      </w:r>
      <w:r w:rsidR="00052B79">
        <w:t>consider</w:t>
      </w:r>
      <w:r>
        <w:t xml:space="preserve"> two case studies in how policymakers </w:t>
      </w:r>
      <w:r w:rsidR="003160BA">
        <w:t>respond to</w:t>
      </w:r>
      <w:r>
        <w:t xml:space="preserve"> </w:t>
      </w:r>
      <w:r w:rsidR="00923535">
        <w:t>economic challenges. In the first case,</w:t>
      </w:r>
      <w:r w:rsidR="00C079F2">
        <w:t xml:space="preserve"> Australian policymakers reduced the openness and competitiveness of Australia </w:t>
      </w:r>
      <w:r w:rsidR="001747A9">
        <w:t xml:space="preserve">in part due to the perceived instability of international economic conditions at the time. This ultimately proved a </w:t>
      </w:r>
      <w:r w:rsidR="005E22DF">
        <w:t>hindrance</w:t>
      </w:r>
      <w:r w:rsidR="001747A9">
        <w:t xml:space="preserve"> to productivity </w:t>
      </w:r>
      <w:r w:rsidR="00DC6D88">
        <w:t>performance</w:t>
      </w:r>
      <w:r w:rsidR="00AE5202">
        <w:t xml:space="preserve"> and living standards</w:t>
      </w:r>
      <w:r w:rsidR="00DC6D88">
        <w:t xml:space="preserve">. In the second case, a piecemeal response to the poor economic conditions of the </w:t>
      </w:r>
      <w:r w:rsidR="000C3E10">
        <w:t>19</w:t>
      </w:r>
      <w:r w:rsidR="000931FA">
        <w:t>70s</w:t>
      </w:r>
      <w:r w:rsidR="00791445">
        <w:t xml:space="preserve"> (which themselves were exacerbated by policy</w:t>
      </w:r>
      <w:r w:rsidR="00054884">
        <w:t>)</w:t>
      </w:r>
      <w:r w:rsidR="00791445">
        <w:rPr>
          <w:rStyle w:val="FootnoteReference"/>
        </w:rPr>
        <w:footnoteReference w:id="17"/>
      </w:r>
      <w:r w:rsidR="00DC6D88">
        <w:t xml:space="preserve"> culminated in </w:t>
      </w:r>
      <w:r w:rsidR="00AE1AB4">
        <w:t xml:space="preserve">an opening up of markets to competition (both domestic and </w:t>
      </w:r>
      <w:r w:rsidR="003D1482">
        <w:t>international</w:t>
      </w:r>
      <w:r w:rsidR="00AE1AB4">
        <w:t xml:space="preserve">) </w:t>
      </w:r>
      <w:r w:rsidR="00BB265A">
        <w:t xml:space="preserve">and </w:t>
      </w:r>
      <w:r w:rsidR="003D1482">
        <w:t>minimising the distortion caused by domestic policy</w:t>
      </w:r>
      <w:r w:rsidR="00A238C5">
        <w:t xml:space="preserve">. </w:t>
      </w:r>
      <w:r w:rsidR="00054884">
        <w:t>These</w:t>
      </w:r>
      <w:r w:rsidR="003D1482">
        <w:t xml:space="preserve"> case studies illustrate that policy responses to turbulence can put an economy on very different paths</w:t>
      </w:r>
      <w:r w:rsidR="003D1482" w:rsidDel="003D1482">
        <w:t xml:space="preserve"> </w:t>
      </w:r>
    </w:p>
    <w:p w14:paraId="2ADBF21F" w14:textId="77777777" w:rsidR="008D0E4B" w:rsidRPr="005F579A" w:rsidRDefault="002A73BD" w:rsidP="008D0E4B">
      <w:pPr>
        <w:pStyle w:val="Heading3"/>
        <w:rPr>
          <w:rFonts w:ascii="Arial Bold" w:hAnsi="Arial Bold"/>
          <w:spacing w:val="-4"/>
        </w:rPr>
      </w:pPr>
      <w:r w:rsidRPr="005F579A">
        <w:rPr>
          <w:rFonts w:ascii="Arial Bold" w:hAnsi="Arial Bold"/>
          <w:spacing w:val="-4"/>
        </w:rPr>
        <w:t>A head start forfeited</w:t>
      </w:r>
      <w:r w:rsidR="00CA3292" w:rsidRPr="005F579A">
        <w:rPr>
          <w:rFonts w:ascii="Arial Bold" w:hAnsi="Arial Bold"/>
          <w:spacing w:val="-4"/>
        </w:rPr>
        <w:t xml:space="preserve">: </w:t>
      </w:r>
      <w:r w:rsidR="00132F4B" w:rsidRPr="005F579A">
        <w:rPr>
          <w:rFonts w:ascii="Arial Bold" w:hAnsi="Arial Bold"/>
          <w:spacing w:val="-4"/>
        </w:rPr>
        <w:t>policy and Australia’s fall down the income ladder</w:t>
      </w:r>
    </w:p>
    <w:p w14:paraId="52E4491B" w14:textId="77777777" w:rsidR="002A73BD" w:rsidRDefault="00430276" w:rsidP="00243C30">
      <w:pPr>
        <w:pStyle w:val="BodyText"/>
      </w:pPr>
      <w:r>
        <w:t>As discussed above,</w:t>
      </w:r>
      <w:r w:rsidR="007C3863">
        <w:t xml:space="preserve"> part of</w:t>
      </w:r>
      <w:r>
        <w:t xml:space="preserve"> </w:t>
      </w:r>
      <w:r w:rsidR="002A73BD">
        <w:t xml:space="preserve">Australia’s </w:t>
      </w:r>
      <w:r w:rsidR="00243C89">
        <w:t xml:space="preserve">slide down the world rankings </w:t>
      </w:r>
      <w:r w:rsidR="00C52571">
        <w:t>for</w:t>
      </w:r>
      <w:r w:rsidR="00243C89">
        <w:t xml:space="preserve"> </w:t>
      </w:r>
      <w:r w:rsidR="002A73BD">
        <w:t xml:space="preserve">per capita income </w:t>
      </w:r>
      <w:r w:rsidR="007C3863">
        <w:t xml:space="preserve">after 1890 </w:t>
      </w:r>
      <w:r w:rsidR="003D1482">
        <w:t>is likely due to</w:t>
      </w:r>
      <w:r w:rsidR="008E324D">
        <w:t xml:space="preserve"> policy settings. </w:t>
      </w:r>
      <w:r w:rsidR="003D1482">
        <w:t xml:space="preserve">Reflecting on </w:t>
      </w:r>
      <w:r w:rsidR="00845215">
        <w:t>Australia’s fall in relative income</w:t>
      </w:r>
      <w:r w:rsidR="003D1482">
        <w:t xml:space="preserve">, </w:t>
      </w:r>
      <w:r w:rsidR="0079525B">
        <w:t>Gary Banks, a former Chairman of the Productivity Commission argued:</w:t>
      </w:r>
    </w:p>
    <w:p w14:paraId="1AD57358" w14:textId="66693135" w:rsidR="00057F28" w:rsidRPr="00057F28" w:rsidRDefault="00243C30" w:rsidP="000F3E89">
      <w:pPr>
        <w:pStyle w:val="Quote"/>
      </w:pPr>
      <w:r>
        <w:t xml:space="preserve">In retrospect, the causes of our relative decline seem fairly clear. Just as Australians have been blessed with special resource advantages, we managed to devise some special institutions that, whatever their merits in the short term, ended up significantly handicapping our economic performance. </w:t>
      </w:r>
      <w:r w:rsidR="002A73BD" w:rsidRPr="002A73BD">
        <w:rPr>
          <w:szCs w:val="24"/>
        </w:rPr>
        <w:t>(Banks 2005)</w:t>
      </w:r>
    </w:p>
    <w:p w14:paraId="09B6A4FA" w14:textId="118BC7E5" w:rsidR="00EC6889" w:rsidRDefault="00243C30" w:rsidP="00120072">
      <w:pPr>
        <w:pStyle w:val="BodyText"/>
      </w:pPr>
      <w:r>
        <w:t>Banks attributes much of Australia’s relative economic decline to a set of policy choices (</w:t>
      </w:r>
      <w:r w:rsidR="00AC67A2">
        <w:t>‘Fortress Australia’</w:t>
      </w:r>
      <w:r>
        <w:t>)</w:t>
      </w:r>
      <w:r w:rsidR="00695DB5">
        <w:rPr>
          <w:rStyle w:val="FootnoteReference"/>
        </w:rPr>
        <w:footnoteReference w:id="18"/>
      </w:r>
      <w:r>
        <w:t xml:space="preserve"> including trade barriers to promote import substitution (figure </w:t>
      </w:r>
      <w:r w:rsidR="003D45C0">
        <w:t>1</w:t>
      </w:r>
      <w:r w:rsidR="00AB6EDD">
        <w:t>8</w:t>
      </w:r>
      <w:r>
        <w:t>), tightly regulated labour markets, and</w:t>
      </w:r>
      <w:r w:rsidDel="00113ECE">
        <w:t xml:space="preserve"> </w:t>
      </w:r>
      <w:r>
        <w:t>statutory government monopolies over utilities and other services with pricing structures that taxed business users and subsidised consumers</w:t>
      </w:r>
      <w:r w:rsidR="00057F28">
        <w:t>.</w:t>
      </w:r>
      <w:r w:rsidR="005E22DF">
        <w:t xml:space="preserve"> </w:t>
      </w:r>
      <w:r w:rsidR="00270325">
        <w:t>Thi</w:t>
      </w:r>
      <w:r w:rsidR="00647215">
        <w:t xml:space="preserve">s </w:t>
      </w:r>
      <w:r w:rsidR="00385195">
        <w:t xml:space="preserve">policy </w:t>
      </w:r>
      <w:r w:rsidR="0077032A">
        <w:t xml:space="preserve">program </w:t>
      </w:r>
      <w:r w:rsidR="00B82870">
        <w:t>had a corrosive effect on Australia’s productivity performance</w:t>
      </w:r>
      <w:r w:rsidR="00F066D2">
        <w:t>.</w:t>
      </w:r>
      <w:r w:rsidR="00057F28">
        <w:t xml:space="preserve"> </w:t>
      </w:r>
      <w:r w:rsidR="00057F28" w:rsidRPr="00851151">
        <w:rPr>
          <w:szCs w:val="24"/>
        </w:rPr>
        <w:t>(Banks 2005, pp. 2–4)</w:t>
      </w:r>
      <w:r w:rsidR="00057F28">
        <w:t>.</w:t>
      </w:r>
    </w:p>
    <w:p w14:paraId="024DEF94" w14:textId="77777777" w:rsidR="009D1F47" w:rsidRDefault="009D1F47" w:rsidP="009D1F4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D1F47" w14:paraId="3024DD0C" w14:textId="77777777" w:rsidTr="00CE01F3">
        <w:trPr>
          <w:tblHeader/>
        </w:trPr>
        <w:tc>
          <w:tcPr>
            <w:tcW w:w="5000" w:type="pct"/>
            <w:tcBorders>
              <w:top w:val="single" w:sz="6" w:space="0" w:color="78A22F" w:themeColor="accent1"/>
              <w:left w:val="nil"/>
              <w:bottom w:val="nil"/>
              <w:right w:val="nil"/>
            </w:tcBorders>
            <w:shd w:val="clear" w:color="auto" w:fill="auto"/>
          </w:tcPr>
          <w:p w14:paraId="02ECC45B" w14:textId="77777777" w:rsidR="009D1F47" w:rsidRPr="0021235D" w:rsidRDefault="009D1F47" w:rsidP="00CE01F3">
            <w:pPr>
              <w:pStyle w:val="FigureTitle"/>
              <w:rPr>
                <w:sz w:val="24"/>
                <w:szCs w:val="24"/>
              </w:rPr>
            </w:pPr>
            <w:r w:rsidRPr="0021235D">
              <w:rPr>
                <w:b w:val="0"/>
                <w:sz w:val="24"/>
                <w:szCs w:val="24"/>
              </w:rPr>
              <w:t>Figure 18</w:t>
            </w:r>
            <w:r w:rsidRPr="0021235D">
              <w:rPr>
                <w:sz w:val="24"/>
                <w:szCs w:val="24"/>
              </w:rPr>
              <w:tab/>
              <w:t>The Twentieth Century saw significant protectionism in Australia …</w:t>
            </w:r>
          </w:p>
          <w:p w14:paraId="50358464" w14:textId="77777777" w:rsidR="009D1F47" w:rsidRPr="00176D3F" w:rsidRDefault="009D1F47" w:rsidP="00CE01F3">
            <w:pPr>
              <w:pStyle w:val="Subtitle"/>
            </w:pPr>
            <w:r>
              <w:t>Average tariffs in the six colonies pre Federation</w:t>
            </w:r>
            <w:r w:rsidRPr="002D4595">
              <w:rPr>
                <w:rStyle w:val="NoteLabel"/>
              </w:rPr>
              <w:t>a</w:t>
            </w:r>
            <w:r w:rsidRPr="006563BD">
              <w:t>,</w:t>
            </w:r>
            <w:r>
              <w:t>post Federation</w:t>
            </w:r>
            <w:r w:rsidRPr="002D4595">
              <w:rPr>
                <w:rStyle w:val="NoteLabel"/>
              </w:rPr>
              <w:t>b</w:t>
            </w:r>
            <w:r>
              <w:t xml:space="preserve"> and in manufacturing</w:t>
            </w:r>
            <w:r>
              <w:rPr>
                <w:rStyle w:val="NoteLabel"/>
              </w:rPr>
              <w:t>c</w:t>
            </w:r>
            <w:r>
              <w:t xml:space="preserve"> and agriculture</w:t>
            </w:r>
            <w:r>
              <w:rPr>
                <w:rStyle w:val="NoteLabel"/>
              </w:rPr>
              <w:t>d</w:t>
            </w:r>
            <w:r>
              <w:t xml:space="preserve"> from 1825 to 2005</w:t>
            </w:r>
          </w:p>
        </w:tc>
      </w:tr>
      <w:tr w:rsidR="009D1F47" w14:paraId="6FBD1876" w14:textId="77777777" w:rsidTr="00CE01F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D1F47" w:rsidRPr="00B1465D" w14:paraId="7F79537C" w14:textId="77777777" w:rsidTr="00CE01F3">
              <w:trPr>
                <w:trHeight w:val="129"/>
                <w:tblHeader/>
                <w:jc w:val="center"/>
              </w:trPr>
              <w:tc>
                <w:tcPr>
                  <w:tcW w:w="8504" w:type="dxa"/>
                  <w:tcBorders>
                    <w:top w:val="nil"/>
                    <w:bottom w:val="nil"/>
                  </w:tcBorders>
                </w:tcPr>
                <w:p w14:paraId="1140D6B3" w14:textId="77777777" w:rsidR="009D1F47" w:rsidRPr="00A24C98" w:rsidRDefault="009D1F47" w:rsidP="00CE01F3">
                  <w:pPr>
                    <w:pStyle w:val="Figure"/>
                    <w:spacing w:before="60" w:after="60"/>
                    <w:rPr>
                      <w:rFonts w:ascii="Arial" w:hAnsi="Arial" w:cs="Arial"/>
                      <w:b/>
                      <w:sz w:val="20"/>
                    </w:rPr>
                  </w:pPr>
                  <w:r w:rsidRPr="00A24C98">
                    <w:rPr>
                      <w:rFonts w:ascii="Arial" w:hAnsi="Arial" w:cs="Arial"/>
                      <w:b/>
                      <w:sz w:val="20"/>
                    </w:rPr>
                    <w:t>Average tariff rate (per cent)</w:t>
                  </w:r>
                </w:p>
              </w:tc>
            </w:tr>
            <w:tr w:rsidR="009D1F47" w:rsidRPr="00B1465D" w14:paraId="3BE04D71" w14:textId="77777777" w:rsidTr="00CE01F3">
              <w:trPr>
                <w:trHeight w:val="128"/>
                <w:tblHeader/>
                <w:jc w:val="center"/>
              </w:trPr>
              <w:tc>
                <w:tcPr>
                  <w:tcW w:w="8504" w:type="dxa"/>
                  <w:tcBorders>
                    <w:top w:val="nil"/>
                    <w:bottom w:val="nil"/>
                  </w:tcBorders>
                </w:tcPr>
                <w:p w14:paraId="6C84C0AB" w14:textId="77777777" w:rsidR="009D1F47" w:rsidRPr="00B1465D" w:rsidRDefault="009D1F47" w:rsidP="00CE01F3">
                  <w:pPr>
                    <w:pStyle w:val="Figure"/>
                    <w:spacing w:before="0" w:after="60"/>
                    <w:rPr>
                      <w:rFonts w:ascii="Arial" w:hAnsi="Arial" w:cs="Arial"/>
                      <w:sz w:val="18"/>
                      <w:szCs w:val="18"/>
                    </w:rPr>
                  </w:pPr>
                  <w:r w:rsidRPr="00DC6B89">
                    <w:rPr>
                      <w:rFonts w:ascii="Arial" w:hAnsi="Arial" w:cs="Arial"/>
                      <w:noProof/>
                      <w:sz w:val="18"/>
                      <w:szCs w:val="18"/>
                    </w:rPr>
                    <w:drawing>
                      <wp:inline distT="0" distB="0" distL="0" distR="0" wp14:anchorId="5BE7B253" wp14:editId="62B0F5CA">
                        <wp:extent cx="5414645" cy="3100705"/>
                        <wp:effectExtent l="0" t="0" r="0" b="4445"/>
                        <wp:docPr id="38" name="Picture 38" descr="This chart shows the average level of tariff protection between 1825 and 2005 in Australia, as well as for agriculture and manufacturing specifically between 1905 and 2005. Average tariffs were relatively low pre-Federation (1901) and then increased after Federation, with massive growth in the 1930s when average manufacturing tariffs peaked at over 70 per cent. From the 1970s to 2005, tariffs gradually fell until they were neglig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14645" cy="3100705"/>
                                </a:xfrm>
                                <a:prstGeom prst="rect">
                                  <a:avLst/>
                                </a:prstGeom>
                                <a:noFill/>
                                <a:ln>
                                  <a:noFill/>
                                </a:ln>
                              </pic:spPr>
                            </pic:pic>
                          </a:graphicData>
                        </a:graphic>
                      </wp:inline>
                    </w:drawing>
                  </w:r>
                </w:p>
              </w:tc>
            </w:tr>
          </w:tbl>
          <w:p w14:paraId="2707C27E" w14:textId="77777777" w:rsidR="009D1F47" w:rsidRDefault="009D1F47" w:rsidP="00CE01F3">
            <w:pPr>
              <w:pStyle w:val="Figure"/>
            </w:pPr>
          </w:p>
        </w:tc>
      </w:tr>
      <w:tr w:rsidR="009D1F47" w:rsidRPr="00176D3F" w14:paraId="421CA6C0" w14:textId="77777777" w:rsidTr="00CE01F3">
        <w:tc>
          <w:tcPr>
            <w:tcW w:w="5000" w:type="pct"/>
            <w:tcBorders>
              <w:top w:val="nil"/>
              <w:left w:val="nil"/>
              <w:bottom w:val="nil"/>
              <w:right w:val="nil"/>
            </w:tcBorders>
            <w:shd w:val="clear" w:color="auto" w:fill="auto"/>
          </w:tcPr>
          <w:p w14:paraId="44606C04" w14:textId="77777777" w:rsidR="009D1F47" w:rsidRPr="00176D3F" w:rsidRDefault="009D1F47" w:rsidP="00CE01F3">
            <w:pPr>
              <w:pStyle w:val="Note"/>
            </w:pPr>
            <w:r>
              <w:rPr>
                <w:rStyle w:val="NoteLabel"/>
              </w:rPr>
              <w:t>a</w:t>
            </w:r>
            <w:r>
              <w:t xml:space="preserve"> Average duty paid on all imports (both those subject to duties and those not). </w:t>
            </w:r>
            <w:r>
              <w:rPr>
                <w:rStyle w:val="NoteLabel"/>
              </w:rPr>
              <w:t>b</w:t>
            </w:r>
            <w:r>
              <w:t xml:space="preserve"> Average duty (customs plus primage, net) – all clearances adjusted for method of valuation. </w:t>
            </w:r>
            <w:r>
              <w:rPr>
                <w:rStyle w:val="NoteLabel"/>
              </w:rPr>
              <w:t>c</w:t>
            </w:r>
            <w:r>
              <w:t xml:space="preserve"> Average tariff for manufacturing is the average duty paid on dutiable imports. </w:t>
            </w:r>
            <w:r>
              <w:rPr>
                <w:rStyle w:val="NoteLabel"/>
              </w:rPr>
              <w:t>d</w:t>
            </w:r>
            <w:r>
              <w:t xml:space="preserve"> Average tariff for agriculture here is proxied by the average rate of assistance. This is calculated by the average difference between domestic and world prices for all covered agricultural commodities. Note that the negative spike in the rate of assistance in early World War II is due to payouts to producers of agricultural goods being lower than prevailing export prices under price stabilisation schemes in place at the time </w:t>
            </w:r>
            <w:r w:rsidRPr="00F076AC">
              <w:rPr>
                <w:rFonts w:cs="Arial"/>
                <w:szCs w:val="24"/>
              </w:rPr>
              <w:t>(Lloyd and MacLaren 2015)</w:t>
            </w:r>
            <w:r>
              <w:t>.</w:t>
            </w:r>
          </w:p>
        </w:tc>
      </w:tr>
      <w:tr w:rsidR="009D1F47" w:rsidRPr="00176D3F" w14:paraId="105E663A" w14:textId="77777777" w:rsidTr="00CE01F3">
        <w:tc>
          <w:tcPr>
            <w:tcW w:w="5000" w:type="pct"/>
            <w:tcBorders>
              <w:top w:val="nil"/>
              <w:left w:val="nil"/>
              <w:bottom w:val="nil"/>
              <w:right w:val="nil"/>
            </w:tcBorders>
            <w:shd w:val="clear" w:color="auto" w:fill="auto"/>
          </w:tcPr>
          <w:p w14:paraId="6035F0A9" w14:textId="77777777" w:rsidR="009D1F47" w:rsidRPr="00176D3F" w:rsidRDefault="009D1F47" w:rsidP="00CE01F3">
            <w:pPr>
              <w:pStyle w:val="Source"/>
              <w:tabs>
                <w:tab w:val="left" w:pos="1648"/>
              </w:tabs>
              <w:spacing w:after="0"/>
            </w:pPr>
            <w:r>
              <w:rPr>
                <w:i/>
              </w:rPr>
              <w:t>S</w:t>
            </w:r>
            <w:r w:rsidRPr="00784A05">
              <w:rPr>
                <w:i/>
              </w:rPr>
              <w:t>ource</w:t>
            </w:r>
            <w:r>
              <w:rPr>
                <w:i/>
              </w:rPr>
              <w:t>s</w:t>
            </w:r>
            <w:r w:rsidRPr="00176D3F">
              <w:t xml:space="preserve">: </w:t>
            </w:r>
            <w:r>
              <w:t xml:space="preserve">Butlin, Dixon and Lloyd </w:t>
            </w:r>
            <w:r w:rsidRPr="00A264C1">
              <w:rPr>
                <w:rFonts w:cs="Arial"/>
                <w:szCs w:val="24"/>
              </w:rPr>
              <w:t>(2015, pp. 578–580)</w:t>
            </w:r>
            <w:r>
              <w:t xml:space="preserve">; Lloyd </w:t>
            </w:r>
            <w:r w:rsidRPr="00175108">
              <w:rPr>
                <w:rFonts w:cs="Arial"/>
              </w:rPr>
              <w:t>(2008, 2017)</w:t>
            </w:r>
            <w:r>
              <w:t>.</w:t>
            </w:r>
          </w:p>
        </w:tc>
      </w:tr>
      <w:tr w:rsidR="009D1F47" w14:paraId="4786AFDD" w14:textId="77777777" w:rsidTr="00CE01F3">
        <w:tc>
          <w:tcPr>
            <w:tcW w:w="5000" w:type="pct"/>
            <w:tcBorders>
              <w:top w:val="nil"/>
              <w:left w:val="nil"/>
              <w:bottom w:val="single" w:sz="6" w:space="0" w:color="78A22F" w:themeColor="accent1"/>
              <w:right w:val="nil"/>
            </w:tcBorders>
            <w:shd w:val="clear" w:color="auto" w:fill="auto"/>
          </w:tcPr>
          <w:p w14:paraId="108488F4" w14:textId="77777777" w:rsidR="009D1F47" w:rsidRDefault="009D1F47" w:rsidP="00CE01F3">
            <w:pPr>
              <w:pStyle w:val="Figurespace"/>
            </w:pPr>
            <w:r>
              <w:t>r</w:t>
            </w:r>
          </w:p>
        </w:tc>
      </w:tr>
      <w:tr w:rsidR="009D1F47" w:rsidRPr="000863A5" w14:paraId="75C684F5" w14:textId="77777777" w:rsidTr="00CE01F3">
        <w:tc>
          <w:tcPr>
            <w:tcW w:w="5000" w:type="pct"/>
            <w:tcBorders>
              <w:top w:val="single" w:sz="6" w:space="0" w:color="78A22F" w:themeColor="accent1"/>
              <w:left w:val="nil"/>
              <w:bottom w:val="nil"/>
              <w:right w:val="nil"/>
            </w:tcBorders>
          </w:tcPr>
          <w:p w14:paraId="1515861B" w14:textId="77777777" w:rsidR="009D1F47" w:rsidRPr="00626D32" w:rsidRDefault="009D1F47" w:rsidP="00CE01F3">
            <w:pPr>
              <w:pStyle w:val="BoxSpaceBelow"/>
            </w:pPr>
          </w:p>
        </w:tc>
      </w:tr>
    </w:tbl>
    <w:p w14:paraId="3EE3D287" w14:textId="2C951438" w:rsidR="000C200F" w:rsidRDefault="000C200F" w:rsidP="00120072">
      <w:pPr>
        <w:pStyle w:val="BodyText"/>
      </w:pPr>
      <w:r>
        <w:t xml:space="preserve">Another aspect of </w:t>
      </w:r>
      <w:r w:rsidR="00A978F6">
        <w:t>Fortress Australia</w:t>
      </w:r>
      <w:r>
        <w:t xml:space="preserve"> was a suspicion of ‘cutthroat competition’. It was generally assumed that monopoly was the inevitable consequence of market competition and so it was better to pick and regulate the monopolists rather than try and prevent their existence </w:t>
      </w:r>
      <w:r w:rsidR="000A356D" w:rsidRPr="000A356D">
        <w:rPr>
          <w:szCs w:val="24"/>
        </w:rPr>
        <w:t>(Pincus 2009, p. 124)</w:t>
      </w:r>
      <w:r>
        <w:t xml:space="preserve">. </w:t>
      </w:r>
    </w:p>
    <w:p w14:paraId="4510585D" w14:textId="7A7BFBB2" w:rsidR="00EC6889" w:rsidRDefault="00AC67A2" w:rsidP="00EC6889">
      <w:pPr>
        <w:pStyle w:val="BodyText"/>
      </w:pPr>
      <w:r>
        <w:t>These policies</w:t>
      </w:r>
      <w:r w:rsidR="009635AB">
        <w:t xml:space="preserve">, especially </w:t>
      </w:r>
      <w:r w:rsidR="00EC6889">
        <w:t>increased tariffs on</w:t>
      </w:r>
      <w:r>
        <w:t xml:space="preserve"> imported</w:t>
      </w:r>
      <w:r w:rsidR="00EC6889">
        <w:t xml:space="preserve"> </w:t>
      </w:r>
      <w:r>
        <w:t>manufactured goods</w:t>
      </w:r>
      <w:r w:rsidR="009635AB">
        <w:t>,</w:t>
      </w:r>
      <w:r w:rsidR="00EC6889">
        <w:t xml:space="preserve"> </w:t>
      </w:r>
      <w:r>
        <w:t xml:space="preserve">are </w:t>
      </w:r>
      <w:r w:rsidR="00EC6889">
        <w:t>at least associated with both an increase in the share of the</w:t>
      </w:r>
      <w:r w:rsidR="004C05C3">
        <w:t xml:space="preserve"> </w:t>
      </w:r>
      <w:r w:rsidR="00EC6889">
        <w:t xml:space="preserve">manufacturing sector </w:t>
      </w:r>
      <w:r w:rsidR="00FC02A8">
        <w:t xml:space="preserve">(in which Australia had less of a productivity advantage) </w:t>
      </w:r>
      <w:r w:rsidR="00EC6889">
        <w:t>and a decline in Australia’s trade openness (figure</w:t>
      </w:r>
      <w:r w:rsidR="00547A47">
        <w:t> 1</w:t>
      </w:r>
      <w:r w:rsidR="00AB6EDD">
        <w:t>9</w:t>
      </w:r>
      <w:r w:rsidR="00EC6889">
        <w:t>). In particular, from</w:t>
      </w:r>
      <w:r w:rsidR="006913DC">
        <w:t xml:space="preserve"> about</w:t>
      </w:r>
      <w:r w:rsidR="00EC6889">
        <w:t xml:space="preserve"> 1890 there is a fall in the openness ratio coupled with a rise in the manufacturing share of the economy. While from about 1970, the opposite association can be observed. </w:t>
      </w:r>
      <w:r w:rsidR="00DA6453">
        <w:t>T</w:t>
      </w:r>
      <w:r w:rsidR="00EC6889">
        <w:t>he ca</w:t>
      </w:r>
      <w:r>
        <w:t>u</w:t>
      </w:r>
      <w:r w:rsidR="00EC6889">
        <w:t>sal connection is trickier to establish but the timing does seem to favour Banks’ interpretation of</w:t>
      </w:r>
      <w:r w:rsidR="006347A4">
        <w:t xml:space="preserve"> the</w:t>
      </w:r>
      <w:r w:rsidR="00EC6889">
        <w:t xml:space="preserve"> policy </w:t>
      </w:r>
      <w:r w:rsidR="006347A4">
        <w:t>settings</w:t>
      </w:r>
      <w:r w:rsidR="00EC6889">
        <w:t>.</w:t>
      </w:r>
      <w:r w:rsidR="006913DC">
        <w:t xml:space="preserve"> </w:t>
      </w:r>
    </w:p>
    <w:p w14:paraId="1F1AC107" w14:textId="77777777" w:rsidR="004961A6" w:rsidRDefault="004961A6" w:rsidP="004961A6">
      <w:pPr>
        <w:pStyle w:val="BodyText"/>
      </w:pPr>
      <w:r>
        <w:lastRenderedPageBreak/>
        <w:t>Many of these policies were enacted for more than economic reasons. For example,</w:t>
      </w:r>
      <w:r w:rsidR="00AC67A2">
        <w:t xml:space="preserve"> Paul</w:t>
      </w:r>
      <w:r>
        <w:t xml:space="preserve"> Kelly said the following about </w:t>
      </w:r>
      <w:r w:rsidR="00AC67A2">
        <w:t>Fortress Australia</w:t>
      </w:r>
      <w:r>
        <w:t xml:space="preserve"> and tariff protection:</w:t>
      </w:r>
    </w:p>
    <w:p w14:paraId="606BE9D4" w14:textId="77777777" w:rsidR="004961A6" w:rsidRDefault="004961A6" w:rsidP="004961A6">
      <w:pPr>
        <w:pStyle w:val="Quote"/>
      </w:pPr>
      <w:r>
        <w:t xml:space="preserve">Australia was founded on … above all, hostility to its geographic location … Its bedrock ideology was protection; its solution, Fortress Australia, guaranteed as part of an impregnable Empire spanning the globe. </w:t>
      </w:r>
    </w:p>
    <w:p w14:paraId="26F66460" w14:textId="3535C3AD" w:rsidR="004961A6" w:rsidRDefault="004961A6" w:rsidP="004961A6">
      <w:pPr>
        <w:pStyle w:val="Quote"/>
      </w:pPr>
      <w:r>
        <w:t xml:space="preserve">Its appeal transcended that of an economic policy. Protection was both a creed and a dogma. It was a philosophy that would see Australia powerful, secure its prosperity and assuage its insecurity. For its </w:t>
      </w:r>
      <w:r w:rsidR="001E018C">
        <w:t>disciples</w:t>
      </w:r>
      <w:r>
        <w:t xml:space="preserve">, protection was a policy for war and peace … Protection was the core of Australia’s consciousness. </w:t>
      </w:r>
      <w:r w:rsidRPr="00AB24DC">
        <w:rPr>
          <w:szCs w:val="24"/>
        </w:rPr>
        <w:t>(Kelly 1992, p. 4)</w:t>
      </w:r>
    </w:p>
    <w:p w14:paraId="25D72877" w14:textId="77777777" w:rsidR="009D1F47" w:rsidRDefault="009D1F47" w:rsidP="009D1F4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D1F47" w14:paraId="367426A2" w14:textId="77777777" w:rsidTr="00CE01F3">
        <w:trPr>
          <w:tblHeader/>
        </w:trPr>
        <w:tc>
          <w:tcPr>
            <w:tcW w:w="5000" w:type="pct"/>
            <w:tcBorders>
              <w:top w:val="single" w:sz="6" w:space="0" w:color="78A22F" w:themeColor="accent1"/>
              <w:left w:val="nil"/>
              <w:bottom w:val="nil"/>
              <w:right w:val="nil"/>
            </w:tcBorders>
            <w:shd w:val="clear" w:color="auto" w:fill="auto"/>
          </w:tcPr>
          <w:p w14:paraId="4A383545" w14:textId="77777777" w:rsidR="009D1F47" w:rsidRPr="0021235D" w:rsidRDefault="009D1F47" w:rsidP="00CE01F3">
            <w:pPr>
              <w:pStyle w:val="FigureTitle"/>
              <w:rPr>
                <w:sz w:val="24"/>
                <w:szCs w:val="24"/>
              </w:rPr>
            </w:pPr>
            <w:r w:rsidRPr="0021235D">
              <w:rPr>
                <w:b w:val="0"/>
                <w:sz w:val="24"/>
                <w:szCs w:val="24"/>
              </w:rPr>
              <w:t>Figure 19</w:t>
            </w:r>
            <w:r w:rsidRPr="0021235D">
              <w:rPr>
                <w:sz w:val="24"/>
                <w:szCs w:val="24"/>
              </w:rPr>
              <w:tab/>
              <w:t>… which was associated with reduced openness and a higher share of manufacturing in the economy</w:t>
            </w:r>
          </w:p>
          <w:p w14:paraId="69608250" w14:textId="77777777" w:rsidR="009D1F47" w:rsidRPr="0021235D" w:rsidRDefault="009D1F47" w:rsidP="00CE01F3">
            <w:pPr>
              <w:pStyle w:val="Subtitle"/>
              <w:rPr>
                <w:spacing w:val="-4"/>
              </w:rPr>
            </w:pPr>
            <w:r w:rsidRPr="0021235D">
              <w:rPr>
                <w:spacing w:val="-4"/>
              </w:rPr>
              <w:t>Five year moving average</w:t>
            </w:r>
            <w:r w:rsidRPr="0021235D">
              <w:rPr>
                <w:rStyle w:val="NoteLabel"/>
                <w:spacing w:val="-4"/>
              </w:rPr>
              <w:t>a</w:t>
            </w:r>
            <w:r w:rsidRPr="0021235D">
              <w:rPr>
                <w:spacing w:val="-4"/>
              </w:rPr>
              <w:t xml:space="preserve"> of the openness ratio (imports plus exports as a share of GDP) and the manufacturing share of GDP (per cent) between 1860 and 2010 </w:t>
            </w:r>
          </w:p>
        </w:tc>
      </w:tr>
      <w:tr w:rsidR="009D1F47" w14:paraId="528D5189" w14:textId="77777777" w:rsidTr="00CE01F3">
        <w:tc>
          <w:tcPr>
            <w:tcW w:w="5000" w:type="pct"/>
            <w:tcBorders>
              <w:top w:val="nil"/>
              <w:left w:val="nil"/>
              <w:bottom w:val="nil"/>
              <w:right w:val="nil"/>
            </w:tcBorders>
            <w:shd w:val="clear" w:color="auto" w:fill="auto"/>
            <w:tcMar>
              <w:top w:w="28" w:type="dxa"/>
              <w:bottom w:w="28" w:type="dxa"/>
            </w:tcMar>
          </w:tcPr>
          <w:p w14:paraId="20FADA16" w14:textId="77777777" w:rsidR="009D1F47" w:rsidRDefault="009D1F47" w:rsidP="00CE01F3">
            <w:pPr>
              <w:pStyle w:val="Figure"/>
              <w:spacing w:after="0"/>
              <w:jc w:val="left"/>
            </w:pPr>
            <w:r w:rsidRPr="00A24C98">
              <w:rPr>
                <w:noProof/>
              </w:rPr>
              <w:drawing>
                <wp:inline distT="0" distB="0" distL="0" distR="0" wp14:anchorId="2AF2DE07" wp14:editId="423C87F6">
                  <wp:extent cx="5382895" cy="2862580"/>
                  <wp:effectExtent l="0" t="0" r="8255" b="0"/>
                  <wp:docPr id="40" name="Picture 40" descr="This chart shows the five-year moving average of the openness ratio (imports plus exports as a share of GDP) and the manufacturing share of GDP. The openness ratio and manufacturing share of GDP tend to move in opposite directions over time. Openness forms a V shape over the period, bottoming around 1945 while manufacturing as a share of GDP forms an N shape, peaking around 19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82895" cy="2862580"/>
                          </a:xfrm>
                          <a:prstGeom prst="rect">
                            <a:avLst/>
                          </a:prstGeom>
                          <a:noFill/>
                          <a:ln>
                            <a:noFill/>
                          </a:ln>
                        </pic:spPr>
                      </pic:pic>
                    </a:graphicData>
                  </a:graphic>
                </wp:inline>
              </w:drawing>
            </w:r>
          </w:p>
        </w:tc>
      </w:tr>
      <w:tr w:rsidR="009D1F47" w:rsidRPr="00176D3F" w14:paraId="0277054D" w14:textId="77777777" w:rsidTr="00CE01F3">
        <w:tc>
          <w:tcPr>
            <w:tcW w:w="5000" w:type="pct"/>
            <w:tcBorders>
              <w:top w:val="nil"/>
              <w:left w:val="nil"/>
              <w:bottom w:val="nil"/>
              <w:right w:val="nil"/>
            </w:tcBorders>
            <w:shd w:val="clear" w:color="auto" w:fill="auto"/>
          </w:tcPr>
          <w:p w14:paraId="127DE2EB" w14:textId="77777777" w:rsidR="009D1F47" w:rsidRPr="00176D3F" w:rsidRDefault="009D1F47" w:rsidP="00CE01F3">
            <w:pPr>
              <w:pStyle w:val="Note"/>
            </w:pPr>
            <w:r>
              <w:rPr>
                <w:rStyle w:val="NoteLabel"/>
              </w:rPr>
              <w:t>a</w:t>
            </w:r>
            <w:r>
              <w:t xml:space="preserve"> Five year (centred) moving averages are used to reduce the noisiness of the data. </w:t>
            </w:r>
          </w:p>
        </w:tc>
      </w:tr>
      <w:tr w:rsidR="009D1F47" w:rsidRPr="00176D3F" w14:paraId="14690B9A" w14:textId="77777777" w:rsidTr="00CE01F3">
        <w:tc>
          <w:tcPr>
            <w:tcW w:w="5000" w:type="pct"/>
            <w:tcBorders>
              <w:top w:val="nil"/>
              <w:left w:val="nil"/>
              <w:bottom w:val="nil"/>
              <w:right w:val="nil"/>
            </w:tcBorders>
            <w:shd w:val="clear" w:color="auto" w:fill="auto"/>
          </w:tcPr>
          <w:p w14:paraId="2B1309BB" w14:textId="77777777" w:rsidR="009D1F47" w:rsidRPr="00176D3F" w:rsidRDefault="009D1F47" w:rsidP="00CE01F3">
            <w:pPr>
              <w:pStyle w:val="Source"/>
              <w:spacing w:after="0"/>
            </w:pPr>
            <w:r>
              <w:rPr>
                <w:i/>
              </w:rPr>
              <w:t>S</w:t>
            </w:r>
            <w:r w:rsidRPr="00784A05">
              <w:rPr>
                <w:i/>
              </w:rPr>
              <w:t>ource</w:t>
            </w:r>
            <w:r w:rsidRPr="00176D3F">
              <w:t xml:space="preserve">: </w:t>
            </w:r>
            <w:r>
              <w:t xml:space="preserve">Butlin, Dixon and Lloyd </w:t>
            </w:r>
            <w:r w:rsidRPr="00A264C1">
              <w:rPr>
                <w:rFonts w:cs="Arial"/>
                <w:szCs w:val="24"/>
              </w:rPr>
              <w:t>(2015, pp. 578–580)</w:t>
            </w:r>
          </w:p>
        </w:tc>
      </w:tr>
      <w:tr w:rsidR="009D1F47" w14:paraId="114A175F" w14:textId="77777777" w:rsidTr="00CE01F3">
        <w:tc>
          <w:tcPr>
            <w:tcW w:w="5000" w:type="pct"/>
            <w:tcBorders>
              <w:top w:val="nil"/>
              <w:left w:val="nil"/>
              <w:bottom w:val="single" w:sz="6" w:space="0" w:color="78A22F" w:themeColor="accent1"/>
              <w:right w:val="nil"/>
            </w:tcBorders>
            <w:shd w:val="clear" w:color="auto" w:fill="auto"/>
          </w:tcPr>
          <w:p w14:paraId="1CEED40F" w14:textId="77777777" w:rsidR="009D1F47" w:rsidRDefault="009D1F47" w:rsidP="00CE01F3">
            <w:pPr>
              <w:pStyle w:val="Figurespace"/>
            </w:pPr>
          </w:p>
        </w:tc>
      </w:tr>
      <w:tr w:rsidR="009D1F47" w:rsidRPr="000863A5" w14:paraId="6520809C" w14:textId="77777777" w:rsidTr="00CE01F3">
        <w:tc>
          <w:tcPr>
            <w:tcW w:w="5000" w:type="pct"/>
            <w:tcBorders>
              <w:top w:val="single" w:sz="6" w:space="0" w:color="78A22F" w:themeColor="accent1"/>
              <w:left w:val="nil"/>
              <w:bottom w:val="nil"/>
              <w:right w:val="nil"/>
            </w:tcBorders>
          </w:tcPr>
          <w:p w14:paraId="626F5BC5" w14:textId="77777777" w:rsidR="009D1F47" w:rsidRPr="00626D32" w:rsidRDefault="009D1F47" w:rsidP="00CE01F3">
            <w:pPr>
              <w:pStyle w:val="BoxSpaceBelow"/>
            </w:pPr>
          </w:p>
        </w:tc>
      </w:tr>
    </w:tbl>
    <w:p w14:paraId="5575821A" w14:textId="3FBCFB86" w:rsidR="00956261" w:rsidRDefault="00956261" w:rsidP="00A03217">
      <w:pPr>
        <w:pStyle w:val="BodyText"/>
      </w:pPr>
      <w:r>
        <w:t xml:space="preserve">Despite the likely detrimental effect of </w:t>
      </w:r>
      <w:r w:rsidR="00A978F6">
        <w:t>Fortress Australia</w:t>
      </w:r>
      <w:r>
        <w:t xml:space="preserve"> on relative incomes, it may have</w:t>
      </w:r>
      <w:r w:rsidR="004961A6">
        <w:t xml:space="preserve"> </w:t>
      </w:r>
      <w:r w:rsidR="00C63426">
        <w:t xml:space="preserve">had some justification </w:t>
      </w:r>
      <w:r>
        <w:t xml:space="preserve">from a broader policy perspective. At Federation, as now, Australians desired a relatively egalitarian society and to limit their exposure to economic shocks. Prior to WWII, the size and role of government generally, and the Federal Government specifically, was very limited and so they had few mechanisms to ensure sufficient income or wealth redistribution. The nexus of tariffs and wage arbitration, while crude and inefficient by modern standards, did go some way to </w:t>
      </w:r>
      <w:r w:rsidR="004961A6">
        <w:t>redistributing incomes</w:t>
      </w:r>
      <w:r w:rsidR="000A072E">
        <w:t xml:space="preserve">, particularly in a world where a full-time male breadwinner was the dominant model of generating household income. </w:t>
      </w:r>
      <w:r w:rsidR="004961A6">
        <w:t>And protectionism, while inefficient, did limit the outflow of foreign currency reserves that had the capacity to periodically cause economic crisis (appendix</w:t>
      </w:r>
      <w:r w:rsidR="00371B35">
        <w:t xml:space="preserve"> C</w:t>
      </w:r>
      <w:r w:rsidR="004961A6">
        <w:t xml:space="preserve">). </w:t>
      </w:r>
      <w:r w:rsidR="00A978F6">
        <w:lastRenderedPageBreak/>
        <w:t>However, as</w:t>
      </w:r>
      <w:r w:rsidR="00BD1A11">
        <w:t xml:space="preserve"> time </w:t>
      </w:r>
      <w:r w:rsidR="00371B35">
        <w:t>passed, and</w:t>
      </w:r>
      <w:r w:rsidR="00A978F6">
        <w:t xml:space="preserve"> </w:t>
      </w:r>
      <w:r w:rsidR="00BD1A11">
        <w:t>the role</w:t>
      </w:r>
      <w:r w:rsidR="00A978F6">
        <w:t xml:space="preserve"> of government changed,</w:t>
      </w:r>
      <w:r w:rsidR="00BD1A11">
        <w:t xml:space="preserve"> better alternatives became available,</w:t>
      </w:r>
      <w:r w:rsidR="00A978F6">
        <w:t xml:space="preserve"> </w:t>
      </w:r>
      <w:r w:rsidR="00555FB8">
        <w:t xml:space="preserve">(including a sophisticated system of transfers to low income households) </w:t>
      </w:r>
      <w:r w:rsidR="00A978F6">
        <w:t>and so</w:t>
      </w:r>
      <w:r w:rsidR="00BD1A11">
        <w:t xml:space="preserve"> </w:t>
      </w:r>
      <w:r w:rsidR="00A978F6">
        <w:t>Fortress Australia</w:t>
      </w:r>
      <w:r w:rsidR="00BD1A11">
        <w:t xml:space="preserve"> </w:t>
      </w:r>
      <w:r w:rsidR="00A978F6">
        <w:t>started becoming an</w:t>
      </w:r>
      <w:r w:rsidR="00BD1A11">
        <w:t xml:space="preserve"> anachronism. </w:t>
      </w:r>
    </w:p>
    <w:p w14:paraId="3A6DF585" w14:textId="38D614CD" w:rsidR="00EC6889" w:rsidRPr="006347A4" w:rsidRDefault="004E1F68" w:rsidP="001D109B">
      <w:pPr>
        <w:pStyle w:val="BodyText"/>
      </w:pPr>
      <w:r>
        <w:t xml:space="preserve">Not only did </w:t>
      </w:r>
      <w:r w:rsidR="00A978F6">
        <w:t>Fortress Australia</w:t>
      </w:r>
      <w:r w:rsidR="00EC6889">
        <w:t xml:space="preserve"> </w:t>
      </w:r>
      <w:r w:rsidR="00ED5BEC">
        <w:t>likely reduce Australia’s relative income,</w:t>
      </w:r>
      <w:r w:rsidR="00EC6889">
        <w:t xml:space="preserve"> but it was enacted as a policy response to a set of problems. The decade before Federation and those that followed were beset by numerous economic, political, and social crises. Partially in response to these challenges, policymakers put in place what they believed to be the best path for the Australian economy. </w:t>
      </w:r>
      <w:r w:rsidR="00ED5BEC">
        <w:t xml:space="preserve">And although there </w:t>
      </w:r>
      <w:r w:rsidR="00BD1A11">
        <w:t>may be</w:t>
      </w:r>
      <w:r w:rsidR="00ED5BEC">
        <w:t xml:space="preserve"> justification for these policies on redistributive or stability grounds, they likely had the unintended side effect of reducing our relative income. As will be discussed below, when policies became available that could achieve a relatively equitable and stable distribution of income without hindering productivity, these were adopted</w:t>
      </w:r>
      <w:r w:rsidR="00640668">
        <w:t>,</w:t>
      </w:r>
      <w:r w:rsidR="00ED5BEC">
        <w:t xml:space="preserve"> and we are still benefiting from this decision.</w:t>
      </w:r>
    </w:p>
    <w:p w14:paraId="0EAAFAA8" w14:textId="77777777" w:rsidR="00666E02" w:rsidRPr="0021235D" w:rsidRDefault="00066382" w:rsidP="00A334DE">
      <w:pPr>
        <w:pStyle w:val="Heading3"/>
        <w:spacing w:before="480"/>
        <w:rPr>
          <w:rFonts w:ascii="Arial Bold" w:hAnsi="Arial Bold"/>
          <w:spacing w:val="-4"/>
        </w:rPr>
      </w:pPr>
      <w:r w:rsidRPr="0021235D">
        <w:rPr>
          <w:rFonts w:ascii="Arial Bold" w:hAnsi="Arial Bold"/>
          <w:spacing w:val="-4"/>
        </w:rPr>
        <w:t>Major r</w:t>
      </w:r>
      <w:r w:rsidR="00946CD2" w:rsidRPr="0021235D">
        <w:rPr>
          <w:rFonts w:ascii="Arial Bold" w:hAnsi="Arial Bold"/>
          <w:spacing w:val="-4"/>
        </w:rPr>
        <w:t xml:space="preserve">eform </w:t>
      </w:r>
      <w:r w:rsidR="003A60D6" w:rsidRPr="0021235D">
        <w:rPr>
          <w:rFonts w:ascii="Arial Bold" w:hAnsi="Arial Bold"/>
          <w:spacing w:val="-4"/>
        </w:rPr>
        <w:t>in the face of economic malaise</w:t>
      </w:r>
      <w:r w:rsidR="00946CD2" w:rsidRPr="0021235D">
        <w:rPr>
          <w:rFonts w:ascii="Arial Bold" w:hAnsi="Arial Bold"/>
          <w:spacing w:val="-4"/>
        </w:rPr>
        <w:t xml:space="preserve"> </w:t>
      </w:r>
      <w:r w:rsidR="00E650EB" w:rsidRPr="0021235D">
        <w:rPr>
          <w:rFonts w:ascii="Arial Bold" w:hAnsi="Arial Bold"/>
          <w:spacing w:val="-4"/>
        </w:rPr>
        <w:t xml:space="preserve">likely </w:t>
      </w:r>
      <w:r w:rsidR="00946CD2" w:rsidRPr="0021235D">
        <w:rPr>
          <w:rFonts w:ascii="Arial Bold" w:hAnsi="Arial Bold"/>
          <w:spacing w:val="-4"/>
        </w:rPr>
        <w:t>boosted productivity</w:t>
      </w:r>
    </w:p>
    <w:p w14:paraId="505EA8B1" w14:textId="50C2B828" w:rsidR="00A96255" w:rsidRDefault="00A96255" w:rsidP="00120072">
      <w:pPr>
        <w:pStyle w:val="BodyText"/>
      </w:pPr>
      <w:r>
        <w:t>The causes of Australia’s economic revival, beginning in the 1990s, are manifold. They include macroeconomic stability</w:t>
      </w:r>
      <w:r w:rsidR="00EA1619">
        <w:t xml:space="preserve"> </w:t>
      </w:r>
      <w:r w:rsidR="00EA1619" w:rsidRPr="00EA1619">
        <w:t>(including the avoidance of recession for 28 years)</w:t>
      </w:r>
      <w:r>
        <w:t xml:space="preserve">, microeconomic reforms, labour market deregulation, technological change and favourable shifts in the terms of trade. These explanations are connected. Australian businesses facing fiercer competitive pressures were given greater freedom to change work practices at a time when business finance became more readily available and new technologies were </w:t>
      </w:r>
      <w:r w:rsidR="007471B4">
        <w:t xml:space="preserve">available </w:t>
      </w:r>
      <w:r>
        <w:t xml:space="preserve">to be </w:t>
      </w:r>
      <w:r w:rsidR="00911EEE">
        <w:t>put to use</w:t>
      </w:r>
      <w:r w:rsidR="00B85CD5">
        <w:t xml:space="preserve"> </w:t>
      </w:r>
      <w:r w:rsidR="00B85CD5" w:rsidRPr="00B85CD5">
        <w:rPr>
          <w:szCs w:val="24"/>
        </w:rPr>
        <w:t>(Parham 1999, 2004)</w:t>
      </w:r>
      <w:r>
        <w:t>. While Australia’s productivity growth boomed through the late 1990s, it will never be possible to ascribe ‘shares’ to individual factors because the economic forces worked together.</w:t>
      </w:r>
    </w:p>
    <w:p w14:paraId="5A7A67D7" w14:textId="57D6BF9A" w:rsidR="00375798" w:rsidRDefault="00E32B8E" w:rsidP="009563B5">
      <w:pPr>
        <w:pStyle w:val="BodyText"/>
      </w:pPr>
      <w:r>
        <w:t xml:space="preserve">The decades preceding the reforms of the 1980s and 1990s were beset by numerous economic challenges. </w:t>
      </w:r>
      <w:r w:rsidR="00375798">
        <w:t xml:space="preserve">While the period from the end of WWII to the early 1970s had been a ‘Golden Age’, </w:t>
      </w:r>
      <w:r w:rsidR="00F36DEA">
        <w:t>it was</w:t>
      </w:r>
      <w:r w:rsidR="00375798">
        <w:t xml:space="preserve"> followed </w:t>
      </w:r>
      <w:r w:rsidR="00F36DEA">
        <w:t>by a period of</w:t>
      </w:r>
      <w:r w:rsidR="00375798">
        <w:t xml:space="preserve"> low growth (relative to recent history at least), high unemployment and high inflation (‘stagflation’)</w:t>
      </w:r>
      <w:r w:rsidR="00B85CD5">
        <w:t xml:space="preserve"> </w:t>
      </w:r>
      <w:r w:rsidR="00B85CD5" w:rsidRPr="00B85CD5">
        <w:rPr>
          <w:szCs w:val="24"/>
        </w:rPr>
        <w:t>(McLean 2013)</w:t>
      </w:r>
      <w:r w:rsidR="00375798">
        <w:t>. As with the long boom itself, this economic malaise was mostly of international origin</w:t>
      </w:r>
      <w:r w:rsidR="00CD584B">
        <w:t>,</w:t>
      </w:r>
      <w:r w:rsidR="00375798">
        <w:t xml:space="preserve"> but it was compounded </w:t>
      </w:r>
      <w:r w:rsidR="003A60D6">
        <w:t xml:space="preserve">by local policy and structural conditions. </w:t>
      </w:r>
    </w:p>
    <w:p w14:paraId="24EE7F45" w14:textId="40919228" w:rsidR="009563B5" w:rsidRDefault="003A60D6" w:rsidP="009563B5">
      <w:pPr>
        <w:pStyle w:val="BodyText"/>
      </w:pPr>
      <w:r>
        <w:t>These</w:t>
      </w:r>
      <w:r w:rsidR="00E32B8E">
        <w:t xml:space="preserve"> </w:t>
      </w:r>
      <w:r>
        <w:t xml:space="preserve">problems were </w:t>
      </w:r>
      <w:r w:rsidR="00A17E7E">
        <w:t>worsened</w:t>
      </w:r>
      <w:r>
        <w:t xml:space="preserve"> by weak terms of trade that </w:t>
      </w:r>
      <w:r w:rsidR="009C1A41">
        <w:t>lowered income growth at the time</w:t>
      </w:r>
      <w:r>
        <w:t>.</w:t>
      </w:r>
      <w:r w:rsidRPr="0008559C">
        <w:rPr>
          <w:rStyle w:val="FootnoteReference"/>
        </w:rPr>
        <w:footnoteReference w:id="19"/>
      </w:r>
      <w:r>
        <w:t xml:space="preserve"> </w:t>
      </w:r>
      <w:r w:rsidR="009C1A41">
        <w:t>This</w:t>
      </w:r>
      <w:r>
        <w:t xml:space="preserve"> combined economic </w:t>
      </w:r>
      <w:r w:rsidR="00E32B8E">
        <w:t xml:space="preserve">malaise precipitated a break from the policies of the past century and eventually led to a comprehensive microeconomic reform agenda </w:t>
      </w:r>
      <w:r w:rsidR="00E32B8E" w:rsidRPr="00267331">
        <w:rPr>
          <w:szCs w:val="24"/>
        </w:rPr>
        <w:t>(Banks 2005)</w:t>
      </w:r>
      <w:r w:rsidR="00E32B8E">
        <w:t xml:space="preserve">. </w:t>
      </w:r>
      <w:r w:rsidR="009563B5">
        <w:t>A few of the principal changes</w:t>
      </w:r>
      <w:r w:rsidR="0002437C">
        <w:t xml:space="preserve"> undertaken in the 1980s </w:t>
      </w:r>
      <w:r w:rsidR="00FE1A00">
        <w:t>to</w:t>
      </w:r>
      <w:r w:rsidR="0002437C">
        <w:t xml:space="preserve"> 1990s reform period</w:t>
      </w:r>
      <w:r w:rsidR="009563B5">
        <w:t xml:space="preserve"> include: </w:t>
      </w:r>
    </w:p>
    <w:p w14:paraId="6C953D93" w14:textId="77777777" w:rsidR="009563B5" w:rsidRPr="00A95EB4" w:rsidRDefault="009563B5" w:rsidP="009563B5">
      <w:pPr>
        <w:pStyle w:val="ListBullet"/>
      </w:pPr>
      <w:r w:rsidRPr="00A95EB4">
        <w:t xml:space="preserve">the unilateral </w:t>
      </w:r>
      <w:r w:rsidR="00C16B84" w:rsidRPr="00A95EB4">
        <w:t>reduction in import barriers</w:t>
      </w:r>
      <w:r w:rsidR="001427D7" w:rsidRPr="00A95EB4">
        <w:t xml:space="preserve"> </w:t>
      </w:r>
      <w:r w:rsidR="00111538" w:rsidRPr="00A95EB4">
        <w:t>(</w:t>
      </w:r>
      <w:r w:rsidR="000E511C" w:rsidRPr="00A95EB4">
        <w:t xml:space="preserve">further detailed in </w:t>
      </w:r>
      <w:r w:rsidR="00111538" w:rsidRPr="00A37636">
        <w:t xml:space="preserve">appendix </w:t>
      </w:r>
      <w:r w:rsidR="00EE0F1A" w:rsidRPr="00A95EB4">
        <w:t>A</w:t>
      </w:r>
      <w:r w:rsidR="00111538" w:rsidRPr="00A95EB4">
        <w:t>)</w:t>
      </w:r>
    </w:p>
    <w:p w14:paraId="3468237E" w14:textId="334919C9" w:rsidR="009563B5" w:rsidRPr="00A95EB4" w:rsidRDefault="009563B5" w:rsidP="009563B5">
      <w:pPr>
        <w:pStyle w:val="ListBullet"/>
      </w:pPr>
      <w:r w:rsidRPr="00A95EB4">
        <w:lastRenderedPageBreak/>
        <w:t>the reforms undertaken as part of National Competition Policy</w:t>
      </w:r>
      <w:r w:rsidR="00111538" w:rsidRPr="00A95EB4">
        <w:t xml:space="preserve"> (</w:t>
      </w:r>
      <w:r w:rsidR="000E511C" w:rsidRPr="00A95EB4">
        <w:t xml:space="preserve">further detailed in </w:t>
      </w:r>
      <w:r w:rsidR="00111538" w:rsidRPr="00A37636">
        <w:t xml:space="preserve">appendix </w:t>
      </w:r>
      <w:r w:rsidR="00EE0F1A" w:rsidRPr="00A95EB4">
        <w:t>B</w:t>
      </w:r>
      <w:r w:rsidR="00111538" w:rsidRPr="00A95EB4">
        <w:t>)</w:t>
      </w:r>
    </w:p>
    <w:p w14:paraId="1A26729D" w14:textId="166F1308" w:rsidR="009563B5" w:rsidRDefault="009563B5" w:rsidP="009563B5">
      <w:pPr>
        <w:pStyle w:val="ListBullet"/>
      </w:pPr>
      <w:r>
        <w:t xml:space="preserve">numerous other reforms that </w:t>
      </w:r>
      <w:r w:rsidR="00174A8A">
        <w:t xml:space="preserve">increased economic </w:t>
      </w:r>
      <w:r w:rsidR="00680A10">
        <w:t>efficiency</w:t>
      </w:r>
      <w:r>
        <w:t xml:space="preserve"> (box </w:t>
      </w:r>
      <w:r w:rsidR="00107F9B">
        <w:t>1</w:t>
      </w:r>
      <w:r>
        <w:t>).</w:t>
      </w:r>
    </w:p>
    <w:p w14:paraId="5007C2B5" w14:textId="43446D4A" w:rsidR="00BD1A11" w:rsidRDefault="009563B5" w:rsidP="009563B5">
      <w:pPr>
        <w:pStyle w:val="BodyText"/>
      </w:pPr>
      <w:r>
        <w:t xml:space="preserve">The resulting increase in domestic and international competition encouraged a more efficient allocation of resources and a more vigorous pursuit of productivity improvement. More flexible labour markets permitted the reorganisation of work practices to take advantage of improvements in technology and skills. More flexible financial markets improved access to capital for new, developing industries. </w:t>
      </w:r>
    </w:p>
    <w:p w14:paraId="35DF20AB" w14:textId="59481D33" w:rsidR="00331ABD" w:rsidRDefault="00331ABD" w:rsidP="00331AB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1ABD" w14:paraId="12D55C5B" w14:textId="77777777" w:rsidTr="00DC136C">
        <w:trPr>
          <w:tblHeader/>
        </w:trPr>
        <w:tc>
          <w:tcPr>
            <w:tcW w:w="5000" w:type="pct"/>
            <w:tcBorders>
              <w:top w:val="single" w:sz="6" w:space="0" w:color="78A22F" w:themeColor="accent1"/>
              <w:left w:val="nil"/>
              <w:bottom w:val="nil"/>
              <w:right w:val="nil"/>
            </w:tcBorders>
            <w:shd w:val="clear" w:color="auto" w:fill="F2F2F2" w:themeFill="background1" w:themeFillShade="F2"/>
          </w:tcPr>
          <w:p w14:paraId="4BF50BE0" w14:textId="1DB9A7D7" w:rsidR="00331ABD" w:rsidRDefault="00331ABD" w:rsidP="00DC136C">
            <w:pPr>
              <w:pStyle w:val="BoxTitle"/>
            </w:pPr>
            <w:r>
              <w:rPr>
                <w:b w:val="0"/>
              </w:rPr>
              <w:t xml:space="preserve">Box </w:t>
            </w:r>
            <w:r w:rsidR="00107F9B">
              <w:rPr>
                <w:b w:val="0"/>
              </w:rPr>
              <w:t>1</w:t>
            </w:r>
            <w:r>
              <w:tab/>
            </w:r>
            <w:r w:rsidR="00853D7E">
              <w:t>Significant economic reform</w:t>
            </w:r>
          </w:p>
        </w:tc>
      </w:tr>
      <w:tr w:rsidR="00331ABD" w14:paraId="798B3B0A" w14:textId="77777777" w:rsidTr="00DC136C">
        <w:tc>
          <w:tcPr>
            <w:tcW w:w="5000" w:type="pct"/>
            <w:tcBorders>
              <w:top w:val="nil"/>
              <w:left w:val="nil"/>
              <w:bottom w:val="nil"/>
              <w:right w:val="nil"/>
            </w:tcBorders>
            <w:shd w:val="clear" w:color="auto" w:fill="F2F2F2" w:themeFill="background1" w:themeFillShade="F2"/>
          </w:tcPr>
          <w:p w14:paraId="1E44C994" w14:textId="65E513B8" w:rsidR="00331ABD" w:rsidRDefault="00331ABD" w:rsidP="00DC136C">
            <w:pPr>
              <w:pStyle w:val="Box"/>
            </w:pPr>
            <w:r w:rsidRPr="5AE8E4CB">
              <w:rPr>
                <w:i/>
                <w:iCs/>
              </w:rPr>
              <w:t>Capital markets</w:t>
            </w:r>
            <w:r>
              <w:t xml:space="preserve"> — the Australian dollar was floated in </w:t>
            </w:r>
            <w:r w:rsidR="00D5135B">
              <w:t xml:space="preserve">December </w:t>
            </w:r>
            <w:r>
              <w:t>1983, foreign exchange controls and capital rationing (through interest rate controls) were removed progressively from the early 1980s and foreign owned banks were allowed to compete — initially for corporate customers and then, in the 1990s, to act as deposit</w:t>
            </w:r>
            <w:r>
              <w:noBreakHyphen/>
              <w:t>taking institutions.</w:t>
            </w:r>
          </w:p>
          <w:p w14:paraId="4FF60749" w14:textId="77777777" w:rsidR="00331ABD" w:rsidRDefault="00331ABD" w:rsidP="00DC136C">
            <w:pPr>
              <w:pStyle w:val="Box"/>
            </w:pPr>
            <w:r w:rsidRPr="5AE8E4CB">
              <w:rPr>
                <w:i/>
                <w:iCs/>
              </w:rPr>
              <w:t>Infrastructure</w:t>
            </w:r>
            <w:r>
              <w:t xml:space="preserve"> — partial deregulation and restructuring of airlines, coastal shipping, telecommunications and the waterfront occurred from the late 1980s. Across the board commercialisation, corporatisation and privatisation initiatives for government business enterprises were progressively implemented from about the same time. Introducing competition and improving regulation in the ‘natural monopoly’ areas, e.g. electricity, gas, water, telecommunications, etc.  </w:t>
            </w:r>
          </w:p>
          <w:p w14:paraId="2C82512A" w14:textId="77777777" w:rsidR="00331ABD" w:rsidRDefault="00331ABD" w:rsidP="00DC136C">
            <w:pPr>
              <w:pStyle w:val="Box"/>
            </w:pPr>
            <w:r w:rsidRPr="00D00852">
              <w:rPr>
                <w:i/>
              </w:rPr>
              <w:t>Labour markets</w:t>
            </w:r>
            <w:r>
              <w:t xml:space="preserve"> — the Prices and Incomes Accord operated from 1983 to 1996. Award restructuring and simplification, and the shift from centralised wage fixing to enterprise bargaining, began in the late 1980s. Reform accelerated in the mid</w:t>
            </w:r>
            <w:r>
              <w:noBreakHyphen/>
              <w:t xml:space="preserve">1990s with the introduction of the </w:t>
            </w:r>
            <w:r w:rsidRPr="001A4EDA">
              <w:rPr>
                <w:i/>
              </w:rPr>
              <w:t>Workplace Relations Act 1996</w:t>
            </w:r>
            <w:r>
              <w:t>, further award simplification (through limiting prescribed employment conditions in enterprise bargaining agreements) and the introduction of individual employment contracts (Australian Workplace Agreements).</w:t>
            </w:r>
          </w:p>
          <w:p w14:paraId="1E708357" w14:textId="77777777" w:rsidR="00331ABD" w:rsidRDefault="00331ABD" w:rsidP="00DC136C">
            <w:pPr>
              <w:pStyle w:val="Box"/>
            </w:pPr>
            <w:r w:rsidRPr="5AE8E4CB">
              <w:rPr>
                <w:i/>
                <w:iCs/>
              </w:rPr>
              <w:t>Human services</w:t>
            </w:r>
            <w:r>
              <w:t xml:space="preserve"> — competitive tendering and contracting out, performance based funding and user charges were introduced in the late 1980s and extended in scope during the 1990s; administrative reforms (for example, financial management and program budgeting) were introduced in health, education and community services in the early 1990s.</w:t>
            </w:r>
          </w:p>
          <w:p w14:paraId="5D6B543B" w14:textId="5B8CD04C" w:rsidR="00331ABD" w:rsidRDefault="00331ABD" w:rsidP="00DC136C">
            <w:pPr>
              <w:pStyle w:val="Box"/>
            </w:pPr>
            <w:r w:rsidRPr="5AE8E4CB">
              <w:rPr>
                <w:i/>
                <w:iCs/>
              </w:rPr>
              <w:t>Taxation reform</w:t>
            </w:r>
            <w:r>
              <w:t xml:space="preserve"> — capital gains tax and the dividend imputation system were introduced in 1985 and 1987, respectively. The company tax rate was lowered progressively from the late 1980s. A broad based consumption tax was implemented in 2000, replacing the narrow wholesale sales tax system and a range of inefficient </w:t>
            </w:r>
            <w:r w:rsidR="00BA0DE6">
              <w:t>state-based</w:t>
            </w:r>
            <w:r>
              <w:t xml:space="preserve"> duties. And income tax rates were lowered at the same time.</w:t>
            </w:r>
          </w:p>
        </w:tc>
      </w:tr>
      <w:tr w:rsidR="00331ABD" w14:paraId="52DDE87D" w14:textId="77777777" w:rsidTr="00DC136C">
        <w:tc>
          <w:tcPr>
            <w:tcW w:w="5000" w:type="pct"/>
            <w:tcBorders>
              <w:top w:val="nil"/>
              <w:left w:val="nil"/>
              <w:bottom w:val="nil"/>
              <w:right w:val="nil"/>
            </w:tcBorders>
            <w:shd w:val="clear" w:color="auto" w:fill="F2F2F2" w:themeFill="background1" w:themeFillShade="F2"/>
          </w:tcPr>
          <w:p w14:paraId="6D64E624" w14:textId="681D224F" w:rsidR="00331ABD" w:rsidRDefault="00331ABD" w:rsidP="0021235D">
            <w:pPr>
              <w:pStyle w:val="BoxSource"/>
              <w:spacing w:after="0"/>
            </w:pPr>
            <w:r>
              <w:rPr>
                <w:i/>
              </w:rPr>
              <w:t>Source</w:t>
            </w:r>
            <w:r w:rsidRPr="00167F06">
              <w:t xml:space="preserve">: </w:t>
            </w:r>
            <w:r>
              <w:t>Banks</w:t>
            </w:r>
            <w:r w:rsidR="00B85CD5">
              <w:t xml:space="preserve"> </w:t>
            </w:r>
            <w:r w:rsidR="00B85CD5" w:rsidRPr="00B85CD5">
              <w:rPr>
                <w:rFonts w:cs="Arial"/>
              </w:rPr>
              <w:t>(2005)</w:t>
            </w:r>
            <w:r>
              <w:t>.</w:t>
            </w:r>
          </w:p>
        </w:tc>
      </w:tr>
      <w:tr w:rsidR="00331ABD" w14:paraId="25D40806" w14:textId="77777777" w:rsidTr="00DC136C">
        <w:tc>
          <w:tcPr>
            <w:tcW w:w="5000" w:type="pct"/>
            <w:tcBorders>
              <w:top w:val="nil"/>
              <w:left w:val="nil"/>
              <w:bottom w:val="single" w:sz="6" w:space="0" w:color="78A22F" w:themeColor="accent1"/>
              <w:right w:val="nil"/>
            </w:tcBorders>
            <w:shd w:val="clear" w:color="auto" w:fill="F2F2F2" w:themeFill="background1" w:themeFillShade="F2"/>
          </w:tcPr>
          <w:p w14:paraId="262CF587" w14:textId="77777777" w:rsidR="00331ABD" w:rsidRDefault="00331ABD" w:rsidP="00DC136C">
            <w:pPr>
              <w:pStyle w:val="Box"/>
              <w:spacing w:before="0" w:line="120" w:lineRule="exact"/>
            </w:pPr>
          </w:p>
        </w:tc>
      </w:tr>
      <w:tr w:rsidR="00331ABD" w:rsidRPr="000863A5" w14:paraId="2A3D0F8C" w14:textId="77777777" w:rsidTr="00DC136C">
        <w:tc>
          <w:tcPr>
            <w:tcW w:w="5000" w:type="pct"/>
            <w:tcBorders>
              <w:top w:val="single" w:sz="6" w:space="0" w:color="78A22F" w:themeColor="accent1"/>
              <w:left w:val="nil"/>
              <w:bottom w:val="nil"/>
              <w:right w:val="nil"/>
            </w:tcBorders>
          </w:tcPr>
          <w:p w14:paraId="524488B3" w14:textId="3E9525A3" w:rsidR="00331ABD" w:rsidRPr="00626D32" w:rsidRDefault="00331ABD" w:rsidP="00DC136C">
            <w:pPr>
              <w:pStyle w:val="BoxSpaceBelow"/>
            </w:pPr>
          </w:p>
        </w:tc>
      </w:tr>
    </w:tbl>
    <w:p w14:paraId="47E6B845" w14:textId="77777777" w:rsidR="009D1F47" w:rsidRDefault="009D1F47" w:rsidP="009D1F47">
      <w:pPr>
        <w:pStyle w:val="BodyText"/>
      </w:pPr>
      <w:r>
        <w:t xml:space="preserve">In many respects these policies were made possible by other reforms (and some non-policy changes) that made many of the justifications for protectionism redundant. For example, the increased size and scope of the Australian Government (especially after WWII), meant there were more efficient methods to change the distribution of income than protectionism (such as progressive taxation or welfare). Further, the floating of the Australian dollar in 1983 (box 2) removed any need for the Australian Government to manage capital flows and its </w:t>
      </w:r>
      <w:r>
        <w:lastRenderedPageBreak/>
        <w:t xml:space="preserve">foreign exchange reserves (another justification for tariffs). Finally, the dismantling of the White Australia policy (another pillar of Fortress Australia) </w:t>
      </w:r>
      <w:r w:rsidRPr="00821C6E">
        <w:rPr>
          <w:szCs w:val="24"/>
        </w:rPr>
        <w:t>(Kelly 1992)</w:t>
      </w:r>
      <w:r>
        <w:t xml:space="preserve"> in the late 1960s and early 1970s removed the need to artificially inflate wages in the manufacturing sector to attract British migrants (appendix C).</w:t>
      </w:r>
    </w:p>
    <w:p w14:paraId="3D1D23D3" w14:textId="77777777" w:rsidR="00A334DE" w:rsidRDefault="00A334DE" w:rsidP="00A334D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4DE" w14:paraId="2EC37279" w14:textId="77777777" w:rsidTr="00CE01F3">
        <w:trPr>
          <w:tblHeader/>
        </w:trPr>
        <w:tc>
          <w:tcPr>
            <w:tcW w:w="5000" w:type="pct"/>
            <w:tcBorders>
              <w:top w:val="single" w:sz="6" w:space="0" w:color="78A22F" w:themeColor="accent1"/>
              <w:left w:val="nil"/>
              <w:bottom w:val="nil"/>
              <w:right w:val="nil"/>
            </w:tcBorders>
            <w:shd w:val="clear" w:color="auto" w:fill="F2F2F2" w:themeFill="background1" w:themeFillShade="F2"/>
          </w:tcPr>
          <w:p w14:paraId="21F42886" w14:textId="77777777" w:rsidR="00A334DE" w:rsidRDefault="00A334DE" w:rsidP="00CE01F3">
            <w:pPr>
              <w:pStyle w:val="BoxTitle"/>
            </w:pPr>
            <w:r>
              <w:rPr>
                <w:b w:val="0"/>
              </w:rPr>
              <w:t>Box 2</w:t>
            </w:r>
            <w:r>
              <w:tab/>
              <w:t>Macroeconomic policy reform helped raise Australian GDP</w:t>
            </w:r>
          </w:p>
        </w:tc>
      </w:tr>
      <w:tr w:rsidR="00A334DE" w14:paraId="2E1C8940" w14:textId="77777777" w:rsidTr="00CE01F3">
        <w:tc>
          <w:tcPr>
            <w:tcW w:w="5000" w:type="pct"/>
            <w:tcBorders>
              <w:top w:val="nil"/>
              <w:left w:val="nil"/>
              <w:bottom w:val="nil"/>
              <w:right w:val="nil"/>
            </w:tcBorders>
            <w:shd w:val="clear" w:color="auto" w:fill="F2F2F2" w:themeFill="background1" w:themeFillShade="F2"/>
          </w:tcPr>
          <w:p w14:paraId="1B0B64F9" w14:textId="77777777" w:rsidR="00A334DE" w:rsidRPr="0021235D" w:rsidRDefault="00A334DE" w:rsidP="00CE01F3">
            <w:pPr>
              <w:pStyle w:val="Box"/>
              <w:rPr>
                <w:spacing w:val="-2"/>
              </w:rPr>
            </w:pPr>
            <w:r w:rsidRPr="0021235D">
              <w:rPr>
                <w:spacing w:val="-2"/>
              </w:rPr>
              <w:t>Macroeconomic stability has played an important role in Australia’s economic recovery. In particular, the floating of the dollar (1983) and the adoption of interest rate targeting (1993)</w:t>
            </w:r>
            <w:r w:rsidRPr="0021235D">
              <w:rPr>
                <w:rStyle w:val="NoteLabel"/>
                <w:spacing w:val="-2"/>
              </w:rPr>
              <w:t>a</w:t>
            </w:r>
            <w:r w:rsidRPr="0021235D">
              <w:rPr>
                <w:spacing w:val="-2"/>
              </w:rPr>
              <w:t xml:space="preserve"> by the independent Reserve Bank of Australia are considered key pillars in achieving this stability. Flexible exchange rates act as a ‘shock absorber’, causing negative economic shocks to depreciate the dollar rather than cause recessions, and positive shocks to appreciate the dollar rather than cause runaway inflation. For example, the tremendous gains from the terms of trade increase during the mining boom, rather than causing an inflationary spiral, caused the dollar to appreciate to a peak of $1.11 US dollars in 2011 (Berger-Thompson, Breusch and Lilley 2018, pp. 8–9). </w:t>
            </w:r>
          </w:p>
          <w:p w14:paraId="1F2D7635" w14:textId="77777777" w:rsidR="00A334DE" w:rsidRPr="005D4E6E" w:rsidRDefault="00A334DE" w:rsidP="00CE01F3">
            <w:pPr>
              <w:pStyle w:val="Box"/>
            </w:pPr>
            <w:r w:rsidRPr="005D4E6E">
              <w:t>Inflation targeting has acted to lower and stabilise the rate of inflation. Since 1993, annual inflation has averaged about midway between the two to three per cent target set by the Reserve Bank of Australia, compared to about 9 per cent in the two decades preceding the adoption of inflation targeting</w:t>
            </w:r>
            <w:r>
              <w:t xml:space="preserve"> </w:t>
            </w:r>
            <w:r w:rsidRPr="005D4E6E">
              <w:t>(Debelle 2018, pp. 4–5). This lower, more consistent, rate of inflation provides greater certainty to support business investment.</w:t>
            </w:r>
          </w:p>
        </w:tc>
      </w:tr>
      <w:tr w:rsidR="00A334DE" w14:paraId="412E3D30" w14:textId="77777777" w:rsidTr="00CE01F3">
        <w:tc>
          <w:tcPr>
            <w:tcW w:w="5000" w:type="pct"/>
            <w:tcBorders>
              <w:top w:val="nil"/>
              <w:left w:val="nil"/>
              <w:bottom w:val="nil"/>
              <w:right w:val="nil"/>
            </w:tcBorders>
            <w:shd w:val="clear" w:color="auto" w:fill="F2F2F2" w:themeFill="background1" w:themeFillShade="F2"/>
          </w:tcPr>
          <w:p w14:paraId="17CA265B" w14:textId="77777777" w:rsidR="00A334DE" w:rsidRPr="006268BD" w:rsidRDefault="00A334DE" w:rsidP="00CE01F3">
            <w:pPr>
              <w:pStyle w:val="Note"/>
            </w:pPr>
            <w:r>
              <w:rPr>
                <w:rStyle w:val="NoteLabel"/>
              </w:rPr>
              <w:t>a</w:t>
            </w:r>
            <w:r w:rsidRPr="006268BD">
              <w:t xml:space="preserve"> Inflation targeting was begun by the RBA in 1993 but not formally endorsed by the Australian Government until the 1996 Statement on the Conduct of Monetary Policy </w:t>
            </w:r>
            <w:r w:rsidRPr="00A37636">
              <w:t>(Debelle 2018, p. 3)</w:t>
            </w:r>
            <w:r w:rsidRPr="006268BD">
              <w:t>.</w:t>
            </w:r>
          </w:p>
        </w:tc>
      </w:tr>
      <w:tr w:rsidR="00A334DE" w14:paraId="3BBD7778" w14:textId="77777777" w:rsidTr="00CE01F3">
        <w:tc>
          <w:tcPr>
            <w:tcW w:w="5000" w:type="pct"/>
            <w:tcBorders>
              <w:top w:val="nil"/>
              <w:left w:val="nil"/>
              <w:bottom w:val="single" w:sz="6" w:space="0" w:color="78A22F" w:themeColor="accent1"/>
              <w:right w:val="nil"/>
            </w:tcBorders>
            <w:shd w:val="clear" w:color="auto" w:fill="F2F2F2" w:themeFill="background1" w:themeFillShade="F2"/>
          </w:tcPr>
          <w:p w14:paraId="25EE22E5" w14:textId="77777777" w:rsidR="00A334DE" w:rsidRDefault="00A334DE" w:rsidP="00CE01F3">
            <w:pPr>
              <w:pStyle w:val="Box"/>
              <w:spacing w:before="0" w:line="120" w:lineRule="exact"/>
            </w:pPr>
          </w:p>
        </w:tc>
      </w:tr>
      <w:tr w:rsidR="00A334DE" w:rsidRPr="000863A5" w14:paraId="1A0809F3" w14:textId="77777777" w:rsidTr="00CE01F3">
        <w:tc>
          <w:tcPr>
            <w:tcW w:w="5000" w:type="pct"/>
            <w:tcBorders>
              <w:top w:val="single" w:sz="6" w:space="0" w:color="78A22F" w:themeColor="accent1"/>
              <w:left w:val="nil"/>
              <w:bottom w:val="nil"/>
              <w:right w:val="nil"/>
            </w:tcBorders>
          </w:tcPr>
          <w:p w14:paraId="6E9D0CFC" w14:textId="77777777" w:rsidR="00A334DE" w:rsidRPr="00626D32" w:rsidRDefault="00A334DE" w:rsidP="00CE01F3">
            <w:pPr>
              <w:pStyle w:val="BoxSpaceBelow"/>
            </w:pPr>
          </w:p>
        </w:tc>
      </w:tr>
    </w:tbl>
    <w:p w14:paraId="657BBB9E" w14:textId="689A6059" w:rsidR="0038484F" w:rsidRPr="0021235D" w:rsidRDefault="00F51BC1" w:rsidP="009563B5">
      <w:pPr>
        <w:pStyle w:val="BodyText"/>
        <w:rPr>
          <w:spacing w:val="-2"/>
        </w:rPr>
      </w:pPr>
      <w:r w:rsidRPr="0021235D">
        <w:rPr>
          <w:spacing w:val="-2"/>
        </w:rPr>
        <w:t xml:space="preserve">The microeconomic policy reforms of the </w:t>
      </w:r>
      <w:r w:rsidR="00254A53" w:rsidRPr="0021235D">
        <w:rPr>
          <w:spacing w:val="-2"/>
        </w:rPr>
        <w:t>19</w:t>
      </w:r>
      <w:r w:rsidRPr="0021235D">
        <w:rPr>
          <w:spacing w:val="-2"/>
        </w:rPr>
        <w:t xml:space="preserve">80s and </w:t>
      </w:r>
      <w:r w:rsidR="00254A53" w:rsidRPr="0021235D">
        <w:rPr>
          <w:spacing w:val="-2"/>
        </w:rPr>
        <w:t>19</w:t>
      </w:r>
      <w:r w:rsidRPr="0021235D">
        <w:rPr>
          <w:spacing w:val="-2"/>
        </w:rPr>
        <w:t>90s</w:t>
      </w:r>
      <w:r w:rsidR="005D4E6E" w:rsidRPr="0021235D">
        <w:rPr>
          <w:spacing w:val="-2"/>
        </w:rPr>
        <w:t xml:space="preserve"> </w:t>
      </w:r>
      <w:r w:rsidRPr="0021235D">
        <w:rPr>
          <w:spacing w:val="-2"/>
        </w:rPr>
        <w:t xml:space="preserve">likely </w:t>
      </w:r>
      <w:r w:rsidR="005D4E6E" w:rsidRPr="0021235D">
        <w:rPr>
          <w:spacing w:val="-2"/>
        </w:rPr>
        <w:t xml:space="preserve">contributed to an MFP boom in the 1990s, in which Australia’s productivity grew at its fastest rate in </w:t>
      </w:r>
      <w:r w:rsidR="003D45C0" w:rsidRPr="0021235D">
        <w:rPr>
          <w:spacing w:val="-2"/>
        </w:rPr>
        <w:t>the two</w:t>
      </w:r>
      <w:r w:rsidR="005D4E6E" w:rsidRPr="0021235D">
        <w:rPr>
          <w:spacing w:val="-2"/>
        </w:rPr>
        <w:t xml:space="preserve"> decades </w:t>
      </w:r>
      <w:r w:rsidR="003D45C0" w:rsidRPr="0021235D">
        <w:rPr>
          <w:spacing w:val="-2"/>
        </w:rPr>
        <w:t>before or after</w:t>
      </w:r>
      <w:r w:rsidR="005D4E6E" w:rsidRPr="0021235D">
        <w:rPr>
          <w:spacing w:val="-2"/>
        </w:rPr>
        <w:t xml:space="preserve"> (figure </w:t>
      </w:r>
      <w:r w:rsidR="00AB6EDD" w:rsidRPr="0021235D">
        <w:rPr>
          <w:spacing w:val="-2"/>
        </w:rPr>
        <w:t>20</w:t>
      </w:r>
      <w:r w:rsidR="005D4E6E" w:rsidRPr="0021235D">
        <w:rPr>
          <w:spacing w:val="-2"/>
        </w:rPr>
        <w:t xml:space="preserve">). </w:t>
      </w:r>
      <w:r w:rsidR="0038484F" w:rsidRPr="0021235D">
        <w:rPr>
          <w:spacing w:val="-2"/>
        </w:rPr>
        <w:t>This seems to suggest that these reforms had a level effect on productivity, leading to a series of one</w:t>
      </w:r>
      <w:r w:rsidR="0038484F" w:rsidRPr="0021235D">
        <w:rPr>
          <w:spacing w:val="-2"/>
        </w:rPr>
        <w:noBreakHyphen/>
      </w:r>
      <w:r w:rsidR="0038484F" w:rsidRPr="0021235D" w:rsidDel="00B52A1A">
        <w:rPr>
          <w:spacing w:val="-2"/>
        </w:rPr>
        <w:t xml:space="preserve">off </w:t>
      </w:r>
      <w:r w:rsidR="0038484F" w:rsidRPr="0021235D">
        <w:rPr>
          <w:spacing w:val="-2"/>
        </w:rPr>
        <w:t>bo</w:t>
      </w:r>
      <w:r w:rsidR="002404AD" w:rsidRPr="0021235D">
        <w:rPr>
          <w:spacing w:val="-2"/>
        </w:rPr>
        <w:t>o</w:t>
      </w:r>
      <w:r w:rsidR="0038484F" w:rsidRPr="0021235D">
        <w:rPr>
          <w:spacing w:val="-2"/>
        </w:rPr>
        <w:t xml:space="preserve">sts but no change in the permanent rate of growth. </w:t>
      </w:r>
    </w:p>
    <w:p w14:paraId="413FA8AD" w14:textId="5A0E8309" w:rsidR="00D93766" w:rsidRDefault="005D4E6E" w:rsidP="00364C94">
      <w:pPr>
        <w:pStyle w:val="BodyText"/>
      </w:pPr>
      <w:r>
        <w:t>However, these reforms and the associated productivity growth are only part of the reason Australian GDP per capita has seen a resurgence in recent decades</w:t>
      </w:r>
      <w:r w:rsidR="007D0F1E">
        <w:t xml:space="preserve"> (figure 21)</w:t>
      </w:r>
      <w:r>
        <w:t xml:space="preserve">. </w:t>
      </w:r>
      <w:r w:rsidR="0068311B">
        <w:t>Two</w:t>
      </w:r>
      <w:r>
        <w:t xml:space="preserve"> other significant contributor</w:t>
      </w:r>
      <w:r w:rsidR="0068311B">
        <w:t>s</w:t>
      </w:r>
      <w:r>
        <w:t xml:space="preserve"> </w:t>
      </w:r>
      <w:r w:rsidR="00CD5C5C">
        <w:t>include</w:t>
      </w:r>
      <w:r>
        <w:t xml:space="preserve"> a macroeconomic policy environment conducive to stable growth (box</w:t>
      </w:r>
      <w:r w:rsidR="00107F9B">
        <w:t> 2</w:t>
      </w:r>
      <w:r>
        <w:t>)</w:t>
      </w:r>
      <w:r w:rsidR="00670D22">
        <w:t xml:space="preserve"> and Australia’s </w:t>
      </w:r>
      <w:r w:rsidR="00C41C6E">
        <w:t>avoidance of recession</w:t>
      </w:r>
      <w:r w:rsidR="00051FA8">
        <w:t xml:space="preserve"> during the GFC</w:t>
      </w:r>
      <w:r>
        <w:t>.</w:t>
      </w:r>
      <w:r w:rsidR="00F80099">
        <w:t xml:space="preserve"> </w:t>
      </w:r>
      <w:r w:rsidR="00277FC4">
        <w:t xml:space="preserve">While both factors </w:t>
      </w:r>
      <w:r w:rsidR="00702F0D">
        <w:t>improved Australia</w:t>
      </w:r>
      <w:r w:rsidR="00040CC0">
        <w:t>’s relative standing</w:t>
      </w:r>
      <w:r w:rsidR="00716320">
        <w:t xml:space="preserve">, </w:t>
      </w:r>
      <w:r w:rsidR="00737D3B">
        <w:t>t</w:t>
      </w:r>
      <w:r w:rsidR="000A6395">
        <w:t xml:space="preserve">he </w:t>
      </w:r>
      <w:r w:rsidR="004C1DC2">
        <w:t>macroeconomic policy environment</w:t>
      </w:r>
      <w:r w:rsidR="000A6395">
        <w:t xml:space="preserve"> </w:t>
      </w:r>
      <w:r w:rsidR="00DC14CA">
        <w:t>is</w:t>
      </w:r>
      <w:r w:rsidR="000A6395">
        <w:t xml:space="preserve"> </w:t>
      </w:r>
      <w:r w:rsidR="00737D3B">
        <w:t xml:space="preserve">a story of Australia’s success </w:t>
      </w:r>
      <w:r w:rsidR="00486DEC">
        <w:t xml:space="preserve">through intentional policy reform. By contrast, </w:t>
      </w:r>
      <w:r w:rsidR="003F521E">
        <w:t xml:space="preserve">Australia’s </w:t>
      </w:r>
      <w:r w:rsidR="002C550D">
        <w:t>success</w:t>
      </w:r>
      <w:r w:rsidR="003F521E">
        <w:t xml:space="preserve"> relative </w:t>
      </w:r>
      <w:r w:rsidR="002C550D">
        <w:t>to other developed countries</w:t>
      </w:r>
      <w:r w:rsidR="003F521E">
        <w:t xml:space="preserve"> after the GFC is </w:t>
      </w:r>
      <w:r w:rsidR="00A70601">
        <w:t>largely due to external factors out of our control</w:t>
      </w:r>
      <w:r w:rsidR="00706B2A">
        <w:t>, such as poor performance from other developed nations</w:t>
      </w:r>
      <w:r w:rsidR="00353D89">
        <w:t xml:space="preserve"> and a positive terms of trade shock </w:t>
      </w:r>
      <w:r w:rsidR="00AD0E28">
        <w:t>due to</w:t>
      </w:r>
      <w:r w:rsidR="00353D89">
        <w:t xml:space="preserve"> </w:t>
      </w:r>
      <w:r w:rsidR="00020103">
        <w:t>strong demand for our exports from China</w:t>
      </w:r>
      <w:r w:rsidR="00556F03">
        <w:t xml:space="preserve"> </w:t>
      </w:r>
      <w:r w:rsidR="00934213" w:rsidRPr="00934213">
        <w:rPr>
          <w:szCs w:val="24"/>
        </w:rPr>
        <w:t>(RBA 2017)</w:t>
      </w:r>
      <w:r w:rsidR="00353D89">
        <w:t xml:space="preserve">. </w:t>
      </w:r>
    </w:p>
    <w:p w14:paraId="6A4C76F0" w14:textId="7AD1BE92" w:rsidR="00BB24FE" w:rsidRDefault="00BB24FE" w:rsidP="00BB24F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B24FE" w14:paraId="4BC2C02C" w14:textId="77777777" w:rsidTr="29E7BBAE">
        <w:trPr>
          <w:tblHeader/>
        </w:trPr>
        <w:tc>
          <w:tcPr>
            <w:tcW w:w="5000" w:type="pct"/>
            <w:tcBorders>
              <w:top w:val="single" w:sz="6" w:space="0" w:color="78A22F" w:themeColor="accent1"/>
              <w:left w:val="nil"/>
              <w:bottom w:val="nil"/>
              <w:right w:val="nil"/>
            </w:tcBorders>
            <w:shd w:val="clear" w:color="auto" w:fill="auto"/>
          </w:tcPr>
          <w:p w14:paraId="127BD58B" w14:textId="6AA341C6" w:rsidR="00BB24FE" w:rsidRPr="0021235D" w:rsidRDefault="00BB24FE" w:rsidP="00217316">
            <w:pPr>
              <w:pStyle w:val="FigureTitle"/>
              <w:rPr>
                <w:sz w:val="24"/>
                <w:szCs w:val="24"/>
              </w:rPr>
            </w:pPr>
            <w:r w:rsidRPr="0021235D">
              <w:rPr>
                <w:b w:val="0"/>
                <w:sz w:val="24"/>
                <w:szCs w:val="24"/>
              </w:rPr>
              <w:t xml:space="preserve">Figure </w:t>
            </w:r>
            <w:r w:rsidR="001445E1" w:rsidRPr="0021235D">
              <w:rPr>
                <w:b w:val="0"/>
                <w:sz w:val="24"/>
                <w:szCs w:val="24"/>
              </w:rPr>
              <w:t>20</w:t>
            </w:r>
            <w:r w:rsidRPr="0021235D">
              <w:rPr>
                <w:sz w:val="24"/>
                <w:szCs w:val="24"/>
              </w:rPr>
              <w:tab/>
              <w:t>The 1990s saw a surge in MFP growth …</w:t>
            </w:r>
          </w:p>
          <w:p w14:paraId="33BBEEBE" w14:textId="77777777" w:rsidR="00BB24FE" w:rsidRPr="00176D3F" w:rsidRDefault="00BB24FE" w:rsidP="00217316">
            <w:pPr>
              <w:pStyle w:val="Subtitle"/>
            </w:pPr>
            <w:r>
              <w:t>Average MFP growth</w:t>
            </w:r>
            <w:r w:rsidRPr="00DE2605">
              <w:rPr>
                <w:rStyle w:val="NoteLabel"/>
              </w:rPr>
              <w:t>a</w:t>
            </w:r>
            <w:r>
              <w:t xml:space="preserve"> by decade </w:t>
            </w:r>
          </w:p>
        </w:tc>
      </w:tr>
      <w:tr w:rsidR="00BB24FE" w14:paraId="1A699F53" w14:textId="77777777" w:rsidTr="29E7BBA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B24FE" w:rsidRPr="00B1465D" w14:paraId="560A7013" w14:textId="77777777" w:rsidTr="29E7BBAE">
              <w:trPr>
                <w:tblHeader/>
                <w:jc w:val="center"/>
              </w:trPr>
              <w:tc>
                <w:tcPr>
                  <w:tcW w:w="5000" w:type="pct"/>
                  <w:tcBorders>
                    <w:top w:val="nil"/>
                    <w:bottom w:val="nil"/>
                  </w:tcBorders>
                </w:tcPr>
                <w:p w14:paraId="095326F6" w14:textId="77777777" w:rsidR="00BB24FE" w:rsidRPr="00B1465D" w:rsidRDefault="00BB24FE" w:rsidP="00217316">
                  <w:pPr>
                    <w:pStyle w:val="Figure"/>
                    <w:spacing w:before="60" w:after="60"/>
                    <w:rPr>
                      <w:rFonts w:ascii="Arial" w:hAnsi="Arial" w:cs="Arial"/>
                      <w:sz w:val="18"/>
                      <w:szCs w:val="18"/>
                    </w:rPr>
                  </w:pPr>
                  <w:r w:rsidRPr="009F4022">
                    <w:rPr>
                      <w:rFonts w:ascii="Arial" w:hAnsi="Arial" w:cs="Arial"/>
                      <w:noProof/>
                      <w:sz w:val="18"/>
                      <w:szCs w:val="18"/>
                    </w:rPr>
                    <w:drawing>
                      <wp:inline distT="0" distB="0" distL="0" distR="0" wp14:anchorId="7C96D846" wp14:editId="65D7314A">
                        <wp:extent cx="5410200" cy="2638425"/>
                        <wp:effectExtent l="0" t="0" r="0" b="9525"/>
                        <wp:docPr id="15" name="Picture 15" descr="This chart shows the ten-year average multifactor productivity (MFP) growth in Australia in each of the decades from 1960 to 2010. MFP growth was significantly higher in the 1990s than in the 70, 80, 2000s or the 2010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chart shows the ten-year average multifactor productivity (MFP) growth in Australia in each of the decades from 1960 to 2010. MFP growth was significantly higher in the 1990s than in the 70, 80, 2000s or the 2010s.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10200" cy="2638425"/>
                                </a:xfrm>
                                <a:prstGeom prst="rect">
                                  <a:avLst/>
                                </a:prstGeom>
                                <a:noFill/>
                                <a:ln>
                                  <a:noFill/>
                                </a:ln>
                              </pic:spPr>
                            </pic:pic>
                          </a:graphicData>
                        </a:graphic>
                      </wp:inline>
                    </w:drawing>
                  </w:r>
                </w:p>
              </w:tc>
            </w:tr>
          </w:tbl>
          <w:p w14:paraId="697A7865" w14:textId="77777777" w:rsidR="00BB24FE" w:rsidRDefault="00BB24FE" w:rsidP="00217316">
            <w:pPr>
              <w:pStyle w:val="Figure"/>
            </w:pPr>
          </w:p>
        </w:tc>
      </w:tr>
      <w:tr w:rsidR="00BB24FE" w:rsidRPr="00176D3F" w14:paraId="067623EA" w14:textId="77777777" w:rsidTr="29E7BBAE">
        <w:tc>
          <w:tcPr>
            <w:tcW w:w="5000" w:type="pct"/>
            <w:tcBorders>
              <w:top w:val="nil"/>
              <w:left w:val="nil"/>
              <w:bottom w:val="nil"/>
              <w:right w:val="nil"/>
            </w:tcBorders>
            <w:shd w:val="clear" w:color="auto" w:fill="auto"/>
          </w:tcPr>
          <w:p w14:paraId="6111E474" w14:textId="77777777" w:rsidR="00BB24FE" w:rsidRPr="00176D3F" w:rsidRDefault="00BB24FE" w:rsidP="00217316">
            <w:pPr>
              <w:pStyle w:val="ListNumber"/>
              <w:keepLines/>
              <w:numPr>
                <w:ilvl w:val="0"/>
                <w:numId w:val="0"/>
              </w:numPr>
              <w:spacing w:before="80" w:line="220" w:lineRule="exact"/>
            </w:pPr>
            <w:r>
              <w:rPr>
                <w:rStyle w:val="NoteLabel"/>
              </w:rPr>
              <w:t>a</w:t>
            </w:r>
            <w:r>
              <w:t xml:space="preserve"> </w:t>
            </w:r>
            <w:r w:rsidRPr="00DE2605">
              <w:rPr>
                <w:rStyle w:val="NoteChar"/>
              </w:rPr>
              <w:t xml:space="preserve">These estimates use an exogenously </w:t>
            </w:r>
            <w:r>
              <w:rPr>
                <w:rStyle w:val="NoteChar"/>
              </w:rPr>
              <w:t>fair</w:t>
            </w:r>
            <w:r w:rsidRPr="00DE2605">
              <w:rPr>
                <w:rStyle w:val="NoteChar"/>
              </w:rPr>
              <w:t xml:space="preserve"> rate of return</w:t>
            </w:r>
            <w:r>
              <w:rPr>
                <w:rStyle w:val="NoteChar"/>
              </w:rPr>
              <w:t xml:space="preserve"> to capital</w:t>
            </w:r>
            <w:r w:rsidRPr="00DE2605">
              <w:rPr>
                <w:rStyle w:val="NoteChar"/>
              </w:rPr>
              <w:t xml:space="preserve"> in calculating MFP, as opposed to the endogenous method used by the ABS. This, as well as the constant assumed labour share of income, mean these estimates are not directly comparable to those made by the ABS.</w:t>
            </w:r>
            <w:r>
              <w:rPr>
                <w:rStyle w:val="NoteChar"/>
              </w:rPr>
              <w:t xml:space="preserve"> That said these figures are similar to earlier (no longer </w:t>
            </w:r>
            <w:r w:rsidR="00466BF1">
              <w:rPr>
                <w:rStyle w:val="NoteChar"/>
              </w:rPr>
              <w:t>publicly</w:t>
            </w:r>
            <w:r>
              <w:rPr>
                <w:rStyle w:val="NoteChar"/>
              </w:rPr>
              <w:t xml:space="preserve"> available) estimates by the ABS.  </w:t>
            </w:r>
          </w:p>
        </w:tc>
      </w:tr>
      <w:tr w:rsidR="00BB24FE" w:rsidRPr="00176D3F" w14:paraId="7AC26EDC" w14:textId="77777777" w:rsidTr="29E7BBAE">
        <w:tc>
          <w:tcPr>
            <w:tcW w:w="5000" w:type="pct"/>
            <w:tcBorders>
              <w:top w:val="nil"/>
              <w:left w:val="nil"/>
              <w:bottom w:val="nil"/>
              <w:right w:val="nil"/>
            </w:tcBorders>
            <w:shd w:val="clear" w:color="auto" w:fill="auto"/>
          </w:tcPr>
          <w:p w14:paraId="7D4C7F74" w14:textId="70E4F1F9" w:rsidR="00BB24FE" w:rsidRPr="00176D3F" w:rsidRDefault="00BB24FE" w:rsidP="0021235D">
            <w:pPr>
              <w:pStyle w:val="Source"/>
              <w:spacing w:after="0"/>
            </w:pPr>
            <w:r>
              <w:rPr>
                <w:i/>
              </w:rPr>
              <w:t>S</w:t>
            </w:r>
            <w:r w:rsidRPr="00784A05">
              <w:rPr>
                <w:i/>
              </w:rPr>
              <w:t>ource</w:t>
            </w:r>
            <w:r w:rsidRPr="00176D3F">
              <w:t xml:space="preserve">: </w:t>
            </w:r>
            <w:r>
              <w:t>Bolt et al.</w:t>
            </w:r>
            <w:r w:rsidR="00B85CD5">
              <w:t xml:space="preserve"> </w:t>
            </w:r>
            <w:r w:rsidR="00B85CD5" w:rsidRPr="00B85CD5">
              <w:rPr>
                <w:rFonts w:cs="Arial"/>
              </w:rPr>
              <w:t>(2018)</w:t>
            </w:r>
            <w:r>
              <w:t>.</w:t>
            </w:r>
          </w:p>
        </w:tc>
      </w:tr>
      <w:tr w:rsidR="00BB24FE" w14:paraId="4F27FFB7" w14:textId="77777777" w:rsidTr="29E7BBAE">
        <w:tc>
          <w:tcPr>
            <w:tcW w:w="5000" w:type="pct"/>
            <w:tcBorders>
              <w:top w:val="nil"/>
              <w:left w:val="nil"/>
              <w:bottom w:val="single" w:sz="6" w:space="0" w:color="78A22F" w:themeColor="accent1"/>
              <w:right w:val="nil"/>
            </w:tcBorders>
            <w:shd w:val="clear" w:color="auto" w:fill="auto"/>
          </w:tcPr>
          <w:p w14:paraId="1023F984" w14:textId="77777777" w:rsidR="00BB24FE" w:rsidRDefault="00BB24FE" w:rsidP="00217316">
            <w:pPr>
              <w:pStyle w:val="Figurespace"/>
            </w:pPr>
          </w:p>
        </w:tc>
      </w:tr>
      <w:tr w:rsidR="00BB24FE" w:rsidRPr="000863A5" w14:paraId="60DFEAEF" w14:textId="77777777" w:rsidTr="29E7BBAE">
        <w:tc>
          <w:tcPr>
            <w:tcW w:w="5000" w:type="pct"/>
            <w:tcBorders>
              <w:top w:val="single" w:sz="6" w:space="0" w:color="78A22F" w:themeColor="accent1"/>
              <w:left w:val="nil"/>
              <w:bottom w:val="nil"/>
              <w:right w:val="nil"/>
            </w:tcBorders>
          </w:tcPr>
          <w:p w14:paraId="4C89E340" w14:textId="5B88D781" w:rsidR="00BB24FE" w:rsidRPr="00626D32" w:rsidRDefault="00BB24FE" w:rsidP="00217316">
            <w:pPr>
              <w:pStyle w:val="BoxSpaceBelow"/>
            </w:pPr>
          </w:p>
        </w:tc>
      </w:tr>
    </w:tbl>
    <w:p w14:paraId="04AF4753" w14:textId="2BC0626E" w:rsidR="00294A70" w:rsidRDefault="00294A70" w:rsidP="00294A7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94A70" w14:paraId="1B48D8E9" w14:textId="77777777" w:rsidTr="00A36D9F">
        <w:trPr>
          <w:tblHeader/>
        </w:trPr>
        <w:tc>
          <w:tcPr>
            <w:tcW w:w="5000" w:type="pct"/>
            <w:tcBorders>
              <w:top w:val="single" w:sz="6" w:space="0" w:color="78A22F" w:themeColor="accent1"/>
              <w:left w:val="nil"/>
              <w:bottom w:val="nil"/>
              <w:right w:val="nil"/>
            </w:tcBorders>
            <w:shd w:val="clear" w:color="auto" w:fill="auto"/>
          </w:tcPr>
          <w:p w14:paraId="534FECD4" w14:textId="77777777" w:rsidR="00294A70" w:rsidRPr="0021235D" w:rsidRDefault="00294A70" w:rsidP="00A36D9F">
            <w:pPr>
              <w:pStyle w:val="FigureTitle"/>
              <w:rPr>
                <w:rFonts w:ascii="Arial Bold" w:hAnsi="Arial Bold"/>
                <w:spacing w:val="-6"/>
                <w:sz w:val="24"/>
                <w:szCs w:val="24"/>
              </w:rPr>
            </w:pPr>
            <w:r w:rsidRPr="0021235D">
              <w:rPr>
                <w:b w:val="0"/>
                <w:sz w:val="24"/>
                <w:szCs w:val="24"/>
              </w:rPr>
              <w:t>Figure 21</w:t>
            </w:r>
            <w:r w:rsidRPr="0021235D">
              <w:rPr>
                <w:sz w:val="24"/>
                <w:szCs w:val="24"/>
              </w:rPr>
              <w:tab/>
            </w:r>
            <w:r w:rsidRPr="0021235D">
              <w:rPr>
                <w:rFonts w:ascii="Arial Bold" w:hAnsi="Arial Bold"/>
                <w:spacing w:val="-6"/>
                <w:sz w:val="24"/>
                <w:szCs w:val="24"/>
              </w:rPr>
              <w:t>… which helped Australian GDP growth outpace other advanced economies</w:t>
            </w:r>
          </w:p>
          <w:p w14:paraId="3C3D6B44" w14:textId="77777777" w:rsidR="00294A70" w:rsidRPr="00176D3F" w:rsidRDefault="00294A70" w:rsidP="00A36D9F">
            <w:pPr>
              <w:pStyle w:val="Subtitle"/>
            </w:pPr>
            <w:r>
              <w:t xml:space="preserve">Real GDP per capita indices (constant PPP) from 1990 to 2018 </w:t>
            </w:r>
          </w:p>
        </w:tc>
      </w:tr>
      <w:tr w:rsidR="00294A70" w14:paraId="7C372268" w14:textId="77777777" w:rsidTr="00A36D9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94A70" w:rsidRPr="00B1465D" w14:paraId="6B24B648" w14:textId="77777777" w:rsidTr="00A36D9F">
              <w:trPr>
                <w:tblHeader/>
                <w:jc w:val="center"/>
              </w:trPr>
              <w:tc>
                <w:tcPr>
                  <w:tcW w:w="5000" w:type="pct"/>
                  <w:tcBorders>
                    <w:top w:val="nil"/>
                    <w:bottom w:val="nil"/>
                  </w:tcBorders>
                </w:tcPr>
                <w:p w14:paraId="54B627E1" w14:textId="2A6DA112" w:rsidR="00294A70" w:rsidRPr="00B1465D" w:rsidRDefault="007A0495" w:rsidP="0021235D">
                  <w:pPr>
                    <w:pStyle w:val="Figure"/>
                    <w:spacing w:before="60" w:after="0"/>
                    <w:rPr>
                      <w:rFonts w:ascii="Arial" w:hAnsi="Arial" w:cs="Arial"/>
                      <w:sz w:val="18"/>
                      <w:szCs w:val="18"/>
                    </w:rPr>
                  </w:pPr>
                  <w:r w:rsidRPr="007A0495">
                    <w:rPr>
                      <w:rFonts w:ascii="Arial" w:hAnsi="Arial" w:cs="Arial"/>
                      <w:noProof/>
                      <w:sz w:val="18"/>
                      <w:szCs w:val="18"/>
                    </w:rPr>
                    <w:drawing>
                      <wp:inline distT="0" distB="0" distL="0" distR="0" wp14:anchorId="71A011B9" wp14:editId="5FFC0BCF">
                        <wp:extent cx="5382895" cy="2698750"/>
                        <wp:effectExtent l="0" t="0" r="8255" b="6350"/>
                        <wp:docPr id="54" name="Picture 54" descr="This chart displays indices of GDP per capita in Australia and the G7 countries between 1990 and 2017. Australia had faster GDP growth than the other countries, with this gap widening following the Global Financial Crisis in 2007 to 2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his chart displays indices of GDP per capita in Australia and the G7 countries between 1990 and 2017. Australia had faster GDP growth than the other countries, with this gap widening following the Global Financial Crisis in 2007 to 2009.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82895" cy="2698750"/>
                                </a:xfrm>
                                <a:prstGeom prst="rect">
                                  <a:avLst/>
                                </a:prstGeom>
                                <a:noFill/>
                                <a:ln>
                                  <a:noFill/>
                                </a:ln>
                              </pic:spPr>
                            </pic:pic>
                          </a:graphicData>
                        </a:graphic>
                      </wp:inline>
                    </w:drawing>
                  </w:r>
                </w:p>
              </w:tc>
            </w:tr>
          </w:tbl>
          <w:p w14:paraId="7A71D64C" w14:textId="77777777" w:rsidR="00294A70" w:rsidRDefault="00294A70" w:rsidP="00A36D9F">
            <w:pPr>
              <w:pStyle w:val="Figure"/>
            </w:pPr>
          </w:p>
        </w:tc>
      </w:tr>
      <w:tr w:rsidR="00294A70" w:rsidRPr="00176D3F" w14:paraId="4D7AD842" w14:textId="77777777" w:rsidTr="00A36D9F">
        <w:tc>
          <w:tcPr>
            <w:tcW w:w="5000" w:type="pct"/>
            <w:tcBorders>
              <w:top w:val="nil"/>
              <w:left w:val="nil"/>
              <w:bottom w:val="nil"/>
              <w:right w:val="nil"/>
            </w:tcBorders>
            <w:shd w:val="clear" w:color="auto" w:fill="auto"/>
          </w:tcPr>
          <w:p w14:paraId="6A2FF946" w14:textId="5D6D4A02" w:rsidR="00294A70" w:rsidRPr="005555EB" w:rsidRDefault="00294A70" w:rsidP="0021235D">
            <w:pPr>
              <w:pStyle w:val="Source"/>
              <w:spacing w:after="0"/>
              <w:rPr>
                <w:i/>
              </w:rPr>
            </w:pPr>
            <w:r>
              <w:rPr>
                <w:i/>
              </w:rPr>
              <w:t>S</w:t>
            </w:r>
            <w:r w:rsidRPr="00784A05">
              <w:rPr>
                <w:i/>
              </w:rPr>
              <w:t>ource</w:t>
            </w:r>
            <w:r w:rsidRPr="00176D3F">
              <w:t xml:space="preserve">: </w:t>
            </w:r>
            <w:r>
              <w:t>OECD STAT database.</w:t>
            </w:r>
          </w:p>
        </w:tc>
      </w:tr>
      <w:tr w:rsidR="00294A70" w14:paraId="008B0E8F" w14:textId="77777777" w:rsidTr="00A36D9F">
        <w:tc>
          <w:tcPr>
            <w:tcW w:w="5000" w:type="pct"/>
            <w:tcBorders>
              <w:top w:val="nil"/>
              <w:left w:val="nil"/>
              <w:bottom w:val="single" w:sz="6" w:space="0" w:color="78A22F" w:themeColor="accent1"/>
              <w:right w:val="nil"/>
            </w:tcBorders>
            <w:shd w:val="clear" w:color="auto" w:fill="auto"/>
          </w:tcPr>
          <w:p w14:paraId="7CC7300B" w14:textId="77777777" w:rsidR="00294A70" w:rsidRDefault="00294A70" w:rsidP="00A36D9F">
            <w:pPr>
              <w:pStyle w:val="Figurespace"/>
            </w:pPr>
          </w:p>
        </w:tc>
      </w:tr>
      <w:tr w:rsidR="00294A70" w:rsidRPr="000863A5" w14:paraId="116E50F2" w14:textId="77777777" w:rsidTr="00A36D9F">
        <w:tc>
          <w:tcPr>
            <w:tcW w:w="5000" w:type="pct"/>
            <w:tcBorders>
              <w:top w:val="single" w:sz="6" w:space="0" w:color="78A22F" w:themeColor="accent1"/>
              <w:left w:val="nil"/>
              <w:bottom w:val="nil"/>
              <w:right w:val="nil"/>
            </w:tcBorders>
          </w:tcPr>
          <w:p w14:paraId="71BA4176" w14:textId="0E8CE563" w:rsidR="00294A70" w:rsidRPr="00626D32" w:rsidRDefault="00294A70" w:rsidP="00A36D9F">
            <w:pPr>
              <w:pStyle w:val="BoxSpaceBelow"/>
            </w:pPr>
          </w:p>
        </w:tc>
      </w:tr>
    </w:tbl>
    <w:p w14:paraId="6EE1AC83" w14:textId="7A3168EC" w:rsidR="00F15110" w:rsidRPr="005D052E" w:rsidRDefault="00782BF3" w:rsidP="00F15110">
      <w:pPr>
        <w:pStyle w:val="Heading2"/>
      </w:pPr>
      <w:bookmarkStart w:id="14" w:name="_Toc56080376"/>
      <w:r>
        <w:rPr>
          <w:noProof/>
        </w:rPr>
        <w:lastRenderedPageBreak/>
        <w:t>6</w:t>
      </w:r>
      <w:r>
        <w:rPr>
          <w:noProof/>
        </w:rPr>
        <w:tab/>
      </w:r>
      <w:r w:rsidR="00F15110">
        <w:t>Where to next?</w:t>
      </w:r>
      <w:bookmarkEnd w:id="14"/>
    </w:p>
    <w:p w14:paraId="13BAC117" w14:textId="77777777" w:rsidR="00F15110" w:rsidRDefault="00F15110" w:rsidP="00E72527">
      <w:pPr>
        <w:pStyle w:val="BodyText"/>
        <w:spacing w:line="280" w:lineRule="atLeast"/>
      </w:pPr>
      <w:r>
        <w:t>This paper has sketched out a brief history of productivity growth in Australia</w:t>
      </w:r>
      <w:r w:rsidR="00F21513">
        <w:t xml:space="preserve"> and</w:t>
      </w:r>
      <w:r>
        <w:t xml:space="preserve"> </w:t>
      </w:r>
      <w:r w:rsidR="00F21513">
        <w:t>i</w:t>
      </w:r>
      <w:r>
        <w:t xml:space="preserve">n so doing, traced the evolution of economic policy. </w:t>
      </w:r>
      <w:r w:rsidR="007A12EF">
        <w:t>This</w:t>
      </w:r>
      <w:r>
        <w:t xml:space="preserve"> history is neither simple nor linear. Productivity growth has ebbed and flowed, </w:t>
      </w:r>
      <w:r w:rsidR="00E80AAE">
        <w:t>while the</w:t>
      </w:r>
      <w:r>
        <w:t xml:space="preserve"> overall trend </w:t>
      </w:r>
      <w:r w:rsidR="00E80AAE">
        <w:t>has been</w:t>
      </w:r>
      <w:r>
        <w:t xml:space="preserve"> towards higher productivity and increased average living standards. Similarly, policy has taken many twists and turns, partly in response to the major external impacts of world wars, pandemics, global depressions</w:t>
      </w:r>
      <w:r w:rsidR="008E0F5D">
        <w:t>,</w:t>
      </w:r>
      <w:r>
        <w:t xml:space="preserve"> and trade developments.  </w:t>
      </w:r>
    </w:p>
    <w:p w14:paraId="7E8E4AC5" w14:textId="5A726262" w:rsidR="00F15110" w:rsidRPr="00391134" w:rsidRDefault="00F15110" w:rsidP="00E72527">
      <w:pPr>
        <w:pStyle w:val="BodyText"/>
        <w:spacing w:line="280" w:lineRule="atLeast"/>
      </w:pPr>
      <w:r>
        <w:t>Nonetheless, stepping back</w:t>
      </w:r>
      <w:r w:rsidR="00E52F27">
        <w:t>,</w:t>
      </w:r>
      <w:r>
        <w:t xml:space="preserve"> some clear trends emerge. </w:t>
      </w:r>
      <w:r w:rsidR="009C3D54">
        <w:t>Early in the Twentieth Century, our new</w:t>
      </w:r>
      <w:r w:rsidR="006B0C02">
        <w:t>ly Federated</w:t>
      </w:r>
      <w:r w:rsidR="009C3D54">
        <w:t xml:space="preserve"> nation adopted the ‘Fortress Australia’ policy framework.</w:t>
      </w:r>
      <w:r w:rsidR="00ED7CB3">
        <w:t xml:space="preserve"> We embraced trade protection, strict labour market regulation and high barriers to (non</w:t>
      </w:r>
      <w:r w:rsidR="00ED7CB3">
        <w:noBreakHyphen/>
        <w:t xml:space="preserve">British) immigration. Much of this policy is understandable in context (there were less sophisticated policy instruments available to governments at the time) but </w:t>
      </w:r>
      <w:r w:rsidR="00ED7CB3" w:rsidRPr="00B85CD5">
        <w:t>was most likely detrimental to our long-term productivity performance.</w:t>
      </w:r>
      <w:r w:rsidR="009C3D54">
        <w:t xml:space="preserve"> By contrast, </w:t>
      </w:r>
      <w:r w:rsidR="009C3D54" w:rsidRPr="00391134">
        <w:t>policy reform from the early 1980s</w:t>
      </w:r>
      <w:r w:rsidR="009C3D54">
        <w:t xml:space="preserve"> focused on openness to trade, foreign investment, competition, and flexibility in the deployment of labour and capital across the economy. Whilst the evidence of causation is always imperfect, these reforms coincided with a turnaround in both Australia’s </w:t>
      </w:r>
      <w:r w:rsidR="009C3D54" w:rsidRPr="001A321C">
        <w:rPr>
          <w:i/>
        </w:rPr>
        <w:t>relative</w:t>
      </w:r>
      <w:r w:rsidR="009C3D54">
        <w:t xml:space="preserve"> and absolute productivity performance. This provides an important general lesson for the future</w:t>
      </w:r>
      <w:r w:rsidR="00ED3D0A" w:rsidRPr="00B85CD5">
        <w:t>.</w:t>
      </w:r>
    </w:p>
    <w:p w14:paraId="33D76958" w14:textId="62E17896" w:rsidR="009C3D54" w:rsidRDefault="009C3D54" w:rsidP="00E72527">
      <w:pPr>
        <w:pStyle w:val="BodyText"/>
        <w:spacing w:line="280" w:lineRule="atLeast"/>
      </w:pPr>
      <w:r>
        <w:t xml:space="preserve">Meanwhile, another story has unfolded over time with the gradual evolution of Australia from a primarily agricultural and mining economy towards a more diversified pattern of production. From the mid-Nineteenth Century, Australia tapped its natural advantages in agriculture and mining </w:t>
      </w:r>
      <w:r w:rsidR="00693E01">
        <w:t>—</w:t>
      </w:r>
      <w:r>
        <w:t xml:space="preserve"> sectors </w:t>
      </w:r>
      <w:r w:rsidR="00C9737D">
        <w:t>that</w:t>
      </w:r>
      <w:r>
        <w:t xml:space="preserve"> had a high share of Australian and global output at the time </w:t>
      </w:r>
      <w:r w:rsidR="00693E01">
        <w:t>—</w:t>
      </w:r>
      <w:r>
        <w:t xml:space="preserve"> </w:t>
      </w:r>
      <w:r w:rsidR="00C9737D">
        <w:t>that</w:t>
      </w:r>
      <w:r>
        <w:t xml:space="preserve"> gave Australians among the highest average incomes in the world.</w:t>
      </w:r>
    </w:p>
    <w:p w14:paraId="69F11F85" w14:textId="77777777" w:rsidR="00F15110" w:rsidRDefault="00F15110" w:rsidP="00E72527">
      <w:pPr>
        <w:pStyle w:val="BodyText"/>
        <w:spacing w:line="280" w:lineRule="atLeast"/>
      </w:pPr>
      <w:r>
        <w:t xml:space="preserve">The </w:t>
      </w:r>
      <w:r w:rsidR="006D238C">
        <w:t>T</w:t>
      </w:r>
      <w:r>
        <w:t xml:space="preserve">wentieth </w:t>
      </w:r>
      <w:r w:rsidR="006D238C">
        <w:t>C</w:t>
      </w:r>
      <w:r>
        <w:t>entury saw the continued rise of manufacturing around the world. But Australia never became a global leader in manufacturing, as it had (and remains today) in agriculture and mining. By contrast, other developed and emerging economies achieved significant gains in productivity and living standards on the back of growing, highly efficient manufacturing sectors.</w:t>
      </w:r>
    </w:p>
    <w:p w14:paraId="62532740" w14:textId="2EB9BD56" w:rsidR="00F15110" w:rsidRDefault="00F15110" w:rsidP="00E72527">
      <w:pPr>
        <w:pStyle w:val="BodyText"/>
        <w:spacing w:line="280" w:lineRule="atLeast"/>
      </w:pPr>
      <w:r>
        <w:t>More recently, the pattern of production has changed again. Globally, the services sector has grown to comprise the majority of employment and value added in developed economies</w:t>
      </w:r>
      <w:r w:rsidR="004D4456">
        <w:t xml:space="preserve">. </w:t>
      </w:r>
      <w:r>
        <w:t xml:space="preserve">Australia is no </w:t>
      </w:r>
      <w:r w:rsidRPr="00432BC6">
        <w:t xml:space="preserve">exception. </w:t>
      </w:r>
      <w:r w:rsidR="004438A6">
        <w:t>The s</w:t>
      </w:r>
      <w:r w:rsidR="009C3D54" w:rsidRPr="00B85CD5">
        <w:t>ervice</w:t>
      </w:r>
      <w:r w:rsidRPr="00B85CD5">
        <w:t xml:space="preserve"> sector</w:t>
      </w:r>
      <w:r w:rsidR="004438A6">
        <w:t>,</w:t>
      </w:r>
      <w:r w:rsidRPr="00B85CD5">
        <w:t xml:space="preserve"> once considered a ‘residual sector’</w:t>
      </w:r>
      <w:r w:rsidR="004438A6">
        <w:t>,</w:t>
      </w:r>
      <w:r w:rsidRPr="00B85CD5">
        <w:t xml:space="preserve"> now constitutes 90 per cent of employment </w:t>
      </w:r>
      <w:r w:rsidR="001567D3" w:rsidRPr="001567D3">
        <w:rPr>
          <w:szCs w:val="24"/>
        </w:rPr>
        <w:t>(ABS 2020d)</w:t>
      </w:r>
      <w:r w:rsidRPr="00B85CD5">
        <w:t>.</w:t>
      </w:r>
    </w:p>
    <w:p w14:paraId="2B15BEB5" w14:textId="77777777" w:rsidR="00F15110" w:rsidRDefault="00F15110" w:rsidP="00E72527">
      <w:pPr>
        <w:pStyle w:val="BodyText"/>
        <w:spacing w:line="280" w:lineRule="atLeast"/>
      </w:pPr>
      <w:r>
        <w:t xml:space="preserve">In the </w:t>
      </w:r>
      <w:r w:rsidR="00053109">
        <w:t>Twenty-First Century</w:t>
      </w:r>
      <w:r>
        <w:t>, to be a high productivity economy requires having a high</w:t>
      </w:r>
      <w:r w:rsidR="0010788A">
        <w:t>ly</w:t>
      </w:r>
      <w:r>
        <w:t xml:space="preserve"> productiv</w:t>
      </w:r>
      <w:r w:rsidR="0010788A">
        <w:t>e</w:t>
      </w:r>
      <w:r>
        <w:t xml:space="preserve"> services sector. But the path to productivity growth in services may look different to that taken in goods sectors like manufacturing, mining</w:t>
      </w:r>
      <w:r w:rsidR="00355AC3">
        <w:t>,</w:t>
      </w:r>
      <w:r>
        <w:t xml:space="preserve"> and agriculture. </w:t>
      </w:r>
    </w:p>
    <w:p w14:paraId="7C41F447" w14:textId="0C526135" w:rsidR="009C3D54" w:rsidRDefault="009C3D54" w:rsidP="00E72527">
      <w:pPr>
        <w:pStyle w:val="BodyText"/>
        <w:spacing w:line="280" w:lineRule="atLeast"/>
      </w:pPr>
      <w:r>
        <w:t xml:space="preserve">The services sector is diverse and there is a wide dispersion of productivity growth across it. Knowledge based services </w:t>
      </w:r>
      <w:r w:rsidR="004438A6">
        <w:t>—</w:t>
      </w:r>
      <w:r>
        <w:t xml:space="preserve"> such as professional services and finance </w:t>
      </w:r>
      <w:r w:rsidR="00163708">
        <w:t>—</w:t>
      </w:r>
      <w:r>
        <w:t xml:space="preserve"> have experienced high productivity growth, technology adoption and significant knowledge </w:t>
      </w:r>
      <w:r w:rsidR="00163708">
        <w:t>spill overs</w:t>
      </w:r>
      <w:r>
        <w:t xml:space="preserve">. On the other hand, personal service industries are often characterised by low productivity growth and high labour intensity. </w:t>
      </w:r>
    </w:p>
    <w:p w14:paraId="09452F6C" w14:textId="6226CF4B" w:rsidR="009C3D54" w:rsidRDefault="009C3D54" w:rsidP="00E72527">
      <w:pPr>
        <w:pStyle w:val="BodyText"/>
        <w:spacing w:line="280" w:lineRule="atLeast"/>
      </w:pPr>
      <w:r>
        <w:t xml:space="preserve">But in general, relative to goods, services are typically less standardised and often delivered in person. They are frequently sold in localised markets and even where large services firms </w:t>
      </w:r>
      <w:r>
        <w:lastRenderedPageBreak/>
        <w:t xml:space="preserve">exist, activity and decision making is often decentralised to be closer to customers </w:t>
      </w:r>
      <w:r w:rsidR="00684229" w:rsidRPr="00684229">
        <w:rPr>
          <w:szCs w:val="24"/>
        </w:rPr>
        <w:t>(Sorbe, Gal and Millot 2018)</w:t>
      </w:r>
      <w:r>
        <w:t xml:space="preserve">. This can place some limits on scale economies and capital deepening </w:t>
      </w:r>
      <w:r w:rsidR="006B0C02">
        <w:t>—</w:t>
      </w:r>
      <w:r>
        <w:t xml:space="preserve"> to date it has been hard to achieve automation in many service firms. By contrast, manufacturing and mining achieved large productivity gains by successfully automating many routine aspects of the production process. </w:t>
      </w:r>
    </w:p>
    <w:p w14:paraId="3E38FDCE" w14:textId="0F40A17B" w:rsidR="00F15110" w:rsidRDefault="009C3D54" w:rsidP="00E72527">
      <w:pPr>
        <w:pStyle w:val="BodyText"/>
        <w:spacing w:line="280" w:lineRule="atLeast"/>
      </w:pPr>
      <w:r>
        <w:t xml:space="preserve">Nonetheless, there is considerable scope for future innovation and productivity growth in services, particularly through technology </w:t>
      </w:r>
      <w:r w:rsidR="00E50AF1" w:rsidRPr="005E1CE7">
        <w:rPr>
          <w:szCs w:val="24"/>
        </w:rPr>
        <w:t>(PC 2002)</w:t>
      </w:r>
      <w:r>
        <w:t>.</w:t>
      </w:r>
      <w:r w:rsidR="00F15110">
        <w:t xml:space="preserve"> Artificial intelligence, use of data and new digital platforms offer the prospect of cutting transaction costs and increasing competition, including through international trade</w:t>
      </w:r>
      <w:r w:rsidR="00E50AF1">
        <w:t>.</w:t>
      </w:r>
    </w:p>
    <w:p w14:paraId="2B6D8AD3" w14:textId="77777777" w:rsidR="00F15110" w:rsidRDefault="00F15110" w:rsidP="00E72527">
      <w:pPr>
        <w:pStyle w:val="BodyText"/>
        <w:spacing w:line="280" w:lineRule="atLeast"/>
      </w:pPr>
      <w:r>
        <w:t xml:space="preserve">But as in the past, policy will be a key determinant of success. </w:t>
      </w:r>
    </w:p>
    <w:p w14:paraId="247382F7" w14:textId="5ECA3A6C" w:rsidR="009C3D54" w:rsidRDefault="009C3D54" w:rsidP="00E72527">
      <w:pPr>
        <w:pStyle w:val="BodyText"/>
        <w:spacing w:line="280" w:lineRule="atLeast"/>
      </w:pPr>
      <w:r>
        <w:t>For example, innovation in some services industries could involve less emphasis on traditional research and development and greater reliance on new business models and new business formation as a vehicle for experimentation. Hence the quality and adaptability of regulation will be a key factor. Human capital (including the health and skills of the workforce) could become increasingly important to these labour</w:t>
      </w:r>
      <w:r w:rsidR="00163708">
        <w:noBreakHyphen/>
      </w:r>
      <w:r>
        <w:t>intensive industries, as could the mobility and flexibility of labour between locations, firms, and sectors. Supporting appropriate risk appetite and avoiding policies that either favour incumbents or act as impediments to new entrants can support this process.</w:t>
      </w:r>
    </w:p>
    <w:p w14:paraId="7E740E0D" w14:textId="77777777" w:rsidR="00F15110" w:rsidRDefault="009C3D54" w:rsidP="00E72527">
      <w:pPr>
        <w:pStyle w:val="BodyText"/>
        <w:spacing w:line="280" w:lineRule="atLeast"/>
      </w:pPr>
      <w:r w:rsidRPr="00B85CD5">
        <w:t>Due to the service sector’s diversity, there can be no cookie</w:t>
      </w:r>
      <w:r w:rsidRPr="00B85CD5">
        <w:noBreakHyphen/>
        <w:t>cutter policy approach appropriate to all sub</w:t>
      </w:r>
      <w:r w:rsidRPr="00B85CD5">
        <w:noBreakHyphen/>
        <w:t>industries.</w:t>
      </w:r>
      <w:r w:rsidR="00F15110">
        <w:t xml:space="preserve"> It may be that there is less of a role for traditional ‘big bang’ reforms, in favour of more tailored, targeted</w:t>
      </w:r>
      <w:r w:rsidR="00855562">
        <w:t>,</w:t>
      </w:r>
      <w:r w:rsidR="00F15110">
        <w:t xml:space="preserve"> and piecemeal changes. </w:t>
      </w:r>
    </w:p>
    <w:p w14:paraId="454BFE23" w14:textId="77777777" w:rsidR="00F15110" w:rsidRDefault="00F15110" w:rsidP="00E72527">
      <w:pPr>
        <w:pStyle w:val="BodyText"/>
        <w:spacing w:line="280" w:lineRule="atLeast"/>
      </w:pPr>
      <w:r>
        <w:t>Overall, the drivers of productivity growth in services, and the specific policies required to support it, are not sufficiently well understood. There is a need for new research in this area, similar to that which exposed the costs of trade protection in the post</w:t>
      </w:r>
      <w:r w:rsidR="002C550D">
        <w:t>-</w:t>
      </w:r>
      <w:r>
        <w:t>war period and paved the way for future liberalisation. This will be a focus for upcoming Commission analysis.</w:t>
      </w:r>
    </w:p>
    <w:p w14:paraId="0F615078" w14:textId="77777777" w:rsidR="00F15110" w:rsidRDefault="00F15110" w:rsidP="00E72527">
      <w:pPr>
        <w:pStyle w:val="BodyText"/>
        <w:spacing w:line="280" w:lineRule="atLeast"/>
      </w:pPr>
      <w:r>
        <w:t xml:space="preserve">However, the </w:t>
      </w:r>
      <w:r w:rsidRPr="001A321C">
        <w:rPr>
          <w:i/>
        </w:rPr>
        <w:t>general</w:t>
      </w:r>
      <w:r>
        <w:t xml:space="preserve"> lessons of the past remain robust: fostering innovation and diffusion of knowledge, openness to the world, flexibility in resource allocation and avoiding policies that promote particular industries, firms, technologies or inputs.  </w:t>
      </w:r>
    </w:p>
    <w:p w14:paraId="2358D793" w14:textId="77777777" w:rsidR="00F15110" w:rsidRDefault="00F15110" w:rsidP="00E72527">
      <w:pPr>
        <w:pStyle w:val="BodyText"/>
        <w:spacing w:line="280" w:lineRule="atLeast"/>
      </w:pPr>
      <w:r>
        <w:t xml:space="preserve">Past recessions have often resulted in some policy discontinuity. </w:t>
      </w:r>
      <w:r w:rsidR="00DA48E4">
        <w:t>‘Fortress Australia’</w:t>
      </w:r>
      <w:r>
        <w:t xml:space="preserve"> came on the heels of the 1890s recession. The 1930s depression prompted an increase in trade barriers around the world. By contrast, the early 1980s and early 1990s recessions were, in Australia, catalysts for many of the beneficial reforms discussed in this paper. </w:t>
      </w:r>
    </w:p>
    <w:p w14:paraId="2252DCEC" w14:textId="77777777" w:rsidR="00F15110" w:rsidRDefault="00F15110" w:rsidP="00E72527">
      <w:pPr>
        <w:pStyle w:val="BodyText"/>
        <w:spacing w:line="280" w:lineRule="atLeast"/>
      </w:pPr>
      <w:r>
        <w:t xml:space="preserve">Just as COVID-19 has brought sudden, disruptive change to the economy </w:t>
      </w:r>
      <w:r w:rsidR="00A17204">
        <w:t>(particularly</w:t>
      </w:r>
      <w:r>
        <w:t xml:space="preserve"> to employment, spending patterns and the use of technology</w:t>
      </w:r>
      <w:r w:rsidR="00A17204">
        <w:t>)</w:t>
      </w:r>
      <w:r>
        <w:t xml:space="preserve"> it is </w:t>
      </w:r>
      <w:r w:rsidR="002937F8">
        <w:t>likely</w:t>
      </w:r>
      <w:r>
        <w:t xml:space="preserve"> that underlying policy settings will </w:t>
      </w:r>
      <w:r w:rsidR="002937F8">
        <w:t xml:space="preserve">also </w:t>
      </w:r>
      <w:r w:rsidR="00F838F1">
        <w:t>be affected</w:t>
      </w:r>
      <w:r>
        <w:t xml:space="preserve">. Australian economic history shows that policy can either help or hinder the achievement of higher living standards. Building future prosperity will require new thinking, based on a fresh </w:t>
      </w:r>
      <w:r w:rsidR="007A2F1A">
        <w:t>policy</w:t>
      </w:r>
      <w:r>
        <w:t xml:space="preserve"> agenda</w:t>
      </w:r>
      <w:r w:rsidR="007A2F1A">
        <w:t xml:space="preserve"> informed by quality </w:t>
      </w:r>
      <w:r>
        <w:t>research, but firmly grounded in the lessons of the past.</w:t>
      </w:r>
    </w:p>
    <w:p w14:paraId="514F883F" w14:textId="66E884ED" w:rsidR="008A65CA" w:rsidRDefault="00D606B4" w:rsidP="005555EB">
      <w:pPr>
        <w:pStyle w:val="Heading2"/>
        <w:spacing w:after="240"/>
      </w:pPr>
      <w:bookmarkStart w:id="15" w:name="_Toc56080377"/>
      <w:r>
        <w:lastRenderedPageBreak/>
        <w:t>References</w:t>
      </w:r>
      <w:bookmarkEnd w:id="15"/>
    </w:p>
    <w:p w14:paraId="461C8902" w14:textId="588A9C56" w:rsidR="0033042C" w:rsidRPr="00616C1F" w:rsidRDefault="0033042C" w:rsidP="0068535E">
      <w:pPr>
        <w:pStyle w:val="Reference"/>
        <w:spacing w:before="100"/>
        <w:rPr>
          <w:spacing w:val="-4"/>
        </w:rPr>
      </w:pPr>
      <w:r w:rsidRPr="00616C1F">
        <w:rPr>
          <w:spacing w:val="-4"/>
        </w:rPr>
        <w:t>ABS</w:t>
      </w:r>
      <w:r w:rsidR="00D05AAD" w:rsidRPr="00616C1F">
        <w:rPr>
          <w:spacing w:val="-4"/>
        </w:rPr>
        <w:t xml:space="preserve"> (Australian Bureau of Statistics) </w:t>
      </w:r>
      <w:r w:rsidRPr="00616C1F">
        <w:rPr>
          <w:spacing w:val="-4"/>
        </w:rPr>
        <w:t xml:space="preserve">2018, </w:t>
      </w:r>
      <w:r w:rsidRPr="00616C1F">
        <w:rPr>
          <w:i/>
          <w:iCs/>
          <w:spacing w:val="-4"/>
        </w:rPr>
        <w:t>6202.0 - Labour Force, Australia</w:t>
      </w:r>
      <w:r w:rsidRPr="00616C1F">
        <w:rPr>
          <w:spacing w:val="-4"/>
        </w:rPr>
        <w:t>.</w:t>
      </w:r>
    </w:p>
    <w:p w14:paraId="39BA7835" w14:textId="144D6A42" w:rsidR="0033042C" w:rsidRPr="00616C1F" w:rsidRDefault="00D05AAD" w:rsidP="0068535E">
      <w:pPr>
        <w:pStyle w:val="Reference"/>
        <w:spacing w:before="100"/>
        <w:rPr>
          <w:spacing w:val="-4"/>
        </w:rPr>
      </w:pPr>
      <w:r w:rsidRPr="00616C1F">
        <w:rPr>
          <w:spacing w:val="-4"/>
        </w:rPr>
        <w:t xml:space="preserve">—— </w:t>
      </w:r>
      <w:r w:rsidR="0033042C" w:rsidRPr="00616C1F">
        <w:rPr>
          <w:spacing w:val="-4"/>
        </w:rPr>
        <w:t xml:space="preserve">2019, </w:t>
      </w:r>
      <w:r w:rsidR="0033042C" w:rsidRPr="00616C1F">
        <w:rPr>
          <w:i/>
          <w:iCs/>
          <w:spacing w:val="-4"/>
        </w:rPr>
        <w:t>Estimates of Industry Multifactor Productivity, 2018-19</w:t>
      </w:r>
      <w:r w:rsidR="0033042C" w:rsidRPr="00616C1F">
        <w:rPr>
          <w:spacing w:val="-4"/>
        </w:rPr>
        <w:t>, Cat. no. 5260.0.55.002, ABS, Canberra.</w:t>
      </w:r>
    </w:p>
    <w:p w14:paraId="23AD1141" w14:textId="77777777" w:rsidR="00D05AAD" w:rsidRPr="00616C1F" w:rsidRDefault="00D05AAD" w:rsidP="0068535E">
      <w:pPr>
        <w:pStyle w:val="Reference"/>
        <w:spacing w:before="100"/>
        <w:rPr>
          <w:spacing w:val="-4"/>
        </w:rPr>
      </w:pPr>
      <w:r w:rsidRPr="00616C1F">
        <w:rPr>
          <w:spacing w:val="-4"/>
        </w:rPr>
        <w:t xml:space="preserve">—— 2020a, </w:t>
      </w:r>
      <w:r w:rsidRPr="00616C1F">
        <w:rPr>
          <w:i/>
          <w:iCs/>
          <w:spacing w:val="-4"/>
        </w:rPr>
        <w:t>4940.0 - Household Impacts of COVID-19 Survey</w:t>
      </w:r>
      <w:r w:rsidRPr="00616C1F">
        <w:rPr>
          <w:spacing w:val="-4"/>
        </w:rPr>
        <w:t>, ABS.</w:t>
      </w:r>
    </w:p>
    <w:p w14:paraId="417BB9E3" w14:textId="6B0B69CB" w:rsidR="00D05AAD" w:rsidRPr="00616C1F" w:rsidRDefault="00507F65" w:rsidP="0068535E">
      <w:pPr>
        <w:pStyle w:val="Reference"/>
        <w:spacing w:before="100"/>
        <w:rPr>
          <w:spacing w:val="-4"/>
        </w:rPr>
      </w:pPr>
      <w:r>
        <w:rPr>
          <w:spacing w:val="-4"/>
        </w:rPr>
        <w:t>—— </w:t>
      </w:r>
      <w:r w:rsidR="00D05AAD" w:rsidRPr="00616C1F">
        <w:rPr>
          <w:spacing w:val="-4"/>
        </w:rPr>
        <w:t xml:space="preserve">2020b, </w:t>
      </w:r>
      <w:r w:rsidR="00D05AAD" w:rsidRPr="00616C1F">
        <w:rPr>
          <w:i/>
          <w:iCs/>
          <w:spacing w:val="-4"/>
        </w:rPr>
        <w:t>5206.0 - Australian National Accounts: National Income, Expenditure and Product</w:t>
      </w:r>
      <w:r w:rsidR="00D05AAD" w:rsidRPr="00616C1F">
        <w:rPr>
          <w:spacing w:val="-4"/>
        </w:rPr>
        <w:t>, ABS.</w:t>
      </w:r>
    </w:p>
    <w:p w14:paraId="42971A0C" w14:textId="77777777" w:rsidR="00D05AAD" w:rsidRPr="00616C1F" w:rsidRDefault="00D05AAD" w:rsidP="0068535E">
      <w:pPr>
        <w:pStyle w:val="Reference"/>
        <w:spacing w:before="100"/>
        <w:rPr>
          <w:spacing w:val="-4"/>
        </w:rPr>
      </w:pPr>
      <w:r w:rsidRPr="00616C1F">
        <w:rPr>
          <w:spacing w:val="-4"/>
        </w:rPr>
        <w:t xml:space="preserve">—— 2020c, </w:t>
      </w:r>
      <w:r w:rsidRPr="00616C1F">
        <w:rPr>
          <w:i/>
          <w:iCs/>
          <w:spacing w:val="-4"/>
        </w:rPr>
        <w:t>6202.0 - Labour Force, Australia</w:t>
      </w:r>
      <w:r w:rsidRPr="00616C1F">
        <w:rPr>
          <w:spacing w:val="-4"/>
        </w:rPr>
        <w:t>, ABS.</w:t>
      </w:r>
    </w:p>
    <w:p w14:paraId="39CF1D5F" w14:textId="38C7094F" w:rsidR="00D05AAD" w:rsidRPr="00616C1F" w:rsidRDefault="00507F65" w:rsidP="0068535E">
      <w:pPr>
        <w:pStyle w:val="Reference"/>
        <w:spacing w:before="100"/>
        <w:rPr>
          <w:spacing w:val="-4"/>
        </w:rPr>
      </w:pPr>
      <w:r>
        <w:rPr>
          <w:spacing w:val="-4"/>
        </w:rPr>
        <w:t>—— </w:t>
      </w:r>
      <w:r w:rsidR="00D05AAD" w:rsidRPr="00616C1F">
        <w:rPr>
          <w:spacing w:val="-4"/>
        </w:rPr>
        <w:t xml:space="preserve">2020d, </w:t>
      </w:r>
      <w:r w:rsidR="00D05AAD" w:rsidRPr="00616C1F">
        <w:rPr>
          <w:i/>
          <w:iCs/>
          <w:spacing w:val="-4"/>
        </w:rPr>
        <w:t>Labour Force, Australia, Detailed, Quarterly, cat. no. 6291</w:t>
      </w:r>
      <w:r w:rsidR="00D05AAD" w:rsidRPr="00616C1F">
        <w:rPr>
          <w:spacing w:val="-4"/>
        </w:rPr>
        <w:t>, 26 March, https://www.abs.gov.au/statistics/labour/employment-and-unemployment/labour-force-australia-detailed-quarterly/latest-release (accessed 4 November 2020).</w:t>
      </w:r>
    </w:p>
    <w:p w14:paraId="5CD9EE5F" w14:textId="77777777" w:rsidR="001A4052" w:rsidRPr="00616C1F" w:rsidRDefault="001A4052" w:rsidP="001A4052">
      <w:pPr>
        <w:pStyle w:val="Reference"/>
        <w:spacing w:before="100"/>
        <w:rPr>
          <w:spacing w:val="-4"/>
        </w:rPr>
      </w:pPr>
      <w:r w:rsidRPr="00616C1F">
        <w:rPr>
          <w:spacing w:val="-4"/>
        </w:rPr>
        <w:t xml:space="preserve">—— 2020e, </w:t>
      </w:r>
      <w:r w:rsidRPr="00616C1F">
        <w:rPr>
          <w:i/>
          <w:iCs/>
          <w:spacing w:val="-4"/>
        </w:rPr>
        <w:t>Australian System of National Accounts, 2019-20</w:t>
      </w:r>
      <w:r w:rsidRPr="00616C1F">
        <w:rPr>
          <w:spacing w:val="-4"/>
        </w:rPr>
        <w:t>, Cat. No. 5204.0.</w:t>
      </w:r>
    </w:p>
    <w:p w14:paraId="0EC035E2" w14:textId="07433B5C" w:rsidR="0033042C" w:rsidRPr="00616C1F" w:rsidRDefault="0033042C" w:rsidP="0068535E">
      <w:pPr>
        <w:pStyle w:val="Reference"/>
        <w:spacing w:before="100"/>
        <w:rPr>
          <w:spacing w:val="-4"/>
        </w:rPr>
      </w:pPr>
      <w:r w:rsidRPr="00616C1F">
        <w:rPr>
          <w:spacing w:val="-4"/>
        </w:rPr>
        <w:t xml:space="preserve">Acemoglu, D., Johnson, S. and Robinson, J.A. 2005, ‘Institutions as a Fundamental Cause of Long-Run Growth’, in Aghion, P. and Durlauf, S.N. (eds), </w:t>
      </w:r>
      <w:r w:rsidRPr="00616C1F">
        <w:rPr>
          <w:i/>
          <w:iCs/>
          <w:spacing w:val="-4"/>
        </w:rPr>
        <w:t>Handbook of Economic Growth</w:t>
      </w:r>
      <w:r w:rsidRPr="00616C1F">
        <w:rPr>
          <w:spacing w:val="-4"/>
        </w:rPr>
        <w:t>, vol 1, Elsevier, pp. 385–472, http://www.sciencedirect.com/science/article/pii/</w:t>
      </w:r>
      <w:r w:rsidR="00D05AAD" w:rsidRPr="00616C1F">
        <w:rPr>
          <w:spacing w:val="-4"/>
        </w:rPr>
        <w:br/>
      </w:r>
      <w:r w:rsidRPr="00616C1F">
        <w:rPr>
          <w:spacing w:val="-4"/>
        </w:rPr>
        <w:t>S1574068405010063 (accessed 21 October 2020).</w:t>
      </w:r>
    </w:p>
    <w:p w14:paraId="7EDFE2FC" w14:textId="77777777" w:rsidR="0033042C" w:rsidRPr="00616C1F" w:rsidRDefault="0033042C" w:rsidP="0068535E">
      <w:pPr>
        <w:pStyle w:val="Reference"/>
        <w:spacing w:before="100"/>
        <w:rPr>
          <w:spacing w:val="-4"/>
        </w:rPr>
      </w:pPr>
      <w:r w:rsidRPr="00616C1F">
        <w:rPr>
          <w:spacing w:val="-4"/>
        </w:rPr>
        <w:t xml:space="preserve">Anderson, K. 1987, </w:t>
      </w:r>
      <w:r w:rsidRPr="00616C1F">
        <w:rPr>
          <w:i/>
          <w:iCs/>
          <w:spacing w:val="-4"/>
        </w:rPr>
        <w:t>Australian protectionism: extent, causes and effects</w:t>
      </w:r>
      <w:r w:rsidRPr="00616C1F">
        <w:rPr>
          <w:spacing w:val="-4"/>
        </w:rPr>
        <w:t>, Allen &amp; Unwin.</w:t>
      </w:r>
    </w:p>
    <w:p w14:paraId="6E13CD1D" w14:textId="77777777" w:rsidR="0033042C" w:rsidRPr="00616C1F" w:rsidRDefault="0033042C" w:rsidP="0068535E">
      <w:pPr>
        <w:pStyle w:val="Reference"/>
        <w:spacing w:before="100"/>
        <w:rPr>
          <w:spacing w:val="-4"/>
        </w:rPr>
      </w:pPr>
      <w:r w:rsidRPr="00616C1F">
        <w:rPr>
          <w:spacing w:val="-4"/>
        </w:rPr>
        <w:t xml:space="preserve">—— and Garnaut, R. 1987, </w:t>
      </w:r>
      <w:r w:rsidRPr="00616C1F">
        <w:rPr>
          <w:i/>
          <w:iCs/>
          <w:spacing w:val="-4"/>
        </w:rPr>
        <w:t>Australian protectionism: extent, causes and effects</w:t>
      </w:r>
      <w:r w:rsidRPr="00616C1F">
        <w:rPr>
          <w:spacing w:val="-4"/>
        </w:rPr>
        <w:t>, Sydney.</w:t>
      </w:r>
    </w:p>
    <w:p w14:paraId="08B0BD36" w14:textId="77777777" w:rsidR="0033042C" w:rsidRPr="00616C1F" w:rsidRDefault="0033042C" w:rsidP="0068535E">
      <w:pPr>
        <w:pStyle w:val="Reference"/>
        <w:spacing w:before="100"/>
        <w:rPr>
          <w:spacing w:val="-4"/>
        </w:rPr>
      </w:pPr>
      <w:r w:rsidRPr="00616C1F">
        <w:rPr>
          <w:spacing w:val="-4"/>
        </w:rPr>
        <w:t xml:space="preserve">Banks, G. 2005, </w:t>
      </w:r>
      <w:r w:rsidRPr="00616C1F">
        <w:rPr>
          <w:i/>
          <w:iCs/>
          <w:spacing w:val="-4"/>
        </w:rPr>
        <w:t>Structural Reform Australian-Style: Lessons for Others?</w:t>
      </w:r>
      <w:r w:rsidRPr="00616C1F">
        <w:rPr>
          <w:spacing w:val="-4"/>
        </w:rPr>
        <w:t>, Productivity Commission Chairman’s Speech, Canberra.</w:t>
      </w:r>
    </w:p>
    <w:p w14:paraId="7F5774D7" w14:textId="77777777" w:rsidR="0033042C" w:rsidRPr="00616C1F" w:rsidRDefault="0033042C" w:rsidP="0068535E">
      <w:pPr>
        <w:pStyle w:val="Reference"/>
        <w:spacing w:before="100"/>
        <w:rPr>
          <w:spacing w:val="-4"/>
        </w:rPr>
      </w:pPr>
      <w:r w:rsidRPr="00616C1F">
        <w:rPr>
          <w:spacing w:val="-4"/>
        </w:rPr>
        <w:t>Bergeaud, A., Cette, G. and Lecat, R. 2017, ‘Total Factor Productivity in Advanced Countries: A Long- term Perspective’, no. 32, p. 19.</w:t>
      </w:r>
    </w:p>
    <w:p w14:paraId="592A4D19" w14:textId="77777777" w:rsidR="0033042C" w:rsidRPr="00616C1F" w:rsidRDefault="0033042C" w:rsidP="0068535E">
      <w:pPr>
        <w:pStyle w:val="Reference"/>
        <w:spacing w:before="100"/>
        <w:rPr>
          <w:spacing w:val="-4"/>
        </w:rPr>
      </w:pPr>
      <w:r w:rsidRPr="00616C1F">
        <w:rPr>
          <w:spacing w:val="-4"/>
        </w:rPr>
        <w:t xml:space="preserve">Berger-Thompson, L., Breusch, J. and Lilley, L. 2018, </w:t>
      </w:r>
      <w:r w:rsidRPr="00616C1F">
        <w:rPr>
          <w:i/>
          <w:iCs/>
          <w:spacing w:val="-4"/>
        </w:rPr>
        <w:t>Australia’s experience with economic reform</w:t>
      </w:r>
      <w:r w:rsidRPr="00616C1F">
        <w:rPr>
          <w:spacing w:val="-4"/>
        </w:rPr>
        <w:t>, Treasury Working Paper, The Australian Treasury, Canberra.</w:t>
      </w:r>
    </w:p>
    <w:p w14:paraId="46DC8EA0" w14:textId="77777777" w:rsidR="0033042C" w:rsidRPr="00616C1F" w:rsidRDefault="0033042C" w:rsidP="0068535E">
      <w:pPr>
        <w:pStyle w:val="Reference"/>
        <w:spacing w:before="100"/>
        <w:rPr>
          <w:spacing w:val="-4"/>
        </w:rPr>
      </w:pPr>
      <w:r w:rsidRPr="00616C1F">
        <w:rPr>
          <w:spacing w:val="-4"/>
        </w:rPr>
        <w:t xml:space="preserve">Bishop, J. 2020, ‘Economic effects of the Spanish Flu’, </w:t>
      </w:r>
      <w:r w:rsidRPr="00616C1F">
        <w:rPr>
          <w:i/>
          <w:iCs/>
          <w:spacing w:val="-4"/>
        </w:rPr>
        <w:t>RBA Bulletin, June 2020</w:t>
      </w:r>
      <w:r w:rsidRPr="00616C1F">
        <w:rPr>
          <w:spacing w:val="-4"/>
        </w:rPr>
        <w:t>, Reserve Bank of Australia, Sydney.</w:t>
      </w:r>
    </w:p>
    <w:p w14:paraId="16586219" w14:textId="77777777" w:rsidR="0033042C" w:rsidRPr="00616C1F" w:rsidRDefault="0033042C" w:rsidP="0068535E">
      <w:pPr>
        <w:pStyle w:val="Reference"/>
        <w:spacing w:before="100"/>
        <w:rPr>
          <w:spacing w:val="-4"/>
        </w:rPr>
      </w:pPr>
      <w:r w:rsidRPr="00616C1F">
        <w:rPr>
          <w:spacing w:val="-4"/>
        </w:rPr>
        <w:t xml:space="preserve">Bolt, J., Inklaar, R., de Jong, H. and van Zanden, J.L. 2018, </w:t>
      </w:r>
      <w:r w:rsidRPr="00616C1F">
        <w:rPr>
          <w:i/>
          <w:iCs/>
          <w:spacing w:val="-4"/>
        </w:rPr>
        <w:t>Rebasing ‘Maddison’: new income comparisons and the shape of long-run economic development</w:t>
      </w:r>
      <w:r w:rsidRPr="00616C1F">
        <w:rPr>
          <w:spacing w:val="-4"/>
        </w:rPr>
        <w:t>, Maddison Project Working paper 10.</w:t>
      </w:r>
    </w:p>
    <w:p w14:paraId="57B827FB" w14:textId="77777777" w:rsidR="0033042C" w:rsidRPr="00616C1F" w:rsidRDefault="0033042C" w:rsidP="0068535E">
      <w:pPr>
        <w:pStyle w:val="Reference"/>
        <w:spacing w:before="100"/>
        <w:rPr>
          <w:spacing w:val="-4"/>
        </w:rPr>
      </w:pPr>
      <w:r w:rsidRPr="00616C1F">
        <w:rPr>
          <w:spacing w:val="-4"/>
        </w:rPr>
        <w:t xml:space="preserve">Broadberry, S. and Irwin, D. 2007, ‘Lost Exceptionalism? Comparative Income and Productivity in Australia and the UK, 1861-1948’, </w:t>
      </w:r>
      <w:r w:rsidRPr="00616C1F">
        <w:rPr>
          <w:i/>
          <w:iCs/>
          <w:spacing w:val="-4"/>
        </w:rPr>
        <w:t>Economic Record</w:t>
      </w:r>
      <w:r w:rsidRPr="00616C1F">
        <w:rPr>
          <w:spacing w:val="-4"/>
        </w:rPr>
        <w:t>, vol. 83, no. 262, pp. 262–274.</w:t>
      </w:r>
    </w:p>
    <w:p w14:paraId="4EE2AC4A" w14:textId="77777777" w:rsidR="0033042C" w:rsidRPr="00616C1F" w:rsidRDefault="0033042C" w:rsidP="0068535E">
      <w:pPr>
        <w:pStyle w:val="Reference"/>
        <w:spacing w:before="100"/>
        <w:rPr>
          <w:spacing w:val="-4"/>
        </w:rPr>
      </w:pPr>
      <w:r w:rsidRPr="00616C1F">
        <w:rPr>
          <w:spacing w:val="-4"/>
        </w:rPr>
        <w:t xml:space="preserve">Butlin, M., Dixon, R. and Lloyd, P. 2015, ‘Statistical Appendix: selected data series, 1800-2010’, </w:t>
      </w:r>
      <w:r w:rsidRPr="00616C1F">
        <w:rPr>
          <w:i/>
          <w:iCs/>
          <w:spacing w:val="-4"/>
        </w:rPr>
        <w:t>The Cambridge economic history of Australia</w:t>
      </w:r>
      <w:r w:rsidRPr="00616C1F">
        <w:rPr>
          <w:spacing w:val="-4"/>
        </w:rPr>
        <w:t>, Cambridge University Press, Sydney.</w:t>
      </w:r>
    </w:p>
    <w:p w14:paraId="68F86022" w14:textId="77777777" w:rsidR="0033042C" w:rsidRPr="00616C1F" w:rsidRDefault="0033042C" w:rsidP="0068535E">
      <w:pPr>
        <w:pStyle w:val="Reference"/>
        <w:spacing w:before="100"/>
        <w:rPr>
          <w:spacing w:val="-4"/>
        </w:rPr>
      </w:pPr>
      <w:r w:rsidRPr="00616C1F">
        <w:rPr>
          <w:spacing w:val="-4"/>
        </w:rPr>
        <w:t xml:space="preserve">Clemens, M.A. and Williamson, J.G. 2004, ‘Why Did the Tariff-Growth Correlation Change after 1950?’, Springer, </w:t>
      </w:r>
      <w:r w:rsidRPr="00616C1F">
        <w:rPr>
          <w:i/>
          <w:iCs/>
          <w:spacing w:val="-4"/>
        </w:rPr>
        <w:t>Journal of Economic Growth</w:t>
      </w:r>
      <w:r w:rsidRPr="00616C1F">
        <w:rPr>
          <w:spacing w:val="-4"/>
        </w:rPr>
        <w:t>, vol. 9, no. 1, pp. 5–46.</w:t>
      </w:r>
    </w:p>
    <w:p w14:paraId="1B8CDC9C" w14:textId="77777777" w:rsidR="0033042C" w:rsidRPr="00616C1F" w:rsidRDefault="0033042C" w:rsidP="0068535E">
      <w:pPr>
        <w:pStyle w:val="Reference"/>
        <w:spacing w:before="100"/>
        <w:rPr>
          <w:spacing w:val="-4"/>
        </w:rPr>
      </w:pPr>
      <w:r w:rsidRPr="00616C1F">
        <w:rPr>
          <w:spacing w:val="-4"/>
        </w:rPr>
        <w:t xml:space="preserve">Debelle, G. 2018, </w:t>
      </w:r>
      <w:r w:rsidRPr="00616C1F">
        <w:rPr>
          <w:i/>
          <w:iCs/>
          <w:spacing w:val="-4"/>
        </w:rPr>
        <w:t>Twenty-five Years of Inflation Targeting in Australia</w:t>
      </w:r>
      <w:r w:rsidRPr="00616C1F">
        <w:rPr>
          <w:spacing w:val="-4"/>
        </w:rPr>
        <w:t>, RBA Conference 2018, Reserve Bank of Australia, Sydney.</w:t>
      </w:r>
    </w:p>
    <w:p w14:paraId="05F80180" w14:textId="77777777" w:rsidR="0033042C" w:rsidRPr="00616C1F" w:rsidRDefault="0033042C" w:rsidP="0068535E">
      <w:pPr>
        <w:pStyle w:val="Reference"/>
        <w:spacing w:before="100"/>
        <w:rPr>
          <w:spacing w:val="-4"/>
        </w:rPr>
      </w:pPr>
      <w:r w:rsidRPr="00616C1F">
        <w:rPr>
          <w:spacing w:val="-4"/>
        </w:rPr>
        <w:lastRenderedPageBreak/>
        <w:t xml:space="preserve">Feenstra, R., Inklaar, R. and Timmer, M. 2015, ‘The Next Generation of the Penn World Table’, </w:t>
      </w:r>
      <w:r w:rsidRPr="00616C1F">
        <w:rPr>
          <w:i/>
          <w:iCs/>
          <w:spacing w:val="-4"/>
        </w:rPr>
        <w:t>American Economic Review</w:t>
      </w:r>
      <w:r w:rsidRPr="00616C1F">
        <w:rPr>
          <w:spacing w:val="-4"/>
        </w:rPr>
        <w:t>, vol. 105, no. 10, pp. 3150–3182.</w:t>
      </w:r>
    </w:p>
    <w:p w14:paraId="165E4127" w14:textId="77777777" w:rsidR="0033042C" w:rsidRPr="00616C1F" w:rsidRDefault="0033042C" w:rsidP="0068535E">
      <w:pPr>
        <w:pStyle w:val="Reference"/>
        <w:spacing w:before="100"/>
        <w:rPr>
          <w:spacing w:val="-4"/>
        </w:rPr>
      </w:pPr>
      <w:r w:rsidRPr="00616C1F">
        <w:rPr>
          <w:spacing w:val="-4"/>
        </w:rPr>
        <w:t xml:space="preserve">Fisher, L.A., Otto, G. and Voss, G. 1996, ‘Australian Business Cycle Facts’, </w:t>
      </w:r>
      <w:r w:rsidRPr="00616C1F">
        <w:rPr>
          <w:i/>
          <w:iCs/>
          <w:spacing w:val="-4"/>
        </w:rPr>
        <w:t>Australian Economic Papers</w:t>
      </w:r>
      <w:r w:rsidRPr="00616C1F">
        <w:rPr>
          <w:spacing w:val="-4"/>
        </w:rPr>
        <w:t>, vol. 35, no. 67, pp. 300–321.</w:t>
      </w:r>
    </w:p>
    <w:p w14:paraId="38F62ABE" w14:textId="77777777" w:rsidR="0033042C" w:rsidRPr="00616C1F" w:rsidRDefault="0033042C" w:rsidP="0068535E">
      <w:pPr>
        <w:pStyle w:val="Reference"/>
        <w:spacing w:before="100"/>
        <w:rPr>
          <w:spacing w:val="-4"/>
        </w:rPr>
      </w:pPr>
      <w:r w:rsidRPr="00616C1F">
        <w:rPr>
          <w:spacing w:val="-4"/>
        </w:rPr>
        <w:t xml:space="preserve">Forster, C. 1985, ‘The economic consequences of Mr Justice Higgins’, </w:t>
      </w:r>
      <w:r w:rsidRPr="00616C1F">
        <w:rPr>
          <w:i/>
          <w:iCs/>
          <w:spacing w:val="-4"/>
        </w:rPr>
        <w:t>Australian Economic History Review</w:t>
      </w:r>
      <w:r w:rsidRPr="00616C1F">
        <w:rPr>
          <w:spacing w:val="-4"/>
        </w:rPr>
        <w:t>, vol. 25, no. 2, pp. 95–111.</w:t>
      </w:r>
    </w:p>
    <w:p w14:paraId="56D28FFE" w14:textId="77777777" w:rsidR="0033042C" w:rsidRPr="00616C1F" w:rsidRDefault="0033042C" w:rsidP="0068535E">
      <w:pPr>
        <w:pStyle w:val="Reference"/>
        <w:spacing w:before="100"/>
        <w:rPr>
          <w:spacing w:val="-4"/>
        </w:rPr>
      </w:pPr>
      <w:r w:rsidRPr="00616C1F">
        <w:rPr>
          <w:spacing w:val="-4"/>
        </w:rPr>
        <w:t xml:space="preserve">Hsieh, C.-T. and Klenow, P.J. 2009, ‘Misallocation and Manufacturing TFP in China and India’, Oxford Academic, </w:t>
      </w:r>
      <w:r w:rsidRPr="00616C1F">
        <w:rPr>
          <w:i/>
          <w:iCs/>
          <w:spacing w:val="-4"/>
        </w:rPr>
        <w:t>The Quarterly Journal of Economics</w:t>
      </w:r>
      <w:r w:rsidRPr="00616C1F">
        <w:rPr>
          <w:spacing w:val="-4"/>
        </w:rPr>
        <w:t>, vol. 124, no. 4, pp. 1403–1448.</w:t>
      </w:r>
    </w:p>
    <w:p w14:paraId="66EADC5C" w14:textId="77777777" w:rsidR="0033042C" w:rsidRPr="00616C1F" w:rsidRDefault="0033042C" w:rsidP="0068535E">
      <w:pPr>
        <w:pStyle w:val="Reference"/>
        <w:spacing w:before="100"/>
        <w:rPr>
          <w:spacing w:val="-6"/>
        </w:rPr>
      </w:pPr>
      <w:r w:rsidRPr="00616C1F">
        <w:rPr>
          <w:spacing w:val="-6"/>
        </w:rPr>
        <w:t xml:space="preserve">Huberman, M. and Minns, C. 2007, ‘The times they are not changin’: Days and hours of work in Old and New Worlds, 1870–2000’, </w:t>
      </w:r>
      <w:r w:rsidRPr="00616C1F">
        <w:rPr>
          <w:i/>
          <w:iCs/>
          <w:spacing w:val="-6"/>
        </w:rPr>
        <w:t>Explorations in Economic History</w:t>
      </w:r>
      <w:r w:rsidRPr="00616C1F">
        <w:rPr>
          <w:spacing w:val="-6"/>
        </w:rPr>
        <w:t>, vol. 44, pp. 538–567.</w:t>
      </w:r>
    </w:p>
    <w:p w14:paraId="5B14B480" w14:textId="77777777" w:rsidR="0033042C" w:rsidRPr="00616C1F" w:rsidRDefault="0033042C" w:rsidP="0068535E">
      <w:pPr>
        <w:pStyle w:val="Reference"/>
        <w:spacing w:before="100"/>
        <w:rPr>
          <w:spacing w:val="-4"/>
        </w:rPr>
      </w:pPr>
      <w:r w:rsidRPr="00616C1F">
        <w:rPr>
          <w:spacing w:val="-4"/>
        </w:rPr>
        <w:t xml:space="preserve">Irwin, D. 2006, ‘Impact of Federation on Australia’s Trade Flows’, </w:t>
      </w:r>
      <w:r w:rsidRPr="00616C1F">
        <w:rPr>
          <w:i/>
          <w:iCs/>
          <w:spacing w:val="-4"/>
        </w:rPr>
        <w:t>The Economic Record</w:t>
      </w:r>
      <w:r w:rsidRPr="00616C1F">
        <w:rPr>
          <w:spacing w:val="-4"/>
        </w:rPr>
        <w:t>, vol. 82, no. 258, pp. 315–324.</w:t>
      </w:r>
    </w:p>
    <w:p w14:paraId="445D6EBD" w14:textId="77777777" w:rsidR="0033042C" w:rsidRPr="00616C1F" w:rsidRDefault="0033042C" w:rsidP="0068535E">
      <w:pPr>
        <w:pStyle w:val="Reference"/>
        <w:spacing w:before="100"/>
        <w:rPr>
          <w:spacing w:val="-4"/>
        </w:rPr>
      </w:pPr>
      <w:r w:rsidRPr="00616C1F">
        <w:rPr>
          <w:spacing w:val="-4"/>
        </w:rPr>
        <w:t xml:space="preserve">Isaac, J. 2008, ‘The Economic Consequences of Harvester’, </w:t>
      </w:r>
      <w:r w:rsidRPr="00616C1F">
        <w:rPr>
          <w:i/>
          <w:iCs/>
          <w:spacing w:val="-4"/>
        </w:rPr>
        <w:t>Australian Economic History Review</w:t>
      </w:r>
      <w:r w:rsidRPr="00616C1F">
        <w:rPr>
          <w:spacing w:val="-4"/>
        </w:rPr>
        <w:t>, vol. 48, no. 3, pp. 280–300.</w:t>
      </w:r>
    </w:p>
    <w:p w14:paraId="4F6E1323" w14:textId="77777777" w:rsidR="0033042C" w:rsidRPr="00616C1F" w:rsidRDefault="0033042C" w:rsidP="0068535E">
      <w:pPr>
        <w:pStyle w:val="Reference"/>
        <w:spacing w:before="100"/>
        <w:rPr>
          <w:spacing w:val="-6"/>
        </w:rPr>
      </w:pPr>
      <w:r w:rsidRPr="00616C1F">
        <w:rPr>
          <w:spacing w:val="-6"/>
        </w:rPr>
        <w:t xml:space="preserve">Kelly, P. 1992, </w:t>
      </w:r>
      <w:r w:rsidRPr="00616C1F">
        <w:rPr>
          <w:i/>
          <w:iCs/>
          <w:spacing w:val="-6"/>
        </w:rPr>
        <w:t>The end of certainty: the story of the 1980s</w:t>
      </w:r>
      <w:r w:rsidRPr="00616C1F">
        <w:rPr>
          <w:spacing w:val="-6"/>
        </w:rPr>
        <w:t>, 1st edn, Allen &amp; Unwin, St. Leonard, NSW.</w:t>
      </w:r>
    </w:p>
    <w:p w14:paraId="4CE114AF" w14:textId="77777777" w:rsidR="0033042C" w:rsidRPr="00616C1F" w:rsidRDefault="0033042C" w:rsidP="0068535E">
      <w:pPr>
        <w:pStyle w:val="Reference"/>
        <w:spacing w:before="100"/>
        <w:rPr>
          <w:spacing w:val="-4"/>
        </w:rPr>
      </w:pPr>
      <w:r w:rsidRPr="00616C1F">
        <w:rPr>
          <w:spacing w:val="-4"/>
        </w:rPr>
        <w:t xml:space="preserve">Klasing, M. and Milionis, P. 2014, ‘Quantifying the Evolution of World Trade, 1870-1949’, </w:t>
      </w:r>
      <w:r w:rsidRPr="00616C1F">
        <w:rPr>
          <w:i/>
          <w:iCs/>
          <w:spacing w:val="-4"/>
        </w:rPr>
        <w:t>Journal of International Economics</w:t>
      </w:r>
      <w:r w:rsidRPr="00616C1F">
        <w:rPr>
          <w:spacing w:val="-4"/>
        </w:rPr>
        <w:t>, vol. 92, no. 1, pp. 185–197.</w:t>
      </w:r>
    </w:p>
    <w:p w14:paraId="71E357C9" w14:textId="77777777" w:rsidR="0033042C" w:rsidRPr="00616C1F" w:rsidRDefault="0033042C" w:rsidP="0068535E">
      <w:pPr>
        <w:pStyle w:val="Reference"/>
        <w:spacing w:before="100"/>
        <w:rPr>
          <w:spacing w:val="-4"/>
        </w:rPr>
      </w:pPr>
      <w:r w:rsidRPr="00616C1F">
        <w:rPr>
          <w:spacing w:val="-4"/>
        </w:rPr>
        <w:t xml:space="preserve">Lloyd, P. 2008, ‘100 Year of Tariff Protection in Australia’, </w:t>
      </w:r>
      <w:r w:rsidRPr="00616C1F">
        <w:rPr>
          <w:i/>
          <w:iCs/>
          <w:spacing w:val="-4"/>
        </w:rPr>
        <w:t>Australian Economic History Review</w:t>
      </w:r>
      <w:r w:rsidRPr="00616C1F">
        <w:rPr>
          <w:spacing w:val="-4"/>
        </w:rPr>
        <w:t>, vol. 48, no. 2, pp. 99–145.</w:t>
      </w:r>
    </w:p>
    <w:p w14:paraId="39ABAE89" w14:textId="77777777" w:rsidR="0033042C" w:rsidRPr="00616C1F" w:rsidRDefault="0033042C" w:rsidP="0068535E">
      <w:pPr>
        <w:pStyle w:val="Reference"/>
        <w:spacing w:before="100"/>
        <w:rPr>
          <w:spacing w:val="-4"/>
        </w:rPr>
      </w:pPr>
      <w:r w:rsidRPr="00616C1F">
        <w:rPr>
          <w:spacing w:val="-4"/>
        </w:rPr>
        <w:t xml:space="preserve">—— 2017, ‘The First 100 Years of Tarrifs in Australia: the Colonies’, </w:t>
      </w:r>
      <w:r w:rsidRPr="00616C1F">
        <w:rPr>
          <w:i/>
          <w:iCs/>
          <w:spacing w:val="-4"/>
        </w:rPr>
        <w:t>Australian Economic History Review</w:t>
      </w:r>
      <w:r w:rsidRPr="00616C1F">
        <w:rPr>
          <w:spacing w:val="-4"/>
        </w:rPr>
        <w:t>, vol. 57, no. 3, pp. 316–344.</w:t>
      </w:r>
    </w:p>
    <w:p w14:paraId="0A5382A2" w14:textId="77777777" w:rsidR="0033042C" w:rsidRPr="00616C1F" w:rsidRDefault="0033042C" w:rsidP="0068535E">
      <w:pPr>
        <w:pStyle w:val="Reference"/>
        <w:spacing w:before="100"/>
        <w:rPr>
          <w:spacing w:val="-4"/>
        </w:rPr>
      </w:pPr>
      <w:r w:rsidRPr="00616C1F">
        <w:rPr>
          <w:spacing w:val="-4"/>
        </w:rPr>
        <w:t xml:space="preserve">—— and MacLaren, D. 2015, ‘Relative assistance to Australian agriculture and manufacturing since Federation’, </w:t>
      </w:r>
      <w:r w:rsidRPr="00616C1F">
        <w:rPr>
          <w:i/>
          <w:iCs/>
          <w:spacing w:val="-4"/>
        </w:rPr>
        <w:t>Agricultural and resource economics</w:t>
      </w:r>
      <w:r w:rsidRPr="00616C1F">
        <w:rPr>
          <w:spacing w:val="-4"/>
        </w:rPr>
        <w:t>, vol. 59, no. 2, pp. 159–170.</w:t>
      </w:r>
    </w:p>
    <w:p w14:paraId="40C7318E" w14:textId="77777777" w:rsidR="0033042C" w:rsidRPr="00616C1F" w:rsidRDefault="0033042C" w:rsidP="0068535E">
      <w:pPr>
        <w:pStyle w:val="Reference"/>
        <w:spacing w:before="100"/>
        <w:rPr>
          <w:spacing w:val="-4"/>
        </w:rPr>
      </w:pPr>
      <w:r w:rsidRPr="00616C1F">
        <w:rPr>
          <w:spacing w:val="-4"/>
        </w:rPr>
        <w:t xml:space="preserve">Madsen, J.B. 2015, ‘Australian economic growth and its drivers since European settlement’, </w:t>
      </w:r>
      <w:r w:rsidRPr="00616C1F">
        <w:rPr>
          <w:i/>
          <w:iCs/>
          <w:spacing w:val="-4"/>
        </w:rPr>
        <w:t>The Cambridge Economic History of Australia</w:t>
      </w:r>
      <w:r w:rsidRPr="00616C1F">
        <w:rPr>
          <w:spacing w:val="-4"/>
        </w:rPr>
        <w:t>, Cambridge University Press, Sydney.</w:t>
      </w:r>
    </w:p>
    <w:p w14:paraId="34C4F0F9" w14:textId="77777777" w:rsidR="0033042C" w:rsidRPr="00616C1F" w:rsidRDefault="0033042C" w:rsidP="0068535E">
      <w:pPr>
        <w:pStyle w:val="Reference"/>
        <w:spacing w:before="100"/>
        <w:rPr>
          <w:spacing w:val="-4"/>
        </w:rPr>
      </w:pPr>
      <w:r w:rsidRPr="00616C1F">
        <w:rPr>
          <w:spacing w:val="-4"/>
        </w:rPr>
        <w:t xml:space="preserve">McLean, I. 2007, ‘Why was Australia so rich?’, </w:t>
      </w:r>
      <w:r w:rsidRPr="00616C1F">
        <w:rPr>
          <w:i/>
          <w:iCs/>
          <w:spacing w:val="-4"/>
        </w:rPr>
        <w:t>Explorations in Economic History</w:t>
      </w:r>
      <w:r w:rsidRPr="00616C1F">
        <w:rPr>
          <w:spacing w:val="-4"/>
        </w:rPr>
        <w:t>, vol. 44, no. 4, pp. 635–656.</w:t>
      </w:r>
    </w:p>
    <w:p w14:paraId="025D58E0" w14:textId="77777777" w:rsidR="0033042C" w:rsidRPr="00616C1F" w:rsidRDefault="0033042C" w:rsidP="0068535E">
      <w:pPr>
        <w:pStyle w:val="Reference"/>
        <w:spacing w:before="100"/>
        <w:rPr>
          <w:spacing w:val="-4"/>
        </w:rPr>
      </w:pPr>
      <w:r w:rsidRPr="00616C1F">
        <w:rPr>
          <w:spacing w:val="-4"/>
        </w:rPr>
        <w:t xml:space="preserve">—— 2013, </w:t>
      </w:r>
      <w:r w:rsidRPr="00616C1F">
        <w:rPr>
          <w:i/>
          <w:iCs/>
          <w:spacing w:val="-4"/>
        </w:rPr>
        <w:t>Why Australia Prospered: The Shifting Sources of Economic growth</w:t>
      </w:r>
      <w:r w:rsidRPr="00616C1F">
        <w:rPr>
          <w:spacing w:val="-4"/>
        </w:rPr>
        <w:t>, The Princeton Economic History of the Western World, Princeton University Press, New Jersey.</w:t>
      </w:r>
    </w:p>
    <w:p w14:paraId="522749BD" w14:textId="77777777" w:rsidR="0033042C" w:rsidRPr="00616C1F" w:rsidRDefault="0033042C" w:rsidP="0068535E">
      <w:pPr>
        <w:pStyle w:val="Reference"/>
        <w:spacing w:before="100"/>
        <w:rPr>
          <w:spacing w:val="-4"/>
        </w:rPr>
      </w:pPr>
      <w:r w:rsidRPr="00616C1F">
        <w:rPr>
          <w:spacing w:val="-4"/>
        </w:rPr>
        <w:t xml:space="preserve">Melo, J.A.P. de 1977, ‘Distortions in the Factor Market: Some General Equilibrium Estimates’, The MIT Press, </w:t>
      </w:r>
      <w:r w:rsidRPr="00616C1F">
        <w:rPr>
          <w:i/>
          <w:iCs/>
          <w:spacing w:val="-4"/>
        </w:rPr>
        <w:t>The Review of Economics and Statistics</w:t>
      </w:r>
      <w:r w:rsidRPr="00616C1F">
        <w:rPr>
          <w:spacing w:val="-4"/>
        </w:rPr>
        <w:t>, vol. 59, no. 4, pp. 398–405.</w:t>
      </w:r>
    </w:p>
    <w:p w14:paraId="4844B2A0" w14:textId="77777777" w:rsidR="0033042C" w:rsidRPr="00616C1F" w:rsidRDefault="0033042C" w:rsidP="0068535E">
      <w:pPr>
        <w:pStyle w:val="Reference"/>
        <w:spacing w:before="100"/>
        <w:rPr>
          <w:spacing w:val="-4"/>
        </w:rPr>
      </w:pPr>
      <w:r w:rsidRPr="00616C1F">
        <w:rPr>
          <w:spacing w:val="-4"/>
        </w:rPr>
        <w:t xml:space="preserve">North, D.C. 1990, </w:t>
      </w:r>
      <w:r w:rsidRPr="00616C1F">
        <w:rPr>
          <w:i/>
          <w:iCs/>
          <w:spacing w:val="-4"/>
        </w:rPr>
        <w:t>Institutions, Institutional Change and Economic Performance</w:t>
      </w:r>
      <w:r w:rsidRPr="00616C1F">
        <w:rPr>
          <w:spacing w:val="-4"/>
        </w:rPr>
        <w:t>, Political Economy of Institutions and Decisions, Cambridge University Press, Cambridge, https://www.cambridge.org/core/books/institutions-institutional-change-and-economic-performance/AAE1E27DF8996E24C5DD07EB79BBA7EE (accessed 21 October 2020).</w:t>
      </w:r>
    </w:p>
    <w:p w14:paraId="0E85823D" w14:textId="77777777" w:rsidR="0033042C" w:rsidRPr="00616C1F" w:rsidRDefault="0033042C" w:rsidP="0068535E">
      <w:pPr>
        <w:pStyle w:val="Reference"/>
        <w:spacing w:before="100"/>
        <w:rPr>
          <w:spacing w:val="-4"/>
        </w:rPr>
      </w:pPr>
      <w:r w:rsidRPr="00616C1F">
        <w:rPr>
          <w:spacing w:val="-4"/>
        </w:rPr>
        <w:t xml:space="preserve">Parham, D. 2004, ‘Sources of Australia’s Productivity Revival’, </w:t>
      </w:r>
      <w:r w:rsidRPr="00616C1F">
        <w:rPr>
          <w:i/>
          <w:iCs/>
          <w:spacing w:val="-4"/>
        </w:rPr>
        <w:t>Economic Record</w:t>
      </w:r>
      <w:r w:rsidRPr="00616C1F">
        <w:rPr>
          <w:spacing w:val="-4"/>
        </w:rPr>
        <w:t>, vol. 80, no. 249, pp. 239–257.</w:t>
      </w:r>
    </w:p>
    <w:p w14:paraId="32E21708" w14:textId="18D99ABA" w:rsidR="0033042C" w:rsidRPr="00616C1F" w:rsidRDefault="0033042C" w:rsidP="0068535E">
      <w:pPr>
        <w:pStyle w:val="Reference"/>
        <w:spacing w:before="100"/>
        <w:rPr>
          <w:spacing w:val="-4"/>
        </w:rPr>
      </w:pPr>
      <w:r w:rsidRPr="00616C1F">
        <w:rPr>
          <w:spacing w:val="-4"/>
        </w:rPr>
        <w:t xml:space="preserve">PC </w:t>
      </w:r>
      <w:r w:rsidR="00D05AAD" w:rsidRPr="00616C1F">
        <w:rPr>
          <w:spacing w:val="-4"/>
        </w:rPr>
        <w:t xml:space="preserve">(Productivity Commission) </w:t>
      </w:r>
      <w:r w:rsidRPr="00616C1F">
        <w:rPr>
          <w:spacing w:val="-4"/>
        </w:rPr>
        <w:t>2002, ‘Australia’s service sector: A study in diversity’.</w:t>
      </w:r>
    </w:p>
    <w:p w14:paraId="269A6294" w14:textId="78CF341A" w:rsidR="0033042C" w:rsidRPr="00616C1F" w:rsidRDefault="0033042C" w:rsidP="0068535E">
      <w:pPr>
        <w:pStyle w:val="Reference"/>
        <w:spacing w:before="100"/>
        <w:rPr>
          <w:spacing w:val="-4"/>
        </w:rPr>
      </w:pPr>
      <w:r w:rsidRPr="00616C1F">
        <w:rPr>
          <w:spacing w:val="-4"/>
        </w:rPr>
        <w:lastRenderedPageBreak/>
        <w:t xml:space="preserve">—— 1999, </w:t>
      </w:r>
      <w:r w:rsidRPr="00616C1F">
        <w:rPr>
          <w:i/>
          <w:iCs/>
          <w:spacing w:val="-4"/>
        </w:rPr>
        <w:t>Microeconomic Reforms and Australian Productivity: Exploring the Links</w:t>
      </w:r>
      <w:r w:rsidRPr="00616C1F">
        <w:rPr>
          <w:spacing w:val="-4"/>
        </w:rPr>
        <w:t>, Commission Research Paper, Canberra.</w:t>
      </w:r>
    </w:p>
    <w:p w14:paraId="0BC484FC" w14:textId="400EB831" w:rsidR="0033042C" w:rsidRPr="00616C1F" w:rsidRDefault="0033042C" w:rsidP="0068535E">
      <w:pPr>
        <w:pStyle w:val="Reference"/>
        <w:spacing w:before="100"/>
        <w:rPr>
          <w:spacing w:val="-4"/>
        </w:rPr>
      </w:pPr>
      <w:r w:rsidRPr="00616C1F">
        <w:rPr>
          <w:spacing w:val="-4"/>
        </w:rPr>
        <w:t xml:space="preserve">—— 2005, </w:t>
      </w:r>
      <w:r w:rsidRPr="00616C1F">
        <w:rPr>
          <w:i/>
          <w:iCs/>
          <w:spacing w:val="-4"/>
        </w:rPr>
        <w:t>Review of National Competition Policy Reforms</w:t>
      </w:r>
      <w:r w:rsidRPr="00616C1F">
        <w:rPr>
          <w:spacing w:val="-4"/>
        </w:rPr>
        <w:t>, Report no. 33, Canberra.</w:t>
      </w:r>
    </w:p>
    <w:p w14:paraId="0D2E7A63" w14:textId="0FBCF543" w:rsidR="0033042C" w:rsidRPr="00616C1F" w:rsidRDefault="0033042C" w:rsidP="0068535E">
      <w:pPr>
        <w:pStyle w:val="Reference"/>
        <w:spacing w:before="100"/>
        <w:rPr>
          <w:spacing w:val="-4"/>
        </w:rPr>
      </w:pPr>
      <w:r w:rsidRPr="00616C1F">
        <w:rPr>
          <w:spacing w:val="-4"/>
        </w:rPr>
        <w:t xml:space="preserve">—— 2014, </w:t>
      </w:r>
      <w:r w:rsidRPr="00616C1F">
        <w:rPr>
          <w:i/>
          <w:iCs/>
          <w:spacing w:val="-4"/>
        </w:rPr>
        <w:t>Public Infrastructure</w:t>
      </w:r>
      <w:r w:rsidRPr="00616C1F">
        <w:rPr>
          <w:spacing w:val="-4"/>
        </w:rPr>
        <w:t>, Report no. 71, Canberra.</w:t>
      </w:r>
    </w:p>
    <w:p w14:paraId="4B19DC57" w14:textId="5F19CD6D" w:rsidR="0033042C" w:rsidRPr="00616C1F" w:rsidRDefault="0033042C" w:rsidP="0068535E">
      <w:pPr>
        <w:pStyle w:val="Reference"/>
        <w:spacing w:before="100"/>
        <w:rPr>
          <w:spacing w:val="-4"/>
        </w:rPr>
      </w:pPr>
      <w:r w:rsidRPr="00616C1F">
        <w:rPr>
          <w:spacing w:val="-4"/>
        </w:rPr>
        <w:t xml:space="preserve">—— 2017a, </w:t>
      </w:r>
      <w:r w:rsidRPr="00616C1F">
        <w:rPr>
          <w:i/>
          <w:iCs/>
          <w:spacing w:val="-4"/>
        </w:rPr>
        <w:t>National Disability Insurance Scheme (NDIS) Costs</w:t>
      </w:r>
      <w:r w:rsidRPr="00616C1F">
        <w:rPr>
          <w:spacing w:val="-4"/>
        </w:rPr>
        <w:t>, Study Report, Canberra.</w:t>
      </w:r>
    </w:p>
    <w:p w14:paraId="3A26CE2C" w14:textId="7BEAB060" w:rsidR="0033042C" w:rsidRPr="00616C1F" w:rsidRDefault="0033042C" w:rsidP="0068535E">
      <w:pPr>
        <w:pStyle w:val="Reference"/>
        <w:spacing w:before="100"/>
        <w:rPr>
          <w:spacing w:val="-4"/>
        </w:rPr>
      </w:pPr>
      <w:r w:rsidRPr="00616C1F">
        <w:rPr>
          <w:spacing w:val="-4"/>
        </w:rPr>
        <w:t xml:space="preserve">—— 2017b, </w:t>
      </w:r>
      <w:r w:rsidRPr="00616C1F">
        <w:rPr>
          <w:i/>
          <w:iCs/>
          <w:spacing w:val="-4"/>
        </w:rPr>
        <w:t>Shifting the Dial: 5 Year Productivity Review</w:t>
      </w:r>
      <w:r w:rsidRPr="00616C1F">
        <w:rPr>
          <w:spacing w:val="-4"/>
        </w:rPr>
        <w:t>, Report no. 84, Canberra.</w:t>
      </w:r>
    </w:p>
    <w:p w14:paraId="7DC03C48" w14:textId="53AD81E4" w:rsidR="0033042C" w:rsidRPr="00616C1F" w:rsidRDefault="0033042C" w:rsidP="0068535E">
      <w:pPr>
        <w:pStyle w:val="Reference"/>
        <w:spacing w:before="100"/>
        <w:rPr>
          <w:spacing w:val="-4"/>
        </w:rPr>
      </w:pPr>
      <w:r w:rsidRPr="00616C1F">
        <w:rPr>
          <w:spacing w:val="-4"/>
        </w:rPr>
        <w:t xml:space="preserve">—— 2020a, </w:t>
      </w:r>
      <w:r w:rsidRPr="00616C1F">
        <w:rPr>
          <w:i/>
          <w:iCs/>
          <w:spacing w:val="-4"/>
        </w:rPr>
        <w:t>PC Productivity Insights</w:t>
      </w:r>
      <w:r w:rsidR="00A24C98" w:rsidRPr="00616C1F">
        <w:rPr>
          <w:i/>
          <w:iCs/>
          <w:spacing w:val="-4"/>
        </w:rPr>
        <w:t>: Can Australia be a productivity leader?</w:t>
      </w:r>
      <w:r w:rsidRPr="00616C1F">
        <w:rPr>
          <w:spacing w:val="-4"/>
        </w:rPr>
        <w:t>, Canberra.</w:t>
      </w:r>
    </w:p>
    <w:p w14:paraId="52D58F3D" w14:textId="64255538" w:rsidR="0033042C" w:rsidRPr="00616C1F" w:rsidRDefault="0033042C" w:rsidP="0068535E">
      <w:pPr>
        <w:pStyle w:val="Reference"/>
        <w:spacing w:before="100"/>
        <w:rPr>
          <w:spacing w:val="-6"/>
        </w:rPr>
      </w:pPr>
      <w:r w:rsidRPr="00616C1F">
        <w:rPr>
          <w:spacing w:val="-6"/>
        </w:rPr>
        <w:t xml:space="preserve">—— 2020b, </w:t>
      </w:r>
      <w:r w:rsidRPr="00616C1F">
        <w:rPr>
          <w:i/>
          <w:iCs/>
          <w:spacing w:val="-6"/>
        </w:rPr>
        <w:t>Why Did Young People’s Incomes Decline?</w:t>
      </w:r>
      <w:r w:rsidRPr="00616C1F">
        <w:rPr>
          <w:spacing w:val="-6"/>
        </w:rPr>
        <w:t>, Commission Research Paper, Canberra.</w:t>
      </w:r>
    </w:p>
    <w:p w14:paraId="65E50561" w14:textId="77777777" w:rsidR="0033042C" w:rsidRPr="00616C1F" w:rsidRDefault="0033042C" w:rsidP="0068535E">
      <w:pPr>
        <w:pStyle w:val="Reference"/>
        <w:spacing w:before="100"/>
        <w:rPr>
          <w:spacing w:val="-4"/>
        </w:rPr>
      </w:pPr>
      <w:r w:rsidRPr="00616C1F">
        <w:rPr>
          <w:spacing w:val="-4"/>
        </w:rPr>
        <w:t xml:space="preserve">Phelan, J. 2019, </w:t>
      </w:r>
      <w:r w:rsidRPr="00616C1F">
        <w:rPr>
          <w:i/>
          <w:iCs/>
          <w:spacing w:val="-4"/>
        </w:rPr>
        <w:t>'80s Fears of a Japanese “Economic Pearl Harbor" Look Silly Today—But They’re Instructive</w:t>
      </w:r>
      <w:r w:rsidRPr="00616C1F">
        <w:rPr>
          <w:spacing w:val="-4"/>
        </w:rPr>
        <w:t>, Foundation for Economic Education, https://fee.org/articles/80s-fears-of-a-japanese-economic-pearl-harbor-look-silly-today-but-theyre-instructive/ (accessed 11 November 2019).</w:t>
      </w:r>
    </w:p>
    <w:p w14:paraId="1E0C3B7F" w14:textId="77777777" w:rsidR="0033042C" w:rsidRPr="00616C1F" w:rsidRDefault="0033042C" w:rsidP="0068535E">
      <w:pPr>
        <w:pStyle w:val="Reference"/>
        <w:spacing w:before="100"/>
        <w:rPr>
          <w:spacing w:val="-4"/>
        </w:rPr>
      </w:pPr>
      <w:r w:rsidRPr="00616C1F">
        <w:rPr>
          <w:spacing w:val="-4"/>
        </w:rPr>
        <w:t xml:space="preserve">Pincus, J. 2009, ‘Reflection on Microeconomic Policy Frameworks in Australia, and a Suggestion about Fairness’, </w:t>
      </w:r>
      <w:r w:rsidRPr="00616C1F">
        <w:rPr>
          <w:i/>
          <w:iCs/>
          <w:spacing w:val="-4"/>
        </w:rPr>
        <w:t>Australian Economic Review</w:t>
      </w:r>
      <w:r w:rsidRPr="00616C1F">
        <w:rPr>
          <w:spacing w:val="-4"/>
        </w:rPr>
        <w:t>, vol. 42, no. 2, pp. 121–130.</w:t>
      </w:r>
    </w:p>
    <w:p w14:paraId="56534822" w14:textId="77777777" w:rsidR="0033042C" w:rsidRPr="00616C1F" w:rsidRDefault="0033042C" w:rsidP="0068535E">
      <w:pPr>
        <w:pStyle w:val="Reference"/>
        <w:spacing w:before="100"/>
        <w:rPr>
          <w:spacing w:val="-4"/>
        </w:rPr>
      </w:pPr>
      <w:r w:rsidRPr="00616C1F">
        <w:rPr>
          <w:spacing w:val="-4"/>
        </w:rPr>
        <w:t xml:space="preserve">Quiggin, J. 2020, </w:t>
      </w:r>
      <w:r w:rsidRPr="00616C1F">
        <w:rPr>
          <w:i/>
          <w:iCs/>
          <w:spacing w:val="-4"/>
        </w:rPr>
        <w:t>Has coronavirus and working from home given us the biggest productivity increase of the century?</w:t>
      </w:r>
      <w:r w:rsidRPr="00616C1F">
        <w:rPr>
          <w:spacing w:val="-4"/>
        </w:rPr>
        <w:t>, ABC News, https://www.abc.net.au/news/2020-09-07/working-from-home-coronavirus-big-productivity-increase/12628764 (accessed 28 October 2020).</w:t>
      </w:r>
    </w:p>
    <w:p w14:paraId="540327C0" w14:textId="77777777" w:rsidR="0033042C" w:rsidRPr="00616C1F" w:rsidRDefault="0033042C" w:rsidP="0068535E">
      <w:pPr>
        <w:pStyle w:val="Reference"/>
        <w:spacing w:before="100"/>
        <w:rPr>
          <w:spacing w:val="-4"/>
        </w:rPr>
      </w:pPr>
      <w:r w:rsidRPr="00616C1F">
        <w:rPr>
          <w:spacing w:val="-4"/>
        </w:rPr>
        <w:t xml:space="preserve">RBA 2017, </w:t>
      </w:r>
      <w:r w:rsidRPr="00616C1F">
        <w:rPr>
          <w:i/>
          <w:iCs/>
          <w:spacing w:val="-4"/>
        </w:rPr>
        <w:t>The Global Financial Crisis | Explainer | Education</w:t>
      </w:r>
      <w:r w:rsidRPr="00616C1F">
        <w:rPr>
          <w:spacing w:val="-4"/>
        </w:rPr>
        <w:t>, Reserve Bank of Australia, https://www.rba.gov.au/education/resources/explainers/the-global-financial-crisis.html (accessed 9 November 2020).</w:t>
      </w:r>
    </w:p>
    <w:p w14:paraId="1818E411" w14:textId="77777777" w:rsidR="0033042C" w:rsidRPr="00616C1F" w:rsidRDefault="0033042C" w:rsidP="0068535E">
      <w:pPr>
        <w:pStyle w:val="Reference"/>
        <w:spacing w:before="100"/>
        <w:rPr>
          <w:spacing w:val="-4"/>
        </w:rPr>
      </w:pPr>
      <w:r w:rsidRPr="00616C1F">
        <w:rPr>
          <w:spacing w:val="-4"/>
        </w:rPr>
        <w:t xml:space="preserve">Solow, R.M. 1957, ‘Technical Change and the Aggregate Production Function’, </w:t>
      </w:r>
      <w:r w:rsidRPr="00616C1F">
        <w:rPr>
          <w:i/>
          <w:iCs/>
          <w:spacing w:val="-4"/>
        </w:rPr>
        <w:t>The Review of Economics and Statistics</w:t>
      </w:r>
      <w:r w:rsidRPr="00616C1F">
        <w:rPr>
          <w:spacing w:val="-4"/>
        </w:rPr>
        <w:t>, vol. 39, no. 3, pp. 312–320.</w:t>
      </w:r>
    </w:p>
    <w:p w14:paraId="0DF2288F" w14:textId="77777777" w:rsidR="0033042C" w:rsidRPr="00616C1F" w:rsidRDefault="0033042C" w:rsidP="0068535E">
      <w:pPr>
        <w:pStyle w:val="Reference"/>
        <w:spacing w:before="100"/>
        <w:rPr>
          <w:spacing w:val="-4"/>
        </w:rPr>
      </w:pPr>
      <w:r w:rsidRPr="00616C1F">
        <w:rPr>
          <w:spacing w:val="-4"/>
        </w:rPr>
        <w:t>Sorbe, S., Gal, P. and Millot, V. 2018, ‘Can productivity still grow in service-based economies?: Literature overview and preliminary evidence from OECD countries’, https://www.oecd-ilibrary.org/economics/can-productivity-still-grow-in-service-based-economies_4458ec7b-en (accessed 12 October 2020).</w:t>
      </w:r>
    </w:p>
    <w:p w14:paraId="1E0ABB43" w14:textId="77777777" w:rsidR="0033042C" w:rsidRPr="00616C1F" w:rsidRDefault="0033042C" w:rsidP="0068535E">
      <w:pPr>
        <w:pStyle w:val="Reference"/>
        <w:spacing w:before="100"/>
        <w:rPr>
          <w:spacing w:val="-4"/>
        </w:rPr>
      </w:pPr>
      <w:r w:rsidRPr="00616C1F">
        <w:rPr>
          <w:spacing w:val="-4"/>
        </w:rPr>
        <w:t xml:space="preserve">Swan, T.W. 1956, ‘ECONOMIC GROWTH and CAPITAL ACCUMULATION’, </w:t>
      </w:r>
      <w:r w:rsidRPr="00616C1F">
        <w:rPr>
          <w:i/>
          <w:iCs/>
          <w:spacing w:val="-4"/>
        </w:rPr>
        <w:t>Economic Record</w:t>
      </w:r>
      <w:r w:rsidRPr="00616C1F">
        <w:rPr>
          <w:spacing w:val="-4"/>
        </w:rPr>
        <w:t>, vol. 32, no. 2, pp. 334–361.</w:t>
      </w:r>
    </w:p>
    <w:p w14:paraId="1CBEAD7E" w14:textId="77777777" w:rsidR="0033042C" w:rsidRPr="00616C1F" w:rsidRDefault="0033042C" w:rsidP="0068535E">
      <w:pPr>
        <w:pStyle w:val="Reference"/>
        <w:spacing w:before="100"/>
        <w:rPr>
          <w:spacing w:val="-4"/>
        </w:rPr>
      </w:pPr>
      <w:r w:rsidRPr="00616C1F">
        <w:rPr>
          <w:spacing w:val="-4"/>
        </w:rPr>
        <w:t xml:space="preserve">The Conference Board 2018, </w:t>
      </w:r>
      <w:r w:rsidRPr="00616C1F">
        <w:rPr>
          <w:i/>
          <w:iCs/>
          <w:spacing w:val="-4"/>
        </w:rPr>
        <w:t>Total Economy Database</w:t>
      </w:r>
      <w:r w:rsidRPr="00616C1F">
        <w:rPr>
          <w:spacing w:val="-4"/>
        </w:rPr>
        <w:t>, Database, May.</w:t>
      </w:r>
    </w:p>
    <w:p w14:paraId="5A127E6F" w14:textId="77777777" w:rsidR="0033042C" w:rsidRPr="00616C1F" w:rsidRDefault="0033042C" w:rsidP="0068535E">
      <w:pPr>
        <w:pStyle w:val="Reference"/>
        <w:spacing w:before="100"/>
        <w:rPr>
          <w:spacing w:val="-4"/>
        </w:rPr>
      </w:pPr>
      <w:r w:rsidRPr="00616C1F">
        <w:rPr>
          <w:spacing w:val="-4"/>
        </w:rPr>
        <w:t xml:space="preserve">US. Bureau of the Census 1975, </w:t>
      </w:r>
      <w:r w:rsidRPr="00616C1F">
        <w:rPr>
          <w:i/>
          <w:iCs/>
          <w:spacing w:val="-4"/>
        </w:rPr>
        <w:t>Historical statistics of the United States: colonial times to 1970</w:t>
      </w:r>
      <w:r w:rsidRPr="00616C1F">
        <w:rPr>
          <w:spacing w:val="-4"/>
        </w:rPr>
        <w:t>, Washington D.C.</w:t>
      </w:r>
    </w:p>
    <w:p w14:paraId="128942FE" w14:textId="77777777" w:rsidR="0033042C" w:rsidRPr="00616C1F" w:rsidRDefault="0033042C" w:rsidP="0068535E">
      <w:pPr>
        <w:pStyle w:val="Reference"/>
        <w:spacing w:before="100"/>
        <w:rPr>
          <w:spacing w:val="-4"/>
        </w:rPr>
      </w:pPr>
      <w:r w:rsidRPr="00616C1F">
        <w:rPr>
          <w:spacing w:val="-4"/>
        </w:rPr>
        <w:t xml:space="preserve">Vandenbroek, P. 2018, </w:t>
      </w:r>
      <w:r w:rsidRPr="00616C1F">
        <w:rPr>
          <w:i/>
          <w:iCs/>
          <w:spacing w:val="-4"/>
        </w:rPr>
        <w:t>Underemployment statistics: a quick guide</w:t>
      </w:r>
      <w:r w:rsidRPr="00616C1F">
        <w:rPr>
          <w:spacing w:val="-4"/>
        </w:rPr>
        <w:t>, Research Paper Series 2018-19, Parliamentary Library, Canberra.</w:t>
      </w:r>
    </w:p>
    <w:p w14:paraId="36DBB582" w14:textId="77777777" w:rsidR="0033042C" w:rsidRPr="00616C1F" w:rsidRDefault="0033042C" w:rsidP="0068535E">
      <w:pPr>
        <w:pStyle w:val="Reference"/>
        <w:spacing w:before="100"/>
        <w:rPr>
          <w:spacing w:val="-4"/>
        </w:rPr>
      </w:pPr>
      <w:r w:rsidRPr="00616C1F">
        <w:rPr>
          <w:spacing w:val="-4"/>
        </w:rPr>
        <w:t xml:space="preserve">Wilson, J. 2014, ‘Government and the evolution of public policy’, </w:t>
      </w:r>
      <w:r w:rsidRPr="00616C1F">
        <w:rPr>
          <w:i/>
          <w:iCs/>
          <w:spacing w:val="-4"/>
        </w:rPr>
        <w:t>Cambridge Economic History of Australia</w:t>
      </w:r>
      <w:r w:rsidRPr="00616C1F">
        <w:rPr>
          <w:spacing w:val="-4"/>
        </w:rPr>
        <w:t>.</w:t>
      </w:r>
    </w:p>
    <w:p w14:paraId="1FCA255D" w14:textId="78F21674" w:rsidR="008A65CA" w:rsidRPr="00616C1F" w:rsidRDefault="0033042C" w:rsidP="0068535E">
      <w:pPr>
        <w:pStyle w:val="Reference"/>
        <w:spacing w:before="100"/>
        <w:rPr>
          <w:spacing w:val="-4"/>
        </w:rPr>
      </w:pPr>
      <w:r w:rsidRPr="00616C1F">
        <w:rPr>
          <w:spacing w:val="-4"/>
        </w:rPr>
        <w:t xml:space="preserve">Zenou, Y. 2009, ‘Endogenous job destruction and job matching in cities’, </w:t>
      </w:r>
      <w:r w:rsidRPr="00616C1F">
        <w:rPr>
          <w:i/>
          <w:iCs/>
          <w:spacing w:val="-4"/>
        </w:rPr>
        <w:t>Journal of Urban Economics</w:t>
      </w:r>
      <w:r w:rsidRPr="00616C1F">
        <w:rPr>
          <w:spacing w:val="-4"/>
        </w:rPr>
        <w:t>, vol. 65, no. 3, pp. 323–336.</w:t>
      </w:r>
    </w:p>
    <w:sectPr w:rsidR="008A65CA" w:rsidRPr="00616C1F" w:rsidSect="005C1F59">
      <w:footerReference w:type="even" r:id="rId45"/>
      <w:footerReference w:type="default" r:id="rId46"/>
      <w:type w:val="oddPage"/>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0C97" w14:textId="77777777" w:rsidR="00463D64" w:rsidRDefault="00463D64">
      <w:r>
        <w:separator/>
      </w:r>
    </w:p>
  </w:endnote>
  <w:endnote w:type="continuationSeparator" w:id="0">
    <w:p w14:paraId="5113CB56" w14:textId="77777777" w:rsidR="00463D64" w:rsidRDefault="00463D64">
      <w:r>
        <w:continuationSeparator/>
      </w:r>
    </w:p>
  </w:endnote>
  <w:endnote w:type="continuationNotice" w:id="1">
    <w:p w14:paraId="0276258F" w14:textId="77777777" w:rsidR="00463D64" w:rsidRDefault="00463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E01F3" w14:paraId="1FF60328" w14:textId="77777777" w:rsidTr="005F48ED">
      <w:trPr>
        <w:trHeight w:hRule="exact" w:val="567"/>
      </w:trPr>
      <w:tc>
        <w:tcPr>
          <w:tcW w:w="510" w:type="dxa"/>
        </w:tcPr>
        <w:p w14:paraId="22C1AD37" w14:textId="77777777" w:rsidR="00CE01F3" w:rsidRPr="00A24443" w:rsidRDefault="00CE01F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2F6A">
            <w:rPr>
              <w:rStyle w:val="PageNumber"/>
              <w:caps w:val="0"/>
              <w:noProof/>
            </w:rPr>
            <w:t>iv</w:t>
          </w:r>
          <w:r w:rsidRPr="00A24443">
            <w:rPr>
              <w:rStyle w:val="PageNumber"/>
              <w:caps w:val="0"/>
            </w:rPr>
            <w:fldChar w:fldCharType="end"/>
          </w:r>
        </w:p>
      </w:tc>
      <w:tc>
        <w:tcPr>
          <w:tcW w:w="7767" w:type="dxa"/>
        </w:tcPr>
        <w:p w14:paraId="7B1EE235" w14:textId="4308F93A" w:rsidR="00CE01F3" w:rsidRPr="0013739A" w:rsidRDefault="00CE01F3" w:rsidP="0013739A">
          <w:pPr>
            <w:pStyle w:val="Footer"/>
            <w:rPr>
              <w:rFonts w:cs="Arial"/>
            </w:rPr>
          </w:pPr>
          <w:r>
            <w:rPr>
              <w:rFonts w:cs="Arial"/>
            </w:rPr>
            <w:t>Productivity Insights</w:t>
          </w:r>
          <w:bookmarkStart w:id="4" w:name="DraftReportEven"/>
          <w:bookmarkEnd w:id="4"/>
        </w:p>
      </w:tc>
      <w:tc>
        <w:tcPr>
          <w:tcW w:w="510" w:type="dxa"/>
        </w:tcPr>
        <w:p w14:paraId="6AD8F32D" w14:textId="77777777" w:rsidR="00CE01F3" w:rsidRDefault="00CE01F3" w:rsidP="0019293B">
          <w:pPr>
            <w:pStyle w:val="Footer"/>
          </w:pPr>
        </w:p>
      </w:tc>
    </w:tr>
  </w:tbl>
  <w:p w14:paraId="3BE3C81C" w14:textId="77777777" w:rsidR="00CE01F3" w:rsidRDefault="00CE01F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E01F3" w14:paraId="536B60FA" w14:textId="77777777" w:rsidTr="005F48ED">
      <w:trPr>
        <w:trHeight w:hRule="exact" w:val="567"/>
      </w:trPr>
      <w:tc>
        <w:tcPr>
          <w:tcW w:w="510" w:type="dxa"/>
        </w:tcPr>
        <w:p w14:paraId="5E44E2C1" w14:textId="77777777" w:rsidR="00CE01F3" w:rsidRDefault="00CE01F3">
          <w:pPr>
            <w:pStyle w:val="Footer"/>
            <w:ind w:right="360" w:firstLine="360"/>
          </w:pPr>
        </w:p>
      </w:tc>
      <w:tc>
        <w:tcPr>
          <w:tcW w:w="7767" w:type="dxa"/>
        </w:tcPr>
        <w:p w14:paraId="13BBF636" w14:textId="3EE7DBC0" w:rsidR="00CE01F3" w:rsidRPr="00BA5B14" w:rsidRDefault="00CE01F3" w:rsidP="0013739A">
          <w:pPr>
            <w:pStyle w:val="Footer"/>
            <w:jc w:val="right"/>
            <w:rPr>
              <w:rFonts w:cs="Arial"/>
            </w:rPr>
          </w:pPr>
          <w:r>
            <w:rPr>
              <w:rFonts w:cs="Arial"/>
            </w:rPr>
            <w:t>Australia’s long term productivity experience</w:t>
          </w:r>
          <w:bookmarkStart w:id="5" w:name="DraftReportOdd"/>
          <w:bookmarkEnd w:id="5"/>
        </w:p>
      </w:tc>
      <w:tc>
        <w:tcPr>
          <w:tcW w:w="510" w:type="dxa"/>
        </w:tcPr>
        <w:p w14:paraId="2CE11EE7" w14:textId="6376A854" w:rsidR="00CE01F3" w:rsidRPr="00A24443" w:rsidRDefault="00CE01F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2F6A">
            <w:rPr>
              <w:rStyle w:val="PageNumber"/>
              <w:caps w:val="0"/>
              <w:noProof/>
            </w:rPr>
            <w:t>iii</w:t>
          </w:r>
          <w:r w:rsidRPr="00A24443">
            <w:rPr>
              <w:rStyle w:val="PageNumber"/>
              <w:caps w:val="0"/>
            </w:rPr>
            <w:fldChar w:fldCharType="end"/>
          </w:r>
        </w:p>
      </w:tc>
    </w:tr>
  </w:tbl>
  <w:p w14:paraId="59744796" w14:textId="77777777" w:rsidR="00CE01F3" w:rsidRDefault="00CE01F3">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E01F3" w14:paraId="33B85C7F" w14:textId="77777777" w:rsidTr="005F48ED">
      <w:trPr>
        <w:trHeight w:hRule="exact" w:val="567"/>
      </w:trPr>
      <w:tc>
        <w:tcPr>
          <w:tcW w:w="510" w:type="dxa"/>
        </w:tcPr>
        <w:p w14:paraId="10ED6E46" w14:textId="77777777" w:rsidR="00CE01F3" w:rsidRPr="00A24443" w:rsidRDefault="00CE01F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viii</w:t>
          </w:r>
          <w:r w:rsidRPr="00A24443">
            <w:rPr>
              <w:rStyle w:val="PageNumber"/>
              <w:caps w:val="0"/>
            </w:rPr>
            <w:fldChar w:fldCharType="end"/>
          </w:r>
        </w:p>
      </w:tc>
      <w:tc>
        <w:tcPr>
          <w:tcW w:w="7767" w:type="dxa"/>
        </w:tcPr>
        <w:p w14:paraId="7FAC2F98" w14:textId="77777777" w:rsidR="00CE01F3" w:rsidRPr="0013739A" w:rsidRDefault="00CE01F3" w:rsidP="0013739A">
          <w:pPr>
            <w:pStyle w:val="Footer"/>
            <w:rPr>
              <w:rFonts w:cs="Arial"/>
            </w:rPr>
          </w:pPr>
          <w:r>
            <w:rPr>
              <w:rFonts w:cs="Arial"/>
            </w:rPr>
            <w:t>Productivity Insights</w:t>
          </w:r>
        </w:p>
      </w:tc>
      <w:tc>
        <w:tcPr>
          <w:tcW w:w="510" w:type="dxa"/>
        </w:tcPr>
        <w:p w14:paraId="0BAAD4F4" w14:textId="77777777" w:rsidR="00CE01F3" w:rsidRDefault="00CE01F3" w:rsidP="0019293B">
          <w:pPr>
            <w:pStyle w:val="Footer"/>
          </w:pPr>
        </w:p>
      </w:tc>
    </w:tr>
  </w:tbl>
  <w:p w14:paraId="42C15565" w14:textId="77777777" w:rsidR="00CE01F3" w:rsidRDefault="00CE01F3"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E01F3" w14:paraId="433070A7" w14:textId="77777777" w:rsidTr="005F48ED">
      <w:trPr>
        <w:trHeight w:hRule="exact" w:val="567"/>
      </w:trPr>
      <w:tc>
        <w:tcPr>
          <w:tcW w:w="510" w:type="dxa"/>
        </w:tcPr>
        <w:p w14:paraId="41A0A79D" w14:textId="77777777" w:rsidR="00CE01F3" w:rsidRDefault="00CE01F3">
          <w:pPr>
            <w:pStyle w:val="Footer"/>
            <w:ind w:right="360" w:firstLine="360"/>
          </w:pPr>
        </w:p>
      </w:tc>
      <w:tc>
        <w:tcPr>
          <w:tcW w:w="7767" w:type="dxa"/>
        </w:tcPr>
        <w:p w14:paraId="4B4B0308" w14:textId="77777777" w:rsidR="00CE01F3" w:rsidRPr="00BA5B14" w:rsidRDefault="00CE01F3" w:rsidP="0013739A">
          <w:pPr>
            <w:pStyle w:val="Footer"/>
            <w:jc w:val="right"/>
            <w:rPr>
              <w:rFonts w:cs="Arial"/>
            </w:rPr>
          </w:pPr>
          <w:r>
            <w:rPr>
              <w:rFonts w:cs="Arial"/>
            </w:rPr>
            <w:t>Australia’s long term productivity experience</w:t>
          </w:r>
        </w:p>
      </w:tc>
      <w:tc>
        <w:tcPr>
          <w:tcW w:w="510" w:type="dxa"/>
        </w:tcPr>
        <w:p w14:paraId="17C0314F" w14:textId="77777777" w:rsidR="00CE01F3" w:rsidRPr="00A24443" w:rsidRDefault="00CE01F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2F6A">
            <w:rPr>
              <w:rStyle w:val="PageNumber"/>
              <w:caps w:val="0"/>
              <w:noProof/>
            </w:rPr>
            <w:t>v</w:t>
          </w:r>
          <w:r w:rsidRPr="00A24443">
            <w:rPr>
              <w:rStyle w:val="PageNumber"/>
              <w:caps w:val="0"/>
            </w:rPr>
            <w:fldChar w:fldCharType="end"/>
          </w:r>
        </w:p>
      </w:tc>
    </w:tr>
  </w:tbl>
  <w:p w14:paraId="345E7F0D" w14:textId="77777777" w:rsidR="00CE01F3" w:rsidRDefault="00CE01F3">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E01F3" w14:paraId="1DA7A936" w14:textId="77777777" w:rsidTr="005F48ED">
      <w:trPr>
        <w:trHeight w:hRule="exact" w:val="567"/>
      </w:trPr>
      <w:tc>
        <w:tcPr>
          <w:tcW w:w="510" w:type="dxa"/>
        </w:tcPr>
        <w:p w14:paraId="45B6DC0A" w14:textId="77777777" w:rsidR="00CE01F3" w:rsidRPr="00A24443" w:rsidRDefault="00CE01F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2F6A">
            <w:rPr>
              <w:rStyle w:val="PageNumber"/>
              <w:caps w:val="0"/>
              <w:noProof/>
            </w:rPr>
            <w:t>2</w:t>
          </w:r>
          <w:r w:rsidRPr="00A24443">
            <w:rPr>
              <w:rStyle w:val="PageNumber"/>
              <w:caps w:val="0"/>
            </w:rPr>
            <w:fldChar w:fldCharType="end"/>
          </w:r>
        </w:p>
      </w:tc>
      <w:tc>
        <w:tcPr>
          <w:tcW w:w="7767" w:type="dxa"/>
        </w:tcPr>
        <w:p w14:paraId="13244A0C" w14:textId="77777777" w:rsidR="00CE01F3" w:rsidRPr="0013739A" w:rsidRDefault="00CE01F3" w:rsidP="0013739A">
          <w:pPr>
            <w:pStyle w:val="Footer"/>
            <w:rPr>
              <w:rFonts w:cs="Arial"/>
            </w:rPr>
          </w:pPr>
          <w:r>
            <w:rPr>
              <w:rFonts w:cs="Arial"/>
            </w:rPr>
            <w:t>Productivity Insights</w:t>
          </w:r>
        </w:p>
      </w:tc>
      <w:tc>
        <w:tcPr>
          <w:tcW w:w="510" w:type="dxa"/>
        </w:tcPr>
        <w:p w14:paraId="72395CBD" w14:textId="77777777" w:rsidR="00CE01F3" w:rsidRDefault="00CE01F3" w:rsidP="0019293B">
          <w:pPr>
            <w:pStyle w:val="Footer"/>
          </w:pPr>
        </w:p>
      </w:tc>
    </w:tr>
  </w:tbl>
  <w:p w14:paraId="44133B7B" w14:textId="77777777" w:rsidR="00CE01F3" w:rsidRDefault="00CE01F3"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E01F3" w14:paraId="5F1C9D38" w14:textId="77777777" w:rsidTr="005F48ED">
      <w:trPr>
        <w:trHeight w:hRule="exact" w:val="567"/>
      </w:trPr>
      <w:tc>
        <w:tcPr>
          <w:tcW w:w="510" w:type="dxa"/>
        </w:tcPr>
        <w:p w14:paraId="389E175C" w14:textId="77777777" w:rsidR="00CE01F3" w:rsidRDefault="00CE01F3">
          <w:pPr>
            <w:pStyle w:val="Footer"/>
            <w:ind w:right="360" w:firstLine="360"/>
          </w:pPr>
        </w:p>
      </w:tc>
      <w:tc>
        <w:tcPr>
          <w:tcW w:w="7767" w:type="dxa"/>
        </w:tcPr>
        <w:p w14:paraId="23F2EEAE" w14:textId="77777777" w:rsidR="00CE01F3" w:rsidRPr="00BA5B14" w:rsidRDefault="00CE01F3" w:rsidP="0013739A">
          <w:pPr>
            <w:pStyle w:val="Footer"/>
            <w:jc w:val="right"/>
            <w:rPr>
              <w:rFonts w:cs="Arial"/>
            </w:rPr>
          </w:pPr>
          <w:r>
            <w:rPr>
              <w:rFonts w:cs="Arial"/>
            </w:rPr>
            <w:t>Australia’s long term productivity experience</w:t>
          </w:r>
        </w:p>
      </w:tc>
      <w:tc>
        <w:tcPr>
          <w:tcW w:w="510" w:type="dxa"/>
        </w:tcPr>
        <w:p w14:paraId="39BB3CEA" w14:textId="77777777" w:rsidR="00CE01F3" w:rsidRPr="00A24443" w:rsidRDefault="00CE01F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2F6A">
            <w:rPr>
              <w:rStyle w:val="PageNumber"/>
              <w:caps w:val="0"/>
              <w:noProof/>
            </w:rPr>
            <w:t>1</w:t>
          </w:r>
          <w:r w:rsidRPr="00A24443">
            <w:rPr>
              <w:rStyle w:val="PageNumber"/>
              <w:caps w:val="0"/>
            </w:rPr>
            <w:fldChar w:fldCharType="end"/>
          </w:r>
        </w:p>
      </w:tc>
    </w:tr>
  </w:tbl>
  <w:p w14:paraId="67C860BB" w14:textId="77777777" w:rsidR="00CE01F3" w:rsidRDefault="00CE01F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8C980" w14:textId="77777777" w:rsidR="00463D64" w:rsidRDefault="00463D64">
      <w:r>
        <w:separator/>
      </w:r>
    </w:p>
  </w:footnote>
  <w:footnote w:type="continuationSeparator" w:id="0">
    <w:p w14:paraId="4A5FED6C" w14:textId="77777777" w:rsidR="00463D64" w:rsidRDefault="00463D64">
      <w:r>
        <w:continuationSeparator/>
      </w:r>
    </w:p>
  </w:footnote>
  <w:footnote w:type="continuationNotice" w:id="1">
    <w:p w14:paraId="4FEE110C" w14:textId="77777777" w:rsidR="00463D64" w:rsidRDefault="00463D64"/>
  </w:footnote>
  <w:footnote w:id="2">
    <w:p w14:paraId="01CF245A" w14:textId="3B039B87" w:rsidR="00CE01F3" w:rsidRDefault="00CE01F3" w:rsidP="004F2ED9">
      <w:pPr>
        <w:pStyle w:val="FootnoteText"/>
      </w:pPr>
      <w:r w:rsidRPr="00A854B7">
        <w:rPr>
          <w:rStyle w:val="FootnoteReference"/>
        </w:rPr>
        <w:footnoteRef/>
      </w:r>
      <w:r>
        <w:tab/>
        <w:t>The actual number of recessions in Australia’s economic history cannot be accurately estimated due to the absence of official quarterly data prior to the establishment of the Australian Bureau of Statistics. For pre</w:t>
      </w:r>
      <w:r>
        <w:noBreakHyphen/>
        <w:t xml:space="preserve">1960 data, this note uses a year of negative GDP growth in the Butlin, Dixon and Lloyd </w:t>
      </w:r>
      <w:r w:rsidRPr="00324608">
        <w:t>(2015)</w:t>
      </w:r>
      <w:r>
        <w:t xml:space="preserve"> dataset as indicative of a recession. Different datasets give different amounts of, and severity, of downturns, though they are quite consistent in estimating long</w:t>
      </w:r>
      <w:r>
        <w:noBreakHyphen/>
        <w:t xml:space="preserve">term growth </w:t>
      </w:r>
      <w:r w:rsidRPr="00C304C7">
        <w:rPr>
          <w:szCs w:val="24"/>
        </w:rPr>
        <w:t>(Madsen 2015, pp. 30–31)</w:t>
      </w:r>
      <w:r>
        <w:t xml:space="preserve">. </w:t>
      </w:r>
    </w:p>
  </w:footnote>
  <w:footnote w:id="3">
    <w:p w14:paraId="624FC803" w14:textId="38BD10FA" w:rsidR="00CE01F3" w:rsidRDefault="00CE01F3" w:rsidP="005D4E54">
      <w:pPr>
        <w:pStyle w:val="FootnoteText"/>
      </w:pPr>
      <w:r w:rsidRPr="00A854B7">
        <w:rPr>
          <w:rStyle w:val="FootnoteReference"/>
        </w:rPr>
        <w:footnoteRef/>
      </w:r>
      <w:r>
        <w:tab/>
        <w:t>There is uncertainty about the Australian unemployment rate during the Great Depression due to potential issues of underreporting, discouraged</w:t>
      </w:r>
      <w:r>
        <w:noBreakHyphen/>
        <w:t>worker effects and informal work</w:t>
      </w:r>
      <w:r>
        <w:noBreakHyphen/>
        <w:t xml:space="preserve">sharing agreements. Some sources cite a peak of up to 30 per cent </w:t>
      </w:r>
      <w:r w:rsidRPr="00324608">
        <w:rPr>
          <w:szCs w:val="24"/>
        </w:rPr>
        <w:t>(McLean 2013, p. 161)</w:t>
      </w:r>
      <w:r>
        <w:t>.</w:t>
      </w:r>
    </w:p>
  </w:footnote>
  <w:footnote w:id="4">
    <w:p w14:paraId="39F7A4D9" w14:textId="0F373835" w:rsidR="00CE01F3" w:rsidRPr="00375798" w:rsidRDefault="00CE01F3">
      <w:pPr>
        <w:pStyle w:val="FootnoteText"/>
        <w:rPr>
          <w:lang w:val="en-US"/>
        </w:rPr>
      </w:pPr>
      <w:r w:rsidRPr="0008559C">
        <w:rPr>
          <w:rStyle w:val="FootnoteReference"/>
        </w:rPr>
        <w:footnoteRef/>
      </w:r>
      <w:r>
        <w:t xml:space="preserve"> </w:t>
      </w:r>
      <w:r>
        <w:tab/>
        <w:t>Rising underemployment may reflect the common characteristics of part time work. Workers may be able to find either full</w:t>
      </w:r>
      <w:r>
        <w:noBreakHyphen/>
        <w:t>time work, or underemployed part</w:t>
      </w:r>
      <w:r>
        <w:noBreakHyphen/>
        <w:t>time work, but not ‘fully employed’ part-time work (perhaps due to the transaction costs involved with holding multiple part</w:t>
      </w:r>
      <w:r>
        <w:noBreakHyphen/>
        <w:t>time jobs). So, the longer term (largely voluntary) rise in part</w:t>
      </w:r>
      <w:r>
        <w:noBreakHyphen/>
        <w:t xml:space="preserve">time work may go some way to explain the increase in the level of underemployment. Indeed, the ratio of underemployed workers to part-time workers had mostly recovered to pre-1991 levels before the Global Financial Crisis, supporting this interpretation </w:t>
      </w:r>
      <w:r w:rsidRPr="00365B35">
        <w:rPr>
          <w:szCs w:val="24"/>
        </w:rPr>
        <w:t>(ABS 2018)</w:t>
      </w:r>
      <w:r>
        <w:t>. Therefore,</w:t>
      </w:r>
      <w:r w:rsidRPr="00B37C4A">
        <w:t xml:space="preserve"> </w:t>
      </w:r>
      <w:r>
        <w:t xml:space="preserve">rising underemployment may be due to individuals’ preferences combined with increased transaction costs in finding and providing part time work rather than cyclical job losses. </w:t>
      </w:r>
    </w:p>
  </w:footnote>
  <w:footnote w:id="5">
    <w:p w14:paraId="236A207B" w14:textId="641A93E8" w:rsidR="00CE01F3" w:rsidRDefault="00CE01F3">
      <w:pPr>
        <w:pStyle w:val="FootnoteText"/>
      </w:pPr>
      <w:r>
        <w:rPr>
          <w:rStyle w:val="FootnoteReference"/>
        </w:rPr>
        <w:footnoteRef/>
      </w:r>
      <w:r>
        <w:tab/>
        <w:t>Labour force participation (seasonally adjusted) peaked at 63.9 per cent in August 1990 (prior to the 1990</w:t>
      </w:r>
      <w:r>
        <w:noBreakHyphen/>
        <w:t>91 recession) and steadily fell over the next three years, not reaching similar levels until December 1995 (63.7 per cent). In the initial months of the COVID</w:t>
      </w:r>
      <w:r>
        <w:noBreakHyphen/>
        <w:t>19 downturn (between March and May 2020), seasonally adjusted labour force participation fell from over 3 percentage points but has recovered about two</w:t>
      </w:r>
      <w:r>
        <w:noBreakHyphen/>
        <w:t xml:space="preserve">thirds of this initial fall as of September 2020 </w:t>
      </w:r>
      <w:r w:rsidRPr="00D60BBA">
        <w:rPr>
          <w:szCs w:val="24"/>
        </w:rPr>
        <w:t>(ABS 2020f)</w:t>
      </w:r>
      <w:r>
        <w:t xml:space="preserve">. </w:t>
      </w:r>
    </w:p>
  </w:footnote>
  <w:footnote w:id="6">
    <w:p w14:paraId="6C7BD8AB" w14:textId="6272F78B" w:rsidR="00CE01F3" w:rsidRDefault="00CE01F3" w:rsidP="00375798">
      <w:pPr>
        <w:pStyle w:val="FootnoteText"/>
      </w:pPr>
      <w:r w:rsidRPr="0008559C">
        <w:rPr>
          <w:rStyle w:val="FootnoteReference"/>
        </w:rPr>
        <w:footnoteRef/>
      </w:r>
      <w:r>
        <w:tab/>
        <w:t xml:space="preserve">This considers the role of MFP in the canonical Solow/Swan models, under certain assumptions, usually: perfectly competitive markets, hicks-neutral technology, exogenous savings rate amongst others </w:t>
      </w:r>
      <w:r w:rsidRPr="008310D7">
        <w:rPr>
          <w:szCs w:val="24"/>
        </w:rPr>
        <w:t>(Solow 1957; Swan 1956)</w:t>
      </w:r>
      <w:r>
        <w:t>.</w:t>
      </w:r>
    </w:p>
  </w:footnote>
  <w:footnote w:id="7">
    <w:p w14:paraId="0F8AE84A" w14:textId="6AC81CB5" w:rsidR="00CE01F3" w:rsidRPr="000E259E" w:rsidRDefault="00CE01F3" w:rsidP="00F27568">
      <w:pPr>
        <w:pStyle w:val="FootnoteText"/>
        <w:rPr>
          <w:spacing w:val="-4"/>
        </w:rPr>
      </w:pPr>
      <w:r>
        <w:rPr>
          <w:rStyle w:val="FootnoteReference"/>
        </w:rPr>
        <w:footnoteRef/>
      </w:r>
      <w:r>
        <w:t xml:space="preserve"> </w:t>
      </w:r>
      <w:r>
        <w:tab/>
      </w:r>
      <w:r w:rsidRPr="000E259E">
        <w:rPr>
          <w:spacing w:val="-4"/>
        </w:rPr>
        <w:t xml:space="preserve">In figure 7, the divergence between producer wages and labour productivity appears to be increasing but this is mainly due to use of indices, which mean more recent values seem more important than past values. If instead one looks at the labour share of income directly, it appears that the recent fall in the labour share of income (from 55 per cent to 52 per cent between June 2000 and June 2020) is relatively small compared to, say, the rise in the 1970s from 53 per cent to 62 per cent between June 1970 and June 1975 </w:t>
      </w:r>
      <w:r w:rsidRPr="000E259E">
        <w:rPr>
          <w:spacing w:val="-4"/>
          <w:szCs w:val="24"/>
        </w:rPr>
        <w:t>(ABS 2020e)</w:t>
      </w:r>
      <w:r>
        <w:rPr>
          <w:spacing w:val="-4"/>
        </w:rPr>
        <w:t>.</w:t>
      </w:r>
    </w:p>
  </w:footnote>
  <w:footnote w:id="8">
    <w:p w14:paraId="66340F08" w14:textId="1DC933F9" w:rsidR="00CE01F3" w:rsidRDefault="00CE01F3">
      <w:pPr>
        <w:pStyle w:val="FootnoteText"/>
      </w:pPr>
      <w:r w:rsidRPr="0008559C">
        <w:rPr>
          <w:rStyle w:val="FootnoteReference"/>
        </w:rPr>
        <w:footnoteRef/>
      </w:r>
      <w:r>
        <w:tab/>
      </w:r>
      <w:r w:rsidRPr="006964F9">
        <w:t xml:space="preserve">Being an aggregate figure, this increase in average </w:t>
      </w:r>
      <w:r>
        <w:t>incomes</w:t>
      </w:r>
      <w:r w:rsidRPr="006964F9">
        <w:t xml:space="preserve"> hides significant distributional differences across the community, and in the case of Indigenous Australians, statistics largely </w:t>
      </w:r>
      <w:r>
        <w:t xml:space="preserve">excluded them until the 1960s. </w:t>
      </w:r>
      <w:r w:rsidRPr="006964F9">
        <w:t>This omission means that long range historical data on the Australian economy can mask the effects of colonisation on the Indigenous community</w:t>
      </w:r>
      <w:r>
        <w:t>.</w:t>
      </w:r>
    </w:p>
  </w:footnote>
  <w:footnote w:id="9">
    <w:p w14:paraId="763189EF" w14:textId="77777777" w:rsidR="00CE01F3" w:rsidRDefault="00CE01F3" w:rsidP="004A75D3">
      <w:pPr>
        <w:pStyle w:val="FootnoteText"/>
      </w:pPr>
      <w:r w:rsidRPr="0008559C">
        <w:rPr>
          <w:rStyle w:val="FootnoteReference"/>
        </w:rPr>
        <w:footnoteRef/>
      </w:r>
      <w:r>
        <w:tab/>
        <w:t>The effect of the gender ratio is that relative GDP per capita in 1820 (33 per cent as a proportion of the US level) is lower than relative GDP per male (76 per cent). This makes Australia’s rise in income in the latter part of the century seem less significant.</w:t>
      </w:r>
    </w:p>
  </w:footnote>
  <w:footnote w:id="10">
    <w:p w14:paraId="17C96E67" w14:textId="01BA0081" w:rsidR="00CE01F3" w:rsidRDefault="00CE01F3" w:rsidP="00C434B5">
      <w:pPr>
        <w:pStyle w:val="FootnoteText"/>
      </w:pPr>
      <w:r>
        <w:rPr>
          <w:rStyle w:val="FootnoteReference"/>
        </w:rPr>
        <w:footnoteRef/>
      </w:r>
      <w:r>
        <w:tab/>
        <w:t xml:space="preserve">Agriculture accounted for 23 per cent of total value added in 1890, 24 per cent 1914 and 24 per cent in 1950. The same figures for mining were 5 per cent in 1890, 5 per cent in 1914 and 2 per cent in 1950 </w:t>
      </w:r>
      <w:r w:rsidRPr="00782BF3">
        <w:rPr>
          <w:szCs w:val="24"/>
        </w:rPr>
        <w:t>(Butlin, Dixon and Lloyd 2015)</w:t>
      </w:r>
      <w:r>
        <w:t>.</w:t>
      </w:r>
    </w:p>
  </w:footnote>
  <w:footnote w:id="11">
    <w:p w14:paraId="4FEF4DA6" w14:textId="4138BF3D" w:rsidR="00CE01F3" w:rsidRPr="000E259E" w:rsidRDefault="00CE01F3" w:rsidP="001C4BA9">
      <w:pPr>
        <w:pStyle w:val="FootnoteText"/>
        <w:rPr>
          <w:spacing w:val="-4"/>
        </w:rPr>
      </w:pPr>
      <w:r w:rsidRPr="0008559C">
        <w:rPr>
          <w:rStyle w:val="FootnoteReference"/>
        </w:rPr>
        <w:footnoteRef/>
      </w:r>
      <w:r>
        <w:tab/>
      </w:r>
      <w:r w:rsidRPr="000E259E">
        <w:rPr>
          <w:spacing w:val="-4"/>
        </w:rPr>
        <w:t xml:space="preserve">The Commonwealth Conciliation and Arbitration Court only had jurisdiction over industrial disputes that crossed state borders, which at the time were few </w:t>
      </w:r>
      <w:r w:rsidRPr="000E259E">
        <w:rPr>
          <w:spacing w:val="-4"/>
          <w:szCs w:val="24"/>
        </w:rPr>
        <w:t>(Isaac 2008)</w:t>
      </w:r>
      <w:r w:rsidRPr="000E259E">
        <w:rPr>
          <w:spacing w:val="-4"/>
        </w:rPr>
        <w:t xml:space="preserve">. As will be discussed below, it is only when state arbitration courts adopted the methodology of </w:t>
      </w:r>
      <w:r w:rsidRPr="000E259E">
        <w:rPr>
          <w:i/>
          <w:iCs/>
          <w:spacing w:val="-4"/>
        </w:rPr>
        <w:t>Harvester</w:t>
      </w:r>
      <w:r w:rsidRPr="000E259E">
        <w:rPr>
          <w:spacing w:val="-4"/>
        </w:rPr>
        <w:t xml:space="preserve"> that the decision was binding for most employees.</w:t>
      </w:r>
    </w:p>
  </w:footnote>
  <w:footnote w:id="12">
    <w:p w14:paraId="2A82B099" w14:textId="020D0544" w:rsidR="00CE01F3" w:rsidRPr="00D44992" w:rsidRDefault="00CE01F3" w:rsidP="00306CBC">
      <w:pPr>
        <w:pStyle w:val="FootnoteText"/>
        <w:rPr>
          <w:iCs/>
        </w:rPr>
      </w:pPr>
      <w:r w:rsidRPr="0008559C">
        <w:rPr>
          <w:rStyle w:val="FootnoteReference"/>
        </w:rPr>
        <w:footnoteRef/>
      </w:r>
      <w:r>
        <w:tab/>
        <w:t xml:space="preserve">Beginning in 1919, NSW industrial dispute courts adopted new methods of calculating minimum wages that saw them increase by 27 per cent relative to what they would have been under their previous method. Forster </w:t>
      </w:r>
      <w:r w:rsidRPr="006E2B26">
        <w:t>(1985)</w:t>
      </w:r>
      <w:r>
        <w:t xml:space="preserve"> argues they were inspired by the 1907 </w:t>
      </w:r>
      <w:r>
        <w:rPr>
          <w:i/>
        </w:rPr>
        <w:t xml:space="preserve">Harvester </w:t>
      </w:r>
      <w:r>
        <w:rPr>
          <w:iCs/>
        </w:rPr>
        <w:t xml:space="preserve">decision. </w:t>
      </w:r>
    </w:p>
  </w:footnote>
  <w:footnote w:id="13">
    <w:p w14:paraId="72BDA882" w14:textId="62607128" w:rsidR="00CE01F3" w:rsidRDefault="00CE01F3">
      <w:pPr>
        <w:pStyle w:val="FootnoteText"/>
      </w:pPr>
      <w:r w:rsidRPr="0008559C">
        <w:rPr>
          <w:rStyle w:val="FootnoteReference"/>
        </w:rPr>
        <w:footnoteRef/>
      </w:r>
      <w:r>
        <w:tab/>
        <w:t xml:space="preserve">From 1921, government tariff setting was often made in reference to recommendations made by the Tariff Board. This body was often the subject of lobbying and an analysis of its decisions between 1924 and 1930 show that in nearly 90 per cent of Tariff Board decisions tariffs were recommended to either increase or stay the same. Recommendations for a decrease of tariffs only occurred in about 10 per cent of cases </w:t>
      </w:r>
      <w:r w:rsidRPr="00925A6F">
        <w:rPr>
          <w:szCs w:val="24"/>
        </w:rPr>
        <w:t>(Wilson 2014, p. 340)</w:t>
      </w:r>
      <w:r>
        <w:t xml:space="preserve">. </w:t>
      </w:r>
    </w:p>
  </w:footnote>
  <w:footnote w:id="14">
    <w:p w14:paraId="06EE76A3" w14:textId="598A3F4A" w:rsidR="00CE01F3" w:rsidRDefault="00CE01F3">
      <w:pPr>
        <w:pStyle w:val="FootnoteText"/>
      </w:pPr>
      <w:r>
        <w:rPr>
          <w:rStyle w:val="FootnoteReference"/>
        </w:rPr>
        <w:footnoteRef/>
      </w:r>
      <w:r>
        <w:tab/>
        <w:t xml:space="preserve">Female labour force participation (15 to 64 year olds) was 45.1 per cent in Australia and 49.3 per cent in in the United States in 1970, with the gap between the two rising by 1980 where the rate was 52 per cent in the former and 60.7 per cent in the latter. However by the time of the GFC, Australia had surpassed the United States’ female labour force participation rate </w:t>
      </w:r>
      <w:r w:rsidRPr="00437068">
        <w:rPr>
          <w:szCs w:val="24"/>
        </w:rPr>
        <w:t>(OECD 2020)</w:t>
      </w:r>
      <w:r>
        <w:t xml:space="preserve">. </w:t>
      </w:r>
    </w:p>
  </w:footnote>
  <w:footnote w:id="15">
    <w:p w14:paraId="70F675A4" w14:textId="63E42B7C" w:rsidR="00CE01F3" w:rsidRPr="005F579A" w:rsidRDefault="00CE01F3" w:rsidP="004A75D3">
      <w:pPr>
        <w:pStyle w:val="FootnoteText"/>
        <w:rPr>
          <w:spacing w:val="-4"/>
        </w:rPr>
      </w:pPr>
      <w:r w:rsidRPr="0008559C">
        <w:rPr>
          <w:rStyle w:val="FootnoteReference"/>
        </w:rPr>
        <w:footnoteRef/>
      </w:r>
      <w:r>
        <w:tab/>
      </w:r>
      <w:r w:rsidRPr="005F579A">
        <w:rPr>
          <w:spacing w:val="-4"/>
        </w:rPr>
        <w:t>Mining sector MFP has fallen by 25 per cent between 1994</w:t>
      </w:r>
      <w:r w:rsidRPr="005F579A">
        <w:rPr>
          <w:spacing w:val="-4"/>
        </w:rPr>
        <w:noBreakHyphen/>
        <w:t>95 and 2018</w:t>
      </w:r>
      <w:r w:rsidRPr="005F579A">
        <w:rPr>
          <w:spacing w:val="-4"/>
        </w:rPr>
        <w:noBreakHyphen/>
        <w:t xml:space="preserve">19, likely due to the lag between investment and extraction and mineral prices incentivising investment in more marginal deposits </w:t>
      </w:r>
      <w:r w:rsidRPr="005F579A">
        <w:rPr>
          <w:spacing w:val="-4"/>
          <w:szCs w:val="24"/>
        </w:rPr>
        <w:t>(ABS 2019)</w:t>
      </w:r>
      <w:r w:rsidRPr="005F579A">
        <w:rPr>
          <w:spacing w:val="-4"/>
        </w:rPr>
        <w:t xml:space="preserve">. </w:t>
      </w:r>
    </w:p>
  </w:footnote>
  <w:footnote w:id="16">
    <w:p w14:paraId="3E13A29A" w14:textId="1115AA5D" w:rsidR="00CE01F3" w:rsidRDefault="00CE01F3">
      <w:pPr>
        <w:pStyle w:val="FootnoteText"/>
      </w:pPr>
      <w:r>
        <w:rPr>
          <w:rStyle w:val="FootnoteReference"/>
        </w:rPr>
        <w:footnoteRef/>
      </w:r>
      <w:r>
        <w:tab/>
        <w:t>See</w:t>
      </w:r>
      <w:r>
        <w:rPr>
          <w:szCs w:val="24"/>
        </w:rPr>
        <w:t xml:space="preserve"> </w:t>
      </w:r>
      <w:r w:rsidRPr="00993CC8">
        <w:rPr>
          <w:szCs w:val="24"/>
        </w:rPr>
        <w:t>Acemoglu, Johnson and Robinson</w:t>
      </w:r>
      <w:r>
        <w:rPr>
          <w:szCs w:val="24"/>
        </w:rPr>
        <w:t xml:space="preserve"> </w:t>
      </w:r>
      <w:r w:rsidRPr="00CA50CB">
        <w:rPr>
          <w:szCs w:val="24"/>
        </w:rPr>
        <w:t>(2005)</w:t>
      </w:r>
      <w:r>
        <w:rPr>
          <w:szCs w:val="24"/>
        </w:rPr>
        <w:t xml:space="preserve">, </w:t>
      </w:r>
      <w:r>
        <w:t xml:space="preserve">North </w:t>
      </w:r>
      <w:r w:rsidRPr="006B095C">
        <w:rPr>
          <w:szCs w:val="24"/>
        </w:rPr>
        <w:t>(1990)</w:t>
      </w:r>
      <w:r>
        <w:t xml:space="preserve"> and the PC inquiries into funding public infrastructure </w:t>
      </w:r>
      <w:r w:rsidRPr="00613D93">
        <w:rPr>
          <w:szCs w:val="24"/>
        </w:rPr>
        <w:t>(2014)</w:t>
      </w:r>
      <w:r>
        <w:t xml:space="preserve">, NDIS </w:t>
      </w:r>
      <w:r w:rsidRPr="00364A36">
        <w:rPr>
          <w:szCs w:val="24"/>
        </w:rPr>
        <w:t>(2017a)</w:t>
      </w:r>
      <w:r>
        <w:t xml:space="preserve"> and shifting the dial for evidence of the importance of institutions in supporting efficient resource allocation </w:t>
      </w:r>
      <w:r w:rsidRPr="00156EB8">
        <w:rPr>
          <w:szCs w:val="24"/>
        </w:rPr>
        <w:t>(2017b)</w:t>
      </w:r>
      <w:r>
        <w:t xml:space="preserve">. See Melo </w:t>
      </w:r>
      <w:r w:rsidRPr="00692C4E">
        <w:rPr>
          <w:szCs w:val="24"/>
        </w:rPr>
        <w:t>(1977)</w:t>
      </w:r>
      <w:r>
        <w:t xml:space="preserve"> and </w:t>
      </w:r>
      <w:r w:rsidRPr="0042482B">
        <w:rPr>
          <w:szCs w:val="24"/>
        </w:rPr>
        <w:t>Hsieh and Klenow</w:t>
      </w:r>
      <w:r>
        <w:t xml:space="preserve"> </w:t>
      </w:r>
      <w:r>
        <w:rPr>
          <w:szCs w:val="24"/>
        </w:rPr>
        <w:t>(</w:t>
      </w:r>
      <w:r w:rsidRPr="0042482B">
        <w:rPr>
          <w:szCs w:val="24"/>
        </w:rPr>
        <w:t>2009)</w:t>
      </w:r>
      <w:r>
        <w:t xml:space="preserve"> for theoretical and empirical investigations on the cost of misallocated resources. </w:t>
      </w:r>
    </w:p>
  </w:footnote>
  <w:footnote w:id="17">
    <w:p w14:paraId="5A9E92C3" w14:textId="4E83FE1D" w:rsidR="00CE01F3" w:rsidRPr="0021235D" w:rsidRDefault="00CE01F3">
      <w:pPr>
        <w:pStyle w:val="FootnoteText"/>
        <w:rPr>
          <w:spacing w:val="-2"/>
        </w:rPr>
      </w:pPr>
      <w:r>
        <w:rPr>
          <w:rStyle w:val="FootnoteReference"/>
        </w:rPr>
        <w:footnoteRef/>
      </w:r>
      <w:r>
        <w:tab/>
      </w:r>
      <w:r w:rsidRPr="0021235D">
        <w:rPr>
          <w:spacing w:val="-2"/>
        </w:rPr>
        <w:t xml:space="preserve">The cycle of rising wages and prices that followed the OPEC oil crisis was worsened by policy settings that allowed excessive wage rises. Further, a stronger monetary policy response in the United States to the same circumstances arguably led to a faster disinflation and faster subsequent growth </w:t>
      </w:r>
      <w:r w:rsidRPr="0021235D">
        <w:rPr>
          <w:spacing w:val="-2"/>
          <w:szCs w:val="24"/>
        </w:rPr>
        <w:t>(McLean 2013, pp. 217–218)</w:t>
      </w:r>
      <w:r w:rsidRPr="0021235D">
        <w:rPr>
          <w:spacing w:val="-2"/>
        </w:rPr>
        <w:t>.</w:t>
      </w:r>
    </w:p>
  </w:footnote>
  <w:footnote w:id="18">
    <w:p w14:paraId="23F9E051" w14:textId="4D8E7960" w:rsidR="00CE01F3" w:rsidRDefault="00CE01F3">
      <w:pPr>
        <w:pStyle w:val="FootnoteText"/>
      </w:pPr>
      <w:r>
        <w:rPr>
          <w:rStyle w:val="FootnoteReference"/>
        </w:rPr>
        <w:footnoteRef/>
      </w:r>
      <w:r>
        <w:tab/>
        <w:t xml:space="preserve">This term was coined by Paul Kelly </w:t>
      </w:r>
      <w:r w:rsidRPr="00695DB5">
        <w:t>(1992)</w:t>
      </w:r>
      <w:r>
        <w:t>.</w:t>
      </w:r>
    </w:p>
  </w:footnote>
  <w:footnote w:id="19">
    <w:p w14:paraId="3A0BFC81" w14:textId="3582294F" w:rsidR="00CE01F3" w:rsidRPr="003A60D6" w:rsidRDefault="00CE01F3">
      <w:pPr>
        <w:pStyle w:val="FootnoteText"/>
        <w:rPr>
          <w:lang w:val="en-US"/>
        </w:rPr>
      </w:pPr>
      <w:r w:rsidRPr="0008559C">
        <w:rPr>
          <w:rStyle w:val="FootnoteReference"/>
        </w:rPr>
        <w:footnoteRef/>
      </w:r>
      <w:r>
        <w:tab/>
        <w:t xml:space="preserve">Paul Keating’s warnings of Australia becoming a ‘Banana Republic’ was in part a reaction to weaker terms of trade at the time. And the direct effect of the terms of trade does appear significant. For example, in the years from March 1980 to March 1986 (Keating made his speech in May 1986), the terms of trade had subtracted -0.33 percentage points from annual gross domestic income growth </w:t>
      </w:r>
      <w:r w:rsidRPr="007C4328">
        <w:rPr>
          <w:szCs w:val="24"/>
        </w:rPr>
        <w:t>(ABS 2020b)</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E01F3" w14:paraId="6B03D7A6" w14:textId="77777777">
      <w:tc>
        <w:tcPr>
          <w:tcW w:w="2155" w:type="dxa"/>
          <w:tcBorders>
            <w:top w:val="single" w:sz="24" w:space="0" w:color="auto"/>
          </w:tcBorders>
        </w:tcPr>
        <w:p w14:paraId="6F9D050C" w14:textId="77777777" w:rsidR="00CE01F3" w:rsidRDefault="00CE01F3" w:rsidP="0019293B">
          <w:pPr>
            <w:pStyle w:val="HeaderEven"/>
          </w:pPr>
        </w:p>
      </w:tc>
      <w:tc>
        <w:tcPr>
          <w:tcW w:w="6634" w:type="dxa"/>
          <w:tcBorders>
            <w:top w:val="single" w:sz="6" w:space="0" w:color="auto"/>
          </w:tcBorders>
        </w:tcPr>
        <w:p w14:paraId="75D7988A" w14:textId="3F0499C7" w:rsidR="00CE01F3" w:rsidRDefault="00CE01F3" w:rsidP="007610E3">
          <w:pPr>
            <w:pStyle w:val="HeaderEven"/>
            <w:tabs>
              <w:tab w:val="clear" w:pos="4394"/>
              <w:tab w:val="clear" w:pos="8789"/>
              <w:tab w:val="left" w:pos="2355"/>
            </w:tabs>
          </w:pPr>
        </w:p>
      </w:tc>
    </w:tr>
  </w:tbl>
  <w:p w14:paraId="0D74DC57" w14:textId="77777777" w:rsidR="00CE01F3" w:rsidRPr="00530E19" w:rsidRDefault="00CE01F3" w:rsidP="00530E1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E01F3" w14:paraId="4D354888" w14:textId="77777777">
      <w:tc>
        <w:tcPr>
          <w:tcW w:w="6634" w:type="dxa"/>
          <w:tcBorders>
            <w:top w:val="single" w:sz="6" w:space="0" w:color="auto"/>
          </w:tcBorders>
        </w:tcPr>
        <w:p w14:paraId="41F1CD4D" w14:textId="4388587E" w:rsidR="00CE01F3" w:rsidRDefault="00CE01F3" w:rsidP="003F3F3B">
          <w:pPr>
            <w:pStyle w:val="HeaderOdd"/>
            <w:tabs>
              <w:tab w:val="clear" w:pos="4394"/>
              <w:tab w:val="clear" w:pos="8789"/>
              <w:tab w:val="left" w:pos="2235"/>
            </w:tabs>
          </w:pPr>
        </w:p>
      </w:tc>
      <w:tc>
        <w:tcPr>
          <w:tcW w:w="2155" w:type="dxa"/>
          <w:tcBorders>
            <w:top w:val="single" w:sz="24" w:space="0" w:color="auto"/>
          </w:tcBorders>
        </w:tcPr>
        <w:p w14:paraId="745DCAAD" w14:textId="77777777" w:rsidR="00CE01F3" w:rsidRDefault="00CE01F3" w:rsidP="00E669E2">
          <w:pPr>
            <w:pStyle w:val="HeaderOdd"/>
          </w:pPr>
        </w:p>
      </w:tc>
    </w:tr>
  </w:tbl>
  <w:p w14:paraId="102C62A6" w14:textId="77777777" w:rsidR="00CE01F3" w:rsidRDefault="00CE01F3" w:rsidP="000E259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E4C5924"/>
    <w:multiLevelType w:val="hybridMultilevel"/>
    <w:tmpl w:val="2F4C0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Australia’s long term productivity experience"/>
    <w:docVar w:name="ShortReportTitle" w:val="Productivity Insights"/>
  </w:docVars>
  <w:rsids>
    <w:rsidRoot w:val="00443E1B"/>
    <w:rsid w:val="00000BD8"/>
    <w:rsid w:val="0000119F"/>
    <w:rsid w:val="00002056"/>
    <w:rsid w:val="0000238B"/>
    <w:rsid w:val="000023ED"/>
    <w:rsid w:val="00002C3B"/>
    <w:rsid w:val="000034EF"/>
    <w:rsid w:val="00003773"/>
    <w:rsid w:val="00004E94"/>
    <w:rsid w:val="000057DE"/>
    <w:rsid w:val="00006BF5"/>
    <w:rsid w:val="00007167"/>
    <w:rsid w:val="0000723A"/>
    <w:rsid w:val="000072CA"/>
    <w:rsid w:val="00010452"/>
    <w:rsid w:val="000111FD"/>
    <w:rsid w:val="00011597"/>
    <w:rsid w:val="0001166B"/>
    <w:rsid w:val="00011979"/>
    <w:rsid w:val="00011A5F"/>
    <w:rsid w:val="00011A8E"/>
    <w:rsid w:val="00011ADD"/>
    <w:rsid w:val="00012015"/>
    <w:rsid w:val="0001254B"/>
    <w:rsid w:val="00012A6A"/>
    <w:rsid w:val="00012D98"/>
    <w:rsid w:val="00012E7D"/>
    <w:rsid w:val="0001339F"/>
    <w:rsid w:val="000134FC"/>
    <w:rsid w:val="000138B2"/>
    <w:rsid w:val="000144D0"/>
    <w:rsid w:val="0001482E"/>
    <w:rsid w:val="00014EFE"/>
    <w:rsid w:val="00015040"/>
    <w:rsid w:val="000153A9"/>
    <w:rsid w:val="00015435"/>
    <w:rsid w:val="00015480"/>
    <w:rsid w:val="0001594F"/>
    <w:rsid w:val="00015BD4"/>
    <w:rsid w:val="0001601B"/>
    <w:rsid w:val="00016726"/>
    <w:rsid w:val="00016E46"/>
    <w:rsid w:val="000170AF"/>
    <w:rsid w:val="000179CC"/>
    <w:rsid w:val="00020103"/>
    <w:rsid w:val="0002041B"/>
    <w:rsid w:val="00020608"/>
    <w:rsid w:val="0002061C"/>
    <w:rsid w:val="00020CB8"/>
    <w:rsid w:val="00020F3E"/>
    <w:rsid w:val="00021606"/>
    <w:rsid w:val="00021CD5"/>
    <w:rsid w:val="00022347"/>
    <w:rsid w:val="000227D5"/>
    <w:rsid w:val="00022988"/>
    <w:rsid w:val="00023401"/>
    <w:rsid w:val="00023AD9"/>
    <w:rsid w:val="00023BF2"/>
    <w:rsid w:val="00023DED"/>
    <w:rsid w:val="00023E43"/>
    <w:rsid w:val="0002419E"/>
    <w:rsid w:val="0002421A"/>
    <w:rsid w:val="0002437C"/>
    <w:rsid w:val="000245AA"/>
    <w:rsid w:val="000250D3"/>
    <w:rsid w:val="00025372"/>
    <w:rsid w:val="0002564D"/>
    <w:rsid w:val="000265F1"/>
    <w:rsid w:val="00026909"/>
    <w:rsid w:val="00027529"/>
    <w:rsid w:val="0003010F"/>
    <w:rsid w:val="00030339"/>
    <w:rsid w:val="000306C7"/>
    <w:rsid w:val="000306EB"/>
    <w:rsid w:val="00030E1A"/>
    <w:rsid w:val="000311E6"/>
    <w:rsid w:val="00031E8D"/>
    <w:rsid w:val="0003230D"/>
    <w:rsid w:val="000324B7"/>
    <w:rsid w:val="00032D4A"/>
    <w:rsid w:val="000339F6"/>
    <w:rsid w:val="000340F7"/>
    <w:rsid w:val="00034537"/>
    <w:rsid w:val="000347C5"/>
    <w:rsid w:val="00034BBF"/>
    <w:rsid w:val="00034FA6"/>
    <w:rsid w:val="000360FF"/>
    <w:rsid w:val="0003610F"/>
    <w:rsid w:val="00036160"/>
    <w:rsid w:val="00036488"/>
    <w:rsid w:val="0003664B"/>
    <w:rsid w:val="0003700B"/>
    <w:rsid w:val="000374B1"/>
    <w:rsid w:val="00037621"/>
    <w:rsid w:val="00040081"/>
    <w:rsid w:val="000409B8"/>
    <w:rsid w:val="00040CC0"/>
    <w:rsid w:val="0004111F"/>
    <w:rsid w:val="000416E5"/>
    <w:rsid w:val="00041753"/>
    <w:rsid w:val="0004279D"/>
    <w:rsid w:val="00042A93"/>
    <w:rsid w:val="00043222"/>
    <w:rsid w:val="0004391C"/>
    <w:rsid w:val="00043F09"/>
    <w:rsid w:val="000440C8"/>
    <w:rsid w:val="00044492"/>
    <w:rsid w:val="00044595"/>
    <w:rsid w:val="000457BB"/>
    <w:rsid w:val="00045DB0"/>
    <w:rsid w:val="00045E2B"/>
    <w:rsid w:val="00046227"/>
    <w:rsid w:val="0004635E"/>
    <w:rsid w:val="00046C6D"/>
    <w:rsid w:val="00046DD0"/>
    <w:rsid w:val="000476E7"/>
    <w:rsid w:val="00050419"/>
    <w:rsid w:val="00050ED4"/>
    <w:rsid w:val="0005108B"/>
    <w:rsid w:val="0005112C"/>
    <w:rsid w:val="00051FA8"/>
    <w:rsid w:val="000524BE"/>
    <w:rsid w:val="00052591"/>
    <w:rsid w:val="00052B18"/>
    <w:rsid w:val="00052B79"/>
    <w:rsid w:val="00052CEF"/>
    <w:rsid w:val="00053109"/>
    <w:rsid w:val="000540C6"/>
    <w:rsid w:val="000541F4"/>
    <w:rsid w:val="00054884"/>
    <w:rsid w:val="00054FB9"/>
    <w:rsid w:val="00055077"/>
    <w:rsid w:val="00055099"/>
    <w:rsid w:val="000550E1"/>
    <w:rsid w:val="0005553F"/>
    <w:rsid w:val="0005580C"/>
    <w:rsid w:val="000558EE"/>
    <w:rsid w:val="00056039"/>
    <w:rsid w:val="000563EF"/>
    <w:rsid w:val="000565B3"/>
    <w:rsid w:val="00056A85"/>
    <w:rsid w:val="000571AC"/>
    <w:rsid w:val="000572CE"/>
    <w:rsid w:val="000574C4"/>
    <w:rsid w:val="00057F28"/>
    <w:rsid w:val="0006048D"/>
    <w:rsid w:val="000615A7"/>
    <w:rsid w:val="00061F59"/>
    <w:rsid w:val="00062AC4"/>
    <w:rsid w:val="000636DC"/>
    <w:rsid w:val="00063BB4"/>
    <w:rsid w:val="00063D46"/>
    <w:rsid w:val="00064BC9"/>
    <w:rsid w:val="00064C1E"/>
    <w:rsid w:val="000656EC"/>
    <w:rsid w:val="00065E68"/>
    <w:rsid w:val="0006603F"/>
    <w:rsid w:val="00066191"/>
    <w:rsid w:val="00066382"/>
    <w:rsid w:val="00066B89"/>
    <w:rsid w:val="00066EED"/>
    <w:rsid w:val="00067D9E"/>
    <w:rsid w:val="000701DB"/>
    <w:rsid w:val="00070CC4"/>
    <w:rsid w:val="000710F9"/>
    <w:rsid w:val="000712D2"/>
    <w:rsid w:val="0007150B"/>
    <w:rsid w:val="00071544"/>
    <w:rsid w:val="00073C04"/>
    <w:rsid w:val="00073EB5"/>
    <w:rsid w:val="00074139"/>
    <w:rsid w:val="000744F9"/>
    <w:rsid w:val="00075637"/>
    <w:rsid w:val="0007579D"/>
    <w:rsid w:val="000757CC"/>
    <w:rsid w:val="00075CAD"/>
    <w:rsid w:val="0007608D"/>
    <w:rsid w:val="0007644F"/>
    <w:rsid w:val="00076813"/>
    <w:rsid w:val="00076888"/>
    <w:rsid w:val="00077222"/>
    <w:rsid w:val="000773FB"/>
    <w:rsid w:val="00077833"/>
    <w:rsid w:val="00077E66"/>
    <w:rsid w:val="0008017F"/>
    <w:rsid w:val="0008069F"/>
    <w:rsid w:val="00080E9D"/>
    <w:rsid w:val="00081AA5"/>
    <w:rsid w:val="0008217E"/>
    <w:rsid w:val="0008263C"/>
    <w:rsid w:val="000827D4"/>
    <w:rsid w:val="0008310A"/>
    <w:rsid w:val="0008322E"/>
    <w:rsid w:val="00083994"/>
    <w:rsid w:val="00083A9D"/>
    <w:rsid w:val="000848B4"/>
    <w:rsid w:val="000849AB"/>
    <w:rsid w:val="00084B46"/>
    <w:rsid w:val="00084BE0"/>
    <w:rsid w:val="00084D61"/>
    <w:rsid w:val="00084D80"/>
    <w:rsid w:val="00084E80"/>
    <w:rsid w:val="0008559C"/>
    <w:rsid w:val="00085EA2"/>
    <w:rsid w:val="000862B6"/>
    <w:rsid w:val="000864D9"/>
    <w:rsid w:val="00086DB3"/>
    <w:rsid w:val="000876D6"/>
    <w:rsid w:val="00087703"/>
    <w:rsid w:val="000903DE"/>
    <w:rsid w:val="000904E8"/>
    <w:rsid w:val="00090C41"/>
    <w:rsid w:val="00090D01"/>
    <w:rsid w:val="000910C7"/>
    <w:rsid w:val="0009146E"/>
    <w:rsid w:val="000914BA"/>
    <w:rsid w:val="00091B2F"/>
    <w:rsid w:val="000928B8"/>
    <w:rsid w:val="000931FA"/>
    <w:rsid w:val="00093494"/>
    <w:rsid w:val="00093792"/>
    <w:rsid w:val="000938F5"/>
    <w:rsid w:val="00094115"/>
    <w:rsid w:val="000941BF"/>
    <w:rsid w:val="00094419"/>
    <w:rsid w:val="000944D6"/>
    <w:rsid w:val="00094572"/>
    <w:rsid w:val="0009468F"/>
    <w:rsid w:val="00094970"/>
    <w:rsid w:val="00094F70"/>
    <w:rsid w:val="00095097"/>
    <w:rsid w:val="000953E0"/>
    <w:rsid w:val="0009554B"/>
    <w:rsid w:val="00095663"/>
    <w:rsid w:val="000956DA"/>
    <w:rsid w:val="00095CD4"/>
    <w:rsid w:val="00096133"/>
    <w:rsid w:val="00096E55"/>
    <w:rsid w:val="00097735"/>
    <w:rsid w:val="0009783E"/>
    <w:rsid w:val="00097AAA"/>
    <w:rsid w:val="00097E62"/>
    <w:rsid w:val="000A050A"/>
    <w:rsid w:val="000A072E"/>
    <w:rsid w:val="000A1C8C"/>
    <w:rsid w:val="000A1DB2"/>
    <w:rsid w:val="000A1E81"/>
    <w:rsid w:val="000A2066"/>
    <w:rsid w:val="000A2B82"/>
    <w:rsid w:val="000A2C94"/>
    <w:rsid w:val="000A2EAC"/>
    <w:rsid w:val="000A356D"/>
    <w:rsid w:val="000A4200"/>
    <w:rsid w:val="000A4276"/>
    <w:rsid w:val="000A47D7"/>
    <w:rsid w:val="000A4A80"/>
    <w:rsid w:val="000A4BB9"/>
    <w:rsid w:val="000A5645"/>
    <w:rsid w:val="000A5F1D"/>
    <w:rsid w:val="000A5FEF"/>
    <w:rsid w:val="000A62FC"/>
    <w:rsid w:val="000A6395"/>
    <w:rsid w:val="000A6522"/>
    <w:rsid w:val="000A6650"/>
    <w:rsid w:val="000A6D58"/>
    <w:rsid w:val="000A7A6F"/>
    <w:rsid w:val="000A7DB1"/>
    <w:rsid w:val="000B0A8F"/>
    <w:rsid w:val="000B0BEF"/>
    <w:rsid w:val="000B1022"/>
    <w:rsid w:val="000B1445"/>
    <w:rsid w:val="000B1541"/>
    <w:rsid w:val="000B159B"/>
    <w:rsid w:val="000B1B65"/>
    <w:rsid w:val="000B1BBC"/>
    <w:rsid w:val="000B214F"/>
    <w:rsid w:val="000B261C"/>
    <w:rsid w:val="000B352F"/>
    <w:rsid w:val="000B385B"/>
    <w:rsid w:val="000B3CFD"/>
    <w:rsid w:val="000B4422"/>
    <w:rsid w:val="000B4694"/>
    <w:rsid w:val="000B4989"/>
    <w:rsid w:val="000B4F88"/>
    <w:rsid w:val="000B5345"/>
    <w:rsid w:val="000B5973"/>
    <w:rsid w:val="000B5A4A"/>
    <w:rsid w:val="000B601B"/>
    <w:rsid w:val="000B6032"/>
    <w:rsid w:val="000C08E2"/>
    <w:rsid w:val="000C0CDF"/>
    <w:rsid w:val="000C165A"/>
    <w:rsid w:val="000C1AFD"/>
    <w:rsid w:val="000C1B9E"/>
    <w:rsid w:val="000C1EE6"/>
    <w:rsid w:val="000C1F6C"/>
    <w:rsid w:val="000C200F"/>
    <w:rsid w:val="000C207E"/>
    <w:rsid w:val="000C22C1"/>
    <w:rsid w:val="000C2831"/>
    <w:rsid w:val="000C2B9E"/>
    <w:rsid w:val="000C2C6E"/>
    <w:rsid w:val="000C3615"/>
    <w:rsid w:val="000C3BB6"/>
    <w:rsid w:val="000C3E10"/>
    <w:rsid w:val="000C424A"/>
    <w:rsid w:val="000C4400"/>
    <w:rsid w:val="000C469D"/>
    <w:rsid w:val="000C48C0"/>
    <w:rsid w:val="000C5632"/>
    <w:rsid w:val="000C5AF6"/>
    <w:rsid w:val="000C661A"/>
    <w:rsid w:val="000C68CE"/>
    <w:rsid w:val="000C705A"/>
    <w:rsid w:val="000C73C4"/>
    <w:rsid w:val="000C76C9"/>
    <w:rsid w:val="000C76F6"/>
    <w:rsid w:val="000C77E9"/>
    <w:rsid w:val="000C7852"/>
    <w:rsid w:val="000D00FD"/>
    <w:rsid w:val="000D0BD2"/>
    <w:rsid w:val="000D22E9"/>
    <w:rsid w:val="000D2974"/>
    <w:rsid w:val="000D2A30"/>
    <w:rsid w:val="000D2C6D"/>
    <w:rsid w:val="000D3433"/>
    <w:rsid w:val="000D419A"/>
    <w:rsid w:val="000D41E9"/>
    <w:rsid w:val="000D424E"/>
    <w:rsid w:val="000D50EF"/>
    <w:rsid w:val="000D5404"/>
    <w:rsid w:val="000D5750"/>
    <w:rsid w:val="000D5C9D"/>
    <w:rsid w:val="000D5FD4"/>
    <w:rsid w:val="000D620D"/>
    <w:rsid w:val="000D6541"/>
    <w:rsid w:val="000D71E5"/>
    <w:rsid w:val="000D735F"/>
    <w:rsid w:val="000D76DB"/>
    <w:rsid w:val="000E027F"/>
    <w:rsid w:val="000E0723"/>
    <w:rsid w:val="000E0898"/>
    <w:rsid w:val="000E0A34"/>
    <w:rsid w:val="000E0CF6"/>
    <w:rsid w:val="000E0EB9"/>
    <w:rsid w:val="000E0FCD"/>
    <w:rsid w:val="000E11FF"/>
    <w:rsid w:val="000E154A"/>
    <w:rsid w:val="000E17C0"/>
    <w:rsid w:val="000E221E"/>
    <w:rsid w:val="000E259E"/>
    <w:rsid w:val="000E2E9A"/>
    <w:rsid w:val="000E32D8"/>
    <w:rsid w:val="000E33CB"/>
    <w:rsid w:val="000E3CC0"/>
    <w:rsid w:val="000E3F40"/>
    <w:rsid w:val="000E3FFD"/>
    <w:rsid w:val="000E4B6A"/>
    <w:rsid w:val="000E4BCF"/>
    <w:rsid w:val="000E4D12"/>
    <w:rsid w:val="000E4DB4"/>
    <w:rsid w:val="000E4E46"/>
    <w:rsid w:val="000E511C"/>
    <w:rsid w:val="000E596C"/>
    <w:rsid w:val="000E6D0D"/>
    <w:rsid w:val="000E6EC1"/>
    <w:rsid w:val="000E72E2"/>
    <w:rsid w:val="000E7A46"/>
    <w:rsid w:val="000E7D31"/>
    <w:rsid w:val="000E7FC4"/>
    <w:rsid w:val="000F0035"/>
    <w:rsid w:val="000F0212"/>
    <w:rsid w:val="000F04E7"/>
    <w:rsid w:val="000F058D"/>
    <w:rsid w:val="000F060A"/>
    <w:rsid w:val="000F1631"/>
    <w:rsid w:val="000F178D"/>
    <w:rsid w:val="000F25A7"/>
    <w:rsid w:val="000F28BE"/>
    <w:rsid w:val="000F29FF"/>
    <w:rsid w:val="000F2BE0"/>
    <w:rsid w:val="000F2F8D"/>
    <w:rsid w:val="000F316C"/>
    <w:rsid w:val="000F3E89"/>
    <w:rsid w:val="000F3F2F"/>
    <w:rsid w:val="000F420B"/>
    <w:rsid w:val="000F4EC0"/>
    <w:rsid w:val="000F539C"/>
    <w:rsid w:val="000F5705"/>
    <w:rsid w:val="000F6106"/>
    <w:rsid w:val="000F6313"/>
    <w:rsid w:val="000F6D6D"/>
    <w:rsid w:val="000F6EA0"/>
    <w:rsid w:val="000F6EC0"/>
    <w:rsid w:val="000F76FF"/>
    <w:rsid w:val="000F7B77"/>
    <w:rsid w:val="001000B9"/>
    <w:rsid w:val="0010018B"/>
    <w:rsid w:val="00100366"/>
    <w:rsid w:val="001008BC"/>
    <w:rsid w:val="00100E64"/>
    <w:rsid w:val="00102C9E"/>
    <w:rsid w:val="00102D24"/>
    <w:rsid w:val="0010361B"/>
    <w:rsid w:val="001038DD"/>
    <w:rsid w:val="00103B1C"/>
    <w:rsid w:val="00104625"/>
    <w:rsid w:val="00104630"/>
    <w:rsid w:val="00107352"/>
    <w:rsid w:val="0010788A"/>
    <w:rsid w:val="00107F9B"/>
    <w:rsid w:val="00110116"/>
    <w:rsid w:val="00111420"/>
    <w:rsid w:val="00111538"/>
    <w:rsid w:val="00111996"/>
    <w:rsid w:val="00111D60"/>
    <w:rsid w:val="00111F17"/>
    <w:rsid w:val="00112766"/>
    <w:rsid w:val="001128E8"/>
    <w:rsid w:val="001129CE"/>
    <w:rsid w:val="0011372A"/>
    <w:rsid w:val="001139B4"/>
    <w:rsid w:val="00113BC0"/>
    <w:rsid w:val="00113D1A"/>
    <w:rsid w:val="0011406E"/>
    <w:rsid w:val="00114097"/>
    <w:rsid w:val="00115129"/>
    <w:rsid w:val="00115547"/>
    <w:rsid w:val="001156CB"/>
    <w:rsid w:val="001161CB"/>
    <w:rsid w:val="00117063"/>
    <w:rsid w:val="001171BF"/>
    <w:rsid w:val="001173B2"/>
    <w:rsid w:val="0011746B"/>
    <w:rsid w:val="00117501"/>
    <w:rsid w:val="00117B69"/>
    <w:rsid w:val="00120072"/>
    <w:rsid w:val="00120D3E"/>
    <w:rsid w:val="00120F2E"/>
    <w:rsid w:val="00120FD9"/>
    <w:rsid w:val="00121495"/>
    <w:rsid w:val="001216D3"/>
    <w:rsid w:val="0012285A"/>
    <w:rsid w:val="001229F0"/>
    <w:rsid w:val="00122C83"/>
    <w:rsid w:val="0012349D"/>
    <w:rsid w:val="0012352A"/>
    <w:rsid w:val="00123927"/>
    <w:rsid w:val="0012498B"/>
    <w:rsid w:val="00124D50"/>
    <w:rsid w:val="00124D92"/>
    <w:rsid w:val="00125006"/>
    <w:rsid w:val="0012607C"/>
    <w:rsid w:val="00126535"/>
    <w:rsid w:val="00126D7D"/>
    <w:rsid w:val="00126DF4"/>
    <w:rsid w:val="00126EB8"/>
    <w:rsid w:val="001274D4"/>
    <w:rsid w:val="0012763C"/>
    <w:rsid w:val="001277B3"/>
    <w:rsid w:val="00127977"/>
    <w:rsid w:val="00127A40"/>
    <w:rsid w:val="00127C80"/>
    <w:rsid w:val="00127F6F"/>
    <w:rsid w:val="00127FB5"/>
    <w:rsid w:val="00130352"/>
    <w:rsid w:val="001305DF"/>
    <w:rsid w:val="00130BB7"/>
    <w:rsid w:val="001313F7"/>
    <w:rsid w:val="00131DB0"/>
    <w:rsid w:val="00132563"/>
    <w:rsid w:val="00132C96"/>
    <w:rsid w:val="00132F4B"/>
    <w:rsid w:val="0013362F"/>
    <w:rsid w:val="00133C52"/>
    <w:rsid w:val="00133F19"/>
    <w:rsid w:val="00134AB6"/>
    <w:rsid w:val="00134E2F"/>
    <w:rsid w:val="00135798"/>
    <w:rsid w:val="00135B88"/>
    <w:rsid w:val="00135DDB"/>
    <w:rsid w:val="00135E7B"/>
    <w:rsid w:val="001363AA"/>
    <w:rsid w:val="00136AE9"/>
    <w:rsid w:val="00136C67"/>
    <w:rsid w:val="00137199"/>
    <w:rsid w:val="0013739A"/>
    <w:rsid w:val="00137CFD"/>
    <w:rsid w:val="00137D73"/>
    <w:rsid w:val="00140A15"/>
    <w:rsid w:val="00140F97"/>
    <w:rsid w:val="00141BAD"/>
    <w:rsid w:val="0014206D"/>
    <w:rsid w:val="00142165"/>
    <w:rsid w:val="001423F3"/>
    <w:rsid w:val="001427D7"/>
    <w:rsid w:val="00142917"/>
    <w:rsid w:val="00142C94"/>
    <w:rsid w:val="001434C9"/>
    <w:rsid w:val="00143DD7"/>
    <w:rsid w:val="001445E1"/>
    <w:rsid w:val="00144C13"/>
    <w:rsid w:val="00144E70"/>
    <w:rsid w:val="00145636"/>
    <w:rsid w:val="00145AFF"/>
    <w:rsid w:val="00145CE9"/>
    <w:rsid w:val="00146660"/>
    <w:rsid w:val="00146CA4"/>
    <w:rsid w:val="001502D5"/>
    <w:rsid w:val="00151316"/>
    <w:rsid w:val="001513D9"/>
    <w:rsid w:val="0015300A"/>
    <w:rsid w:val="00153413"/>
    <w:rsid w:val="001534F3"/>
    <w:rsid w:val="0015372E"/>
    <w:rsid w:val="0015384F"/>
    <w:rsid w:val="00154189"/>
    <w:rsid w:val="0015421F"/>
    <w:rsid w:val="001546DD"/>
    <w:rsid w:val="00154B71"/>
    <w:rsid w:val="00154CF6"/>
    <w:rsid w:val="001552B3"/>
    <w:rsid w:val="001555D7"/>
    <w:rsid w:val="00155752"/>
    <w:rsid w:val="00155B67"/>
    <w:rsid w:val="001567D3"/>
    <w:rsid w:val="001567FF"/>
    <w:rsid w:val="00156EB8"/>
    <w:rsid w:val="00157A20"/>
    <w:rsid w:val="00157D3B"/>
    <w:rsid w:val="0016065A"/>
    <w:rsid w:val="0016079A"/>
    <w:rsid w:val="00160839"/>
    <w:rsid w:val="00160FA8"/>
    <w:rsid w:val="00161164"/>
    <w:rsid w:val="0016177B"/>
    <w:rsid w:val="00161ABE"/>
    <w:rsid w:val="00161B2F"/>
    <w:rsid w:val="001620DF"/>
    <w:rsid w:val="00162434"/>
    <w:rsid w:val="00162AC6"/>
    <w:rsid w:val="00162D6C"/>
    <w:rsid w:val="001632CC"/>
    <w:rsid w:val="00163419"/>
    <w:rsid w:val="00163708"/>
    <w:rsid w:val="00163A70"/>
    <w:rsid w:val="00163C5F"/>
    <w:rsid w:val="00164573"/>
    <w:rsid w:val="0016481A"/>
    <w:rsid w:val="00164BE9"/>
    <w:rsid w:val="001660B3"/>
    <w:rsid w:val="0016693C"/>
    <w:rsid w:val="00166CB8"/>
    <w:rsid w:val="00166ED1"/>
    <w:rsid w:val="001675BC"/>
    <w:rsid w:val="00167C22"/>
    <w:rsid w:val="00170DF0"/>
    <w:rsid w:val="00170F43"/>
    <w:rsid w:val="00171BB1"/>
    <w:rsid w:val="00171FCD"/>
    <w:rsid w:val="0017224F"/>
    <w:rsid w:val="00172432"/>
    <w:rsid w:val="0017249C"/>
    <w:rsid w:val="00173155"/>
    <w:rsid w:val="001731E2"/>
    <w:rsid w:val="001736F1"/>
    <w:rsid w:val="001737BF"/>
    <w:rsid w:val="001739C7"/>
    <w:rsid w:val="00173D26"/>
    <w:rsid w:val="001747A9"/>
    <w:rsid w:val="0017484D"/>
    <w:rsid w:val="001749A3"/>
    <w:rsid w:val="00174A8A"/>
    <w:rsid w:val="00174BB7"/>
    <w:rsid w:val="00175108"/>
    <w:rsid w:val="0017541B"/>
    <w:rsid w:val="001756F1"/>
    <w:rsid w:val="00176A2E"/>
    <w:rsid w:val="00176A62"/>
    <w:rsid w:val="00176CFD"/>
    <w:rsid w:val="00177A39"/>
    <w:rsid w:val="00177F79"/>
    <w:rsid w:val="001807BC"/>
    <w:rsid w:val="0018166A"/>
    <w:rsid w:val="00181704"/>
    <w:rsid w:val="00181BFE"/>
    <w:rsid w:val="00181EBD"/>
    <w:rsid w:val="001823C5"/>
    <w:rsid w:val="00182478"/>
    <w:rsid w:val="00183842"/>
    <w:rsid w:val="00183C0E"/>
    <w:rsid w:val="00183E82"/>
    <w:rsid w:val="0018412A"/>
    <w:rsid w:val="00184C1A"/>
    <w:rsid w:val="00184C7B"/>
    <w:rsid w:val="0018510C"/>
    <w:rsid w:val="00185BA5"/>
    <w:rsid w:val="00185DC2"/>
    <w:rsid w:val="00186650"/>
    <w:rsid w:val="00186BD0"/>
    <w:rsid w:val="00186BD4"/>
    <w:rsid w:val="0018704F"/>
    <w:rsid w:val="001875B2"/>
    <w:rsid w:val="001876C3"/>
    <w:rsid w:val="001876E1"/>
    <w:rsid w:val="001878BB"/>
    <w:rsid w:val="001879F8"/>
    <w:rsid w:val="00187D85"/>
    <w:rsid w:val="00187F89"/>
    <w:rsid w:val="001905A8"/>
    <w:rsid w:val="00190780"/>
    <w:rsid w:val="00190CA0"/>
    <w:rsid w:val="00191329"/>
    <w:rsid w:val="00191AE0"/>
    <w:rsid w:val="00192864"/>
    <w:rsid w:val="0019293B"/>
    <w:rsid w:val="00192BC2"/>
    <w:rsid w:val="00193CF7"/>
    <w:rsid w:val="00193F49"/>
    <w:rsid w:val="0019426B"/>
    <w:rsid w:val="001942AF"/>
    <w:rsid w:val="0019515B"/>
    <w:rsid w:val="001954C6"/>
    <w:rsid w:val="001955E3"/>
    <w:rsid w:val="001957FB"/>
    <w:rsid w:val="00196624"/>
    <w:rsid w:val="00196943"/>
    <w:rsid w:val="00196AC7"/>
    <w:rsid w:val="0019789F"/>
    <w:rsid w:val="00197CC7"/>
    <w:rsid w:val="001A04A6"/>
    <w:rsid w:val="001A051E"/>
    <w:rsid w:val="001A0A18"/>
    <w:rsid w:val="001A0B83"/>
    <w:rsid w:val="001A16CD"/>
    <w:rsid w:val="001A1BFB"/>
    <w:rsid w:val="001A2542"/>
    <w:rsid w:val="001A32C5"/>
    <w:rsid w:val="001A33EC"/>
    <w:rsid w:val="001A34F5"/>
    <w:rsid w:val="001A4052"/>
    <w:rsid w:val="001A4D92"/>
    <w:rsid w:val="001A592C"/>
    <w:rsid w:val="001A5D6F"/>
    <w:rsid w:val="001A683D"/>
    <w:rsid w:val="001A69A9"/>
    <w:rsid w:val="001A6A4B"/>
    <w:rsid w:val="001A6B05"/>
    <w:rsid w:val="001A7015"/>
    <w:rsid w:val="001A7821"/>
    <w:rsid w:val="001A79C0"/>
    <w:rsid w:val="001A7C23"/>
    <w:rsid w:val="001A7FE7"/>
    <w:rsid w:val="001B0520"/>
    <w:rsid w:val="001B1258"/>
    <w:rsid w:val="001B1310"/>
    <w:rsid w:val="001B15F8"/>
    <w:rsid w:val="001B16B1"/>
    <w:rsid w:val="001B19A5"/>
    <w:rsid w:val="001B2F31"/>
    <w:rsid w:val="001B3078"/>
    <w:rsid w:val="001B3186"/>
    <w:rsid w:val="001B3E31"/>
    <w:rsid w:val="001B415F"/>
    <w:rsid w:val="001B4184"/>
    <w:rsid w:val="001B43E3"/>
    <w:rsid w:val="001B4B3C"/>
    <w:rsid w:val="001B5379"/>
    <w:rsid w:val="001B5CE7"/>
    <w:rsid w:val="001B5D06"/>
    <w:rsid w:val="001B5FD0"/>
    <w:rsid w:val="001B60E3"/>
    <w:rsid w:val="001B7202"/>
    <w:rsid w:val="001B7394"/>
    <w:rsid w:val="001B73E2"/>
    <w:rsid w:val="001B75A0"/>
    <w:rsid w:val="001B79A6"/>
    <w:rsid w:val="001B7DEE"/>
    <w:rsid w:val="001B7DFB"/>
    <w:rsid w:val="001C0865"/>
    <w:rsid w:val="001C09BF"/>
    <w:rsid w:val="001C0AED"/>
    <w:rsid w:val="001C149E"/>
    <w:rsid w:val="001C1694"/>
    <w:rsid w:val="001C19DA"/>
    <w:rsid w:val="001C19E3"/>
    <w:rsid w:val="001C1B95"/>
    <w:rsid w:val="001C240F"/>
    <w:rsid w:val="001C2D44"/>
    <w:rsid w:val="001C306D"/>
    <w:rsid w:val="001C3230"/>
    <w:rsid w:val="001C3ABA"/>
    <w:rsid w:val="001C3BA4"/>
    <w:rsid w:val="001C3EC2"/>
    <w:rsid w:val="001C41F1"/>
    <w:rsid w:val="001C4414"/>
    <w:rsid w:val="001C4718"/>
    <w:rsid w:val="001C47A7"/>
    <w:rsid w:val="001C47A8"/>
    <w:rsid w:val="001C4AAA"/>
    <w:rsid w:val="001C4BA9"/>
    <w:rsid w:val="001C510F"/>
    <w:rsid w:val="001C5111"/>
    <w:rsid w:val="001C7607"/>
    <w:rsid w:val="001C7686"/>
    <w:rsid w:val="001C78BF"/>
    <w:rsid w:val="001D03A3"/>
    <w:rsid w:val="001D0A67"/>
    <w:rsid w:val="001D1062"/>
    <w:rsid w:val="001D109B"/>
    <w:rsid w:val="001D1338"/>
    <w:rsid w:val="001D1466"/>
    <w:rsid w:val="001D1854"/>
    <w:rsid w:val="001D231F"/>
    <w:rsid w:val="001D246C"/>
    <w:rsid w:val="001D250D"/>
    <w:rsid w:val="001D264E"/>
    <w:rsid w:val="001D27C8"/>
    <w:rsid w:val="001D313F"/>
    <w:rsid w:val="001D367B"/>
    <w:rsid w:val="001D3979"/>
    <w:rsid w:val="001D4103"/>
    <w:rsid w:val="001D50AB"/>
    <w:rsid w:val="001D520E"/>
    <w:rsid w:val="001D5B80"/>
    <w:rsid w:val="001D5DA6"/>
    <w:rsid w:val="001D6236"/>
    <w:rsid w:val="001D6B0E"/>
    <w:rsid w:val="001D6BA5"/>
    <w:rsid w:val="001D7601"/>
    <w:rsid w:val="001E018C"/>
    <w:rsid w:val="001E0407"/>
    <w:rsid w:val="001E08E7"/>
    <w:rsid w:val="001E0C96"/>
    <w:rsid w:val="001E0ED6"/>
    <w:rsid w:val="001E1C68"/>
    <w:rsid w:val="001E1D50"/>
    <w:rsid w:val="001E22C3"/>
    <w:rsid w:val="001E3C96"/>
    <w:rsid w:val="001E451A"/>
    <w:rsid w:val="001E474E"/>
    <w:rsid w:val="001E4B47"/>
    <w:rsid w:val="001E4FFE"/>
    <w:rsid w:val="001E57B8"/>
    <w:rsid w:val="001E628F"/>
    <w:rsid w:val="001E65F3"/>
    <w:rsid w:val="001E67DC"/>
    <w:rsid w:val="001E6D4A"/>
    <w:rsid w:val="001E6FD0"/>
    <w:rsid w:val="001E71EB"/>
    <w:rsid w:val="001E72B9"/>
    <w:rsid w:val="001E7BC2"/>
    <w:rsid w:val="001E7BE8"/>
    <w:rsid w:val="001F0248"/>
    <w:rsid w:val="001F077F"/>
    <w:rsid w:val="001F10B0"/>
    <w:rsid w:val="001F1444"/>
    <w:rsid w:val="001F1CFD"/>
    <w:rsid w:val="001F2838"/>
    <w:rsid w:val="001F2F10"/>
    <w:rsid w:val="001F2FD6"/>
    <w:rsid w:val="001F31E8"/>
    <w:rsid w:val="001F38BA"/>
    <w:rsid w:val="001F3EB3"/>
    <w:rsid w:val="001F461B"/>
    <w:rsid w:val="001F4ACB"/>
    <w:rsid w:val="001F4C7B"/>
    <w:rsid w:val="001F4EDD"/>
    <w:rsid w:val="001F4F86"/>
    <w:rsid w:val="001F52CB"/>
    <w:rsid w:val="001F5368"/>
    <w:rsid w:val="001F54FC"/>
    <w:rsid w:val="001F56AF"/>
    <w:rsid w:val="001F56E2"/>
    <w:rsid w:val="001F607B"/>
    <w:rsid w:val="001F68DB"/>
    <w:rsid w:val="001F69FB"/>
    <w:rsid w:val="001F6E8A"/>
    <w:rsid w:val="001F7154"/>
    <w:rsid w:val="001F7280"/>
    <w:rsid w:val="001F7368"/>
    <w:rsid w:val="001F7388"/>
    <w:rsid w:val="001F77A2"/>
    <w:rsid w:val="001F7BA7"/>
    <w:rsid w:val="00200455"/>
    <w:rsid w:val="00200887"/>
    <w:rsid w:val="00200C18"/>
    <w:rsid w:val="00201D2B"/>
    <w:rsid w:val="002022B7"/>
    <w:rsid w:val="00202C2C"/>
    <w:rsid w:val="00203050"/>
    <w:rsid w:val="002030A4"/>
    <w:rsid w:val="002033E4"/>
    <w:rsid w:val="002038EA"/>
    <w:rsid w:val="00203AD5"/>
    <w:rsid w:val="002045BD"/>
    <w:rsid w:val="00204698"/>
    <w:rsid w:val="00204C7C"/>
    <w:rsid w:val="002050C2"/>
    <w:rsid w:val="002053C4"/>
    <w:rsid w:val="00205522"/>
    <w:rsid w:val="0020561A"/>
    <w:rsid w:val="00205F3A"/>
    <w:rsid w:val="00205F6F"/>
    <w:rsid w:val="0020635B"/>
    <w:rsid w:val="002064EF"/>
    <w:rsid w:val="00207021"/>
    <w:rsid w:val="0020703E"/>
    <w:rsid w:val="002072DB"/>
    <w:rsid w:val="002076A7"/>
    <w:rsid w:val="00207E2D"/>
    <w:rsid w:val="0021007B"/>
    <w:rsid w:val="00210300"/>
    <w:rsid w:val="002116DD"/>
    <w:rsid w:val="00211B46"/>
    <w:rsid w:val="00211D15"/>
    <w:rsid w:val="00212114"/>
    <w:rsid w:val="0021235D"/>
    <w:rsid w:val="002135AB"/>
    <w:rsid w:val="00213A7A"/>
    <w:rsid w:val="00213BEB"/>
    <w:rsid w:val="00213D80"/>
    <w:rsid w:val="00214132"/>
    <w:rsid w:val="002144BE"/>
    <w:rsid w:val="0021525F"/>
    <w:rsid w:val="0021589A"/>
    <w:rsid w:val="00215DE2"/>
    <w:rsid w:val="002161E8"/>
    <w:rsid w:val="0021643C"/>
    <w:rsid w:val="002167D0"/>
    <w:rsid w:val="00216AB0"/>
    <w:rsid w:val="00216B34"/>
    <w:rsid w:val="002170D8"/>
    <w:rsid w:val="002171C5"/>
    <w:rsid w:val="00217316"/>
    <w:rsid w:val="002173FC"/>
    <w:rsid w:val="002175A1"/>
    <w:rsid w:val="00217890"/>
    <w:rsid w:val="00217D92"/>
    <w:rsid w:val="00217EE3"/>
    <w:rsid w:val="00220A8B"/>
    <w:rsid w:val="00220DBF"/>
    <w:rsid w:val="002210C9"/>
    <w:rsid w:val="002211FF"/>
    <w:rsid w:val="002221E9"/>
    <w:rsid w:val="00223191"/>
    <w:rsid w:val="00223639"/>
    <w:rsid w:val="0022374B"/>
    <w:rsid w:val="002238AD"/>
    <w:rsid w:val="00224166"/>
    <w:rsid w:val="002246FA"/>
    <w:rsid w:val="00224F11"/>
    <w:rsid w:val="00225194"/>
    <w:rsid w:val="00225261"/>
    <w:rsid w:val="002252C1"/>
    <w:rsid w:val="002257DC"/>
    <w:rsid w:val="00226319"/>
    <w:rsid w:val="00226DA1"/>
    <w:rsid w:val="00226F7C"/>
    <w:rsid w:val="00226FAC"/>
    <w:rsid w:val="00227472"/>
    <w:rsid w:val="00230142"/>
    <w:rsid w:val="0023051F"/>
    <w:rsid w:val="00230600"/>
    <w:rsid w:val="0023073E"/>
    <w:rsid w:val="00230994"/>
    <w:rsid w:val="0023121E"/>
    <w:rsid w:val="0023145E"/>
    <w:rsid w:val="002315D0"/>
    <w:rsid w:val="00231BB8"/>
    <w:rsid w:val="00231F65"/>
    <w:rsid w:val="002320B8"/>
    <w:rsid w:val="0023243C"/>
    <w:rsid w:val="0023363B"/>
    <w:rsid w:val="00233BC4"/>
    <w:rsid w:val="0023421B"/>
    <w:rsid w:val="0023441F"/>
    <w:rsid w:val="00234D05"/>
    <w:rsid w:val="00234F6F"/>
    <w:rsid w:val="00235060"/>
    <w:rsid w:val="002350CC"/>
    <w:rsid w:val="002352AB"/>
    <w:rsid w:val="002353B1"/>
    <w:rsid w:val="00236AA0"/>
    <w:rsid w:val="00236B3A"/>
    <w:rsid w:val="002370D1"/>
    <w:rsid w:val="00237714"/>
    <w:rsid w:val="00237A0E"/>
    <w:rsid w:val="00237C6C"/>
    <w:rsid w:val="00237E4F"/>
    <w:rsid w:val="00237FE5"/>
    <w:rsid w:val="002402DF"/>
    <w:rsid w:val="00240447"/>
    <w:rsid w:val="002404AD"/>
    <w:rsid w:val="002415C1"/>
    <w:rsid w:val="002418E5"/>
    <w:rsid w:val="00241E78"/>
    <w:rsid w:val="00241EA0"/>
    <w:rsid w:val="00242279"/>
    <w:rsid w:val="00242C39"/>
    <w:rsid w:val="00242CD5"/>
    <w:rsid w:val="0024310E"/>
    <w:rsid w:val="002437DB"/>
    <w:rsid w:val="00243950"/>
    <w:rsid w:val="00243997"/>
    <w:rsid w:val="00243C30"/>
    <w:rsid w:val="00243C89"/>
    <w:rsid w:val="00244098"/>
    <w:rsid w:val="00244412"/>
    <w:rsid w:val="00244A05"/>
    <w:rsid w:val="0024508C"/>
    <w:rsid w:val="0024516C"/>
    <w:rsid w:val="002451DE"/>
    <w:rsid w:val="0024545C"/>
    <w:rsid w:val="0024584E"/>
    <w:rsid w:val="00245C82"/>
    <w:rsid w:val="00245EAE"/>
    <w:rsid w:val="0024640A"/>
    <w:rsid w:val="0024662A"/>
    <w:rsid w:val="002466A9"/>
    <w:rsid w:val="002467F2"/>
    <w:rsid w:val="00246803"/>
    <w:rsid w:val="0024764F"/>
    <w:rsid w:val="002500E6"/>
    <w:rsid w:val="002507F7"/>
    <w:rsid w:val="00250F88"/>
    <w:rsid w:val="002513B2"/>
    <w:rsid w:val="002515CE"/>
    <w:rsid w:val="002519E6"/>
    <w:rsid w:val="00251AFE"/>
    <w:rsid w:val="00252948"/>
    <w:rsid w:val="00252E3C"/>
    <w:rsid w:val="00252EE9"/>
    <w:rsid w:val="002543E0"/>
    <w:rsid w:val="00254536"/>
    <w:rsid w:val="0025476E"/>
    <w:rsid w:val="00254888"/>
    <w:rsid w:val="00254A53"/>
    <w:rsid w:val="00254D7D"/>
    <w:rsid w:val="00254EE0"/>
    <w:rsid w:val="002550B0"/>
    <w:rsid w:val="002553F9"/>
    <w:rsid w:val="00255D3B"/>
    <w:rsid w:val="00256048"/>
    <w:rsid w:val="00256B5F"/>
    <w:rsid w:val="00256BE0"/>
    <w:rsid w:val="00256EA8"/>
    <w:rsid w:val="00256F75"/>
    <w:rsid w:val="00257076"/>
    <w:rsid w:val="002575E8"/>
    <w:rsid w:val="00257CB7"/>
    <w:rsid w:val="002600D0"/>
    <w:rsid w:val="0026024C"/>
    <w:rsid w:val="002609BB"/>
    <w:rsid w:val="00260BB2"/>
    <w:rsid w:val="0026127F"/>
    <w:rsid w:val="00261486"/>
    <w:rsid w:val="0026171E"/>
    <w:rsid w:val="002618F3"/>
    <w:rsid w:val="00261A3F"/>
    <w:rsid w:val="00261C1E"/>
    <w:rsid w:val="00261D40"/>
    <w:rsid w:val="00261F6D"/>
    <w:rsid w:val="00261F91"/>
    <w:rsid w:val="002623C0"/>
    <w:rsid w:val="002623E8"/>
    <w:rsid w:val="0026249F"/>
    <w:rsid w:val="00262ADC"/>
    <w:rsid w:val="002630D5"/>
    <w:rsid w:val="00263853"/>
    <w:rsid w:val="00263B6C"/>
    <w:rsid w:val="00263C64"/>
    <w:rsid w:val="0026407F"/>
    <w:rsid w:val="0026482A"/>
    <w:rsid w:val="00264CA4"/>
    <w:rsid w:val="002650A5"/>
    <w:rsid w:val="00265380"/>
    <w:rsid w:val="002653E7"/>
    <w:rsid w:val="00266B66"/>
    <w:rsid w:val="00266F32"/>
    <w:rsid w:val="0026709D"/>
    <w:rsid w:val="00267331"/>
    <w:rsid w:val="00267BBC"/>
    <w:rsid w:val="00267E81"/>
    <w:rsid w:val="00270325"/>
    <w:rsid w:val="0027043D"/>
    <w:rsid w:val="00270519"/>
    <w:rsid w:val="00270529"/>
    <w:rsid w:val="00270B70"/>
    <w:rsid w:val="00270C83"/>
    <w:rsid w:val="00270D30"/>
    <w:rsid w:val="00270D5E"/>
    <w:rsid w:val="002712E2"/>
    <w:rsid w:val="002724BA"/>
    <w:rsid w:val="00272753"/>
    <w:rsid w:val="00272C48"/>
    <w:rsid w:val="0027300B"/>
    <w:rsid w:val="00273167"/>
    <w:rsid w:val="002736EC"/>
    <w:rsid w:val="0027440E"/>
    <w:rsid w:val="0027458A"/>
    <w:rsid w:val="00274CEA"/>
    <w:rsid w:val="0027506F"/>
    <w:rsid w:val="0027511D"/>
    <w:rsid w:val="00275EF1"/>
    <w:rsid w:val="00275FF3"/>
    <w:rsid w:val="002770AF"/>
    <w:rsid w:val="0027741D"/>
    <w:rsid w:val="00277FC4"/>
    <w:rsid w:val="00280292"/>
    <w:rsid w:val="002806D8"/>
    <w:rsid w:val="002809A0"/>
    <w:rsid w:val="00280F07"/>
    <w:rsid w:val="0028127F"/>
    <w:rsid w:val="00281CE1"/>
    <w:rsid w:val="00282748"/>
    <w:rsid w:val="002828A4"/>
    <w:rsid w:val="002831DD"/>
    <w:rsid w:val="00283ED2"/>
    <w:rsid w:val="00283FD6"/>
    <w:rsid w:val="0028465F"/>
    <w:rsid w:val="002849AE"/>
    <w:rsid w:val="00284AC9"/>
    <w:rsid w:val="00285379"/>
    <w:rsid w:val="0028583F"/>
    <w:rsid w:val="00286028"/>
    <w:rsid w:val="00286037"/>
    <w:rsid w:val="0028689A"/>
    <w:rsid w:val="00286D5F"/>
    <w:rsid w:val="00286D83"/>
    <w:rsid w:val="002875DB"/>
    <w:rsid w:val="00287BA7"/>
    <w:rsid w:val="00290559"/>
    <w:rsid w:val="002905E4"/>
    <w:rsid w:val="00290802"/>
    <w:rsid w:val="00290EA8"/>
    <w:rsid w:val="002911B4"/>
    <w:rsid w:val="002911CF"/>
    <w:rsid w:val="0029194C"/>
    <w:rsid w:val="00291B40"/>
    <w:rsid w:val="00291C73"/>
    <w:rsid w:val="00291F3E"/>
    <w:rsid w:val="00292040"/>
    <w:rsid w:val="002924FF"/>
    <w:rsid w:val="002928F7"/>
    <w:rsid w:val="00292CA1"/>
    <w:rsid w:val="0029310A"/>
    <w:rsid w:val="0029355D"/>
    <w:rsid w:val="00293754"/>
    <w:rsid w:val="002937F8"/>
    <w:rsid w:val="00293E16"/>
    <w:rsid w:val="00293E3B"/>
    <w:rsid w:val="00293EED"/>
    <w:rsid w:val="0029421E"/>
    <w:rsid w:val="002944E5"/>
    <w:rsid w:val="00294A70"/>
    <w:rsid w:val="00295D72"/>
    <w:rsid w:val="00296047"/>
    <w:rsid w:val="002963E9"/>
    <w:rsid w:val="00296A5F"/>
    <w:rsid w:val="00296D8A"/>
    <w:rsid w:val="00296F26"/>
    <w:rsid w:val="002A003D"/>
    <w:rsid w:val="002A0C7A"/>
    <w:rsid w:val="002A0FE1"/>
    <w:rsid w:val="002A1715"/>
    <w:rsid w:val="002A1FF2"/>
    <w:rsid w:val="002A2C0D"/>
    <w:rsid w:val="002A2FDA"/>
    <w:rsid w:val="002A34DF"/>
    <w:rsid w:val="002A3C8B"/>
    <w:rsid w:val="002A40B3"/>
    <w:rsid w:val="002A4984"/>
    <w:rsid w:val="002A5081"/>
    <w:rsid w:val="002A57CF"/>
    <w:rsid w:val="002A5F11"/>
    <w:rsid w:val="002A601A"/>
    <w:rsid w:val="002A6D3F"/>
    <w:rsid w:val="002A6EDC"/>
    <w:rsid w:val="002A7316"/>
    <w:rsid w:val="002A73BD"/>
    <w:rsid w:val="002A7A88"/>
    <w:rsid w:val="002B01EC"/>
    <w:rsid w:val="002B0EBD"/>
    <w:rsid w:val="002B0FBD"/>
    <w:rsid w:val="002B152C"/>
    <w:rsid w:val="002B2846"/>
    <w:rsid w:val="002B2A8F"/>
    <w:rsid w:val="002B31BA"/>
    <w:rsid w:val="002B3228"/>
    <w:rsid w:val="002B3459"/>
    <w:rsid w:val="002B3DAD"/>
    <w:rsid w:val="002B3ED0"/>
    <w:rsid w:val="002B4008"/>
    <w:rsid w:val="002B46FC"/>
    <w:rsid w:val="002B47CB"/>
    <w:rsid w:val="002B4AE6"/>
    <w:rsid w:val="002B503E"/>
    <w:rsid w:val="002B557E"/>
    <w:rsid w:val="002B63FC"/>
    <w:rsid w:val="002B665B"/>
    <w:rsid w:val="002B6E4E"/>
    <w:rsid w:val="002B7036"/>
    <w:rsid w:val="002B704C"/>
    <w:rsid w:val="002B7424"/>
    <w:rsid w:val="002B7437"/>
    <w:rsid w:val="002B7610"/>
    <w:rsid w:val="002B7B5C"/>
    <w:rsid w:val="002B7B99"/>
    <w:rsid w:val="002B7BF4"/>
    <w:rsid w:val="002B7F8C"/>
    <w:rsid w:val="002C028C"/>
    <w:rsid w:val="002C03B5"/>
    <w:rsid w:val="002C08D8"/>
    <w:rsid w:val="002C1083"/>
    <w:rsid w:val="002C15C8"/>
    <w:rsid w:val="002C1D5F"/>
    <w:rsid w:val="002C2381"/>
    <w:rsid w:val="002C26B9"/>
    <w:rsid w:val="002C30C3"/>
    <w:rsid w:val="002C39CF"/>
    <w:rsid w:val="002C3E4D"/>
    <w:rsid w:val="002C439F"/>
    <w:rsid w:val="002C550D"/>
    <w:rsid w:val="002C59F0"/>
    <w:rsid w:val="002C5A8C"/>
    <w:rsid w:val="002C5AD7"/>
    <w:rsid w:val="002C5BBE"/>
    <w:rsid w:val="002C5DC2"/>
    <w:rsid w:val="002C603B"/>
    <w:rsid w:val="002C645B"/>
    <w:rsid w:val="002C6A8D"/>
    <w:rsid w:val="002C6BBC"/>
    <w:rsid w:val="002C6F17"/>
    <w:rsid w:val="002C7041"/>
    <w:rsid w:val="002C7953"/>
    <w:rsid w:val="002C7C0A"/>
    <w:rsid w:val="002D0414"/>
    <w:rsid w:val="002D0C42"/>
    <w:rsid w:val="002D0CEB"/>
    <w:rsid w:val="002D0E8E"/>
    <w:rsid w:val="002D113E"/>
    <w:rsid w:val="002D116C"/>
    <w:rsid w:val="002D11D4"/>
    <w:rsid w:val="002D135D"/>
    <w:rsid w:val="002D166B"/>
    <w:rsid w:val="002D1FC4"/>
    <w:rsid w:val="002D2563"/>
    <w:rsid w:val="002D29C4"/>
    <w:rsid w:val="002D29CB"/>
    <w:rsid w:val="002D3975"/>
    <w:rsid w:val="002D39CA"/>
    <w:rsid w:val="002D3A5C"/>
    <w:rsid w:val="002D3B3A"/>
    <w:rsid w:val="002D3F5B"/>
    <w:rsid w:val="002D4027"/>
    <w:rsid w:val="002D4595"/>
    <w:rsid w:val="002D4C6C"/>
    <w:rsid w:val="002D5C7A"/>
    <w:rsid w:val="002D5CBD"/>
    <w:rsid w:val="002D5CE1"/>
    <w:rsid w:val="002D5D94"/>
    <w:rsid w:val="002D5E6C"/>
    <w:rsid w:val="002D64A1"/>
    <w:rsid w:val="002D6C16"/>
    <w:rsid w:val="002D6D04"/>
    <w:rsid w:val="002D705E"/>
    <w:rsid w:val="002D70E3"/>
    <w:rsid w:val="002D756F"/>
    <w:rsid w:val="002E0D11"/>
    <w:rsid w:val="002E0DD6"/>
    <w:rsid w:val="002E17CB"/>
    <w:rsid w:val="002E184B"/>
    <w:rsid w:val="002E1DF6"/>
    <w:rsid w:val="002E221C"/>
    <w:rsid w:val="002E2DC2"/>
    <w:rsid w:val="002E2DEA"/>
    <w:rsid w:val="002E2E55"/>
    <w:rsid w:val="002E2F0C"/>
    <w:rsid w:val="002E33BA"/>
    <w:rsid w:val="002E4732"/>
    <w:rsid w:val="002E4865"/>
    <w:rsid w:val="002E4F39"/>
    <w:rsid w:val="002E52B4"/>
    <w:rsid w:val="002E5549"/>
    <w:rsid w:val="002E5756"/>
    <w:rsid w:val="002E5A30"/>
    <w:rsid w:val="002E5DFC"/>
    <w:rsid w:val="002E5F30"/>
    <w:rsid w:val="002E65CD"/>
    <w:rsid w:val="002E6B72"/>
    <w:rsid w:val="002E6D9F"/>
    <w:rsid w:val="002E76BF"/>
    <w:rsid w:val="002E79A1"/>
    <w:rsid w:val="002E7BD5"/>
    <w:rsid w:val="002E7DBD"/>
    <w:rsid w:val="002E7EC3"/>
    <w:rsid w:val="002F0477"/>
    <w:rsid w:val="002F1045"/>
    <w:rsid w:val="002F16C3"/>
    <w:rsid w:val="002F1C43"/>
    <w:rsid w:val="002F243E"/>
    <w:rsid w:val="002F2B03"/>
    <w:rsid w:val="002F2E0F"/>
    <w:rsid w:val="002F2F0F"/>
    <w:rsid w:val="002F3048"/>
    <w:rsid w:val="002F3370"/>
    <w:rsid w:val="002F4305"/>
    <w:rsid w:val="002F43B7"/>
    <w:rsid w:val="002F43FE"/>
    <w:rsid w:val="002F4A10"/>
    <w:rsid w:val="002F4DE1"/>
    <w:rsid w:val="002F4E11"/>
    <w:rsid w:val="002F5534"/>
    <w:rsid w:val="002F588C"/>
    <w:rsid w:val="002F5CF1"/>
    <w:rsid w:val="002F5D10"/>
    <w:rsid w:val="002F5FB1"/>
    <w:rsid w:val="002F6236"/>
    <w:rsid w:val="002F64E5"/>
    <w:rsid w:val="002F76CC"/>
    <w:rsid w:val="00300159"/>
    <w:rsid w:val="00300303"/>
    <w:rsid w:val="0030042C"/>
    <w:rsid w:val="00301189"/>
    <w:rsid w:val="00301E4A"/>
    <w:rsid w:val="0030276A"/>
    <w:rsid w:val="00302E94"/>
    <w:rsid w:val="00303FCA"/>
    <w:rsid w:val="00304063"/>
    <w:rsid w:val="003041B5"/>
    <w:rsid w:val="003044A9"/>
    <w:rsid w:val="0030471D"/>
    <w:rsid w:val="003047E7"/>
    <w:rsid w:val="003049A9"/>
    <w:rsid w:val="00305301"/>
    <w:rsid w:val="003053CB"/>
    <w:rsid w:val="0030565B"/>
    <w:rsid w:val="00305C5E"/>
    <w:rsid w:val="00305D06"/>
    <w:rsid w:val="00306164"/>
    <w:rsid w:val="003062C8"/>
    <w:rsid w:val="00306723"/>
    <w:rsid w:val="0030684C"/>
    <w:rsid w:val="003068B1"/>
    <w:rsid w:val="00306AFE"/>
    <w:rsid w:val="00306CBC"/>
    <w:rsid w:val="00307B96"/>
    <w:rsid w:val="0031002E"/>
    <w:rsid w:val="0031060D"/>
    <w:rsid w:val="00310B67"/>
    <w:rsid w:val="00311CFC"/>
    <w:rsid w:val="00311DFC"/>
    <w:rsid w:val="00311FCA"/>
    <w:rsid w:val="003124CA"/>
    <w:rsid w:val="003125CC"/>
    <w:rsid w:val="00312BCA"/>
    <w:rsid w:val="0031313A"/>
    <w:rsid w:val="00315C44"/>
    <w:rsid w:val="00315D98"/>
    <w:rsid w:val="003160BA"/>
    <w:rsid w:val="003163D0"/>
    <w:rsid w:val="003168B8"/>
    <w:rsid w:val="00316D2B"/>
    <w:rsid w:val="00317127"/>
    <w:rsid w:val="003171A9"/>
    <w:rsid w:val="003173AC"/>
    <w:rsid w:val="003175DD"/>
    <w:rsid w:val="0031764A"/>
    <w:rsid w:val="0031768C"/>
    <w:rsid w:val="00317697"/>
    <w:rsid w:val="0032056F"/>
    <w:rsid w:val="00320E9F"/>
    <w:rsid w:val="00321976"/>
    <w:rsid w:val="00322722"/>
    <w:rsid w:val="00322B5D"/>
    <w:rsid w:val="00322D64"/>
    <w:rsid w:val="00323102"/>
    <w:rsid w:val="00323E09"/>
    <w:rsid w:val="00323F6B"/>
    <w:rsid w:val="00323FBC"/>
    <w:rsid w:val="0032484E"/>
    <w:rsid w:val="00324906"/>
    <w:rsid w:val="00325383"/>
    <w:rsid w:val="00325763"/>
    <w:rsid w:val="00325832"/>
    <w:rsid w:val="00325ABE"/>
    <w:rsid w:val="00325ACD"/>
    <w:rsid w:val="00326395"/>
    <w:rsid w:val="003263D9"/>
    <w:rsid w:val="0032718B"/>
    <w:rsid w:val="00327D2A"/>
    <w:rsid w:val="00327E08"/>
    <w:rsid w:val="0033042C"/>
    <w:rsid w:val="00330BE7"/>
    <w:rsid w:val="00331ABD"/>
    <w:rsid w:val="00331AC1"/>
    <w:rsid w:val="003322CB"/>
    <w:rsid w:val="003326DB"/>
    <w:rsid w:val="003336AD"/>
    <w:rsid w:val="0033386B"/>
    <w:rsid w:val="00333932"/>
    <w:rsid w:val="003344F0"/>
    <w:rsid w:val="003345BE"/>
    <w:rsid w:val="003348C4"/>
    <w:rsid w:val="00334E1E"/>
    <w:rsid w:val="00334E3F"/>
    <w:rsid w:val="00335E60"/>
    <w:rsid w:val="003364D8"/>
    <w:rsid w:val="00340424"/>
    <w:rsid w:val="003417D4"/>
    <w:rsid w:val="00341DEB"/>
    <w:rsid w:val="00341E19"/>
    <w:rsid w:val="00341F8A"/>
    <w:rsid w:val="0034244A"/>
    <w:rsid w:val="00342532"/>
    <w:rsid w:val="003426E5"/>
    <w:rsid w:val="00342C2B"/>
    <w:rsid w:val="00342D8C"/>
    <w:rsid w:val="00343B6A"/>
    <w:rsid w:val="0034417B"/>
    <w:rsid w:val="00344381"/>
    <w:rsid w:val="003445E5"/>
    <w:rsid w:val="0034473E"/>
    <w:rsid w:val="0034566F"/>
    <w:rsid w:val="00345EF7"/>
    <w:rsid w:val="00346C69"/>
    <w:rsid w:val="00346D60"/>
    <w:rsid w:val="003471B7"/>
    <w:rsid w:val="003471D3"/>
    <w:rsid w:val="0034722B"/>
    <w:rsid w:val="00347390"/>
    <w:rsid w:val="00350244"/>
    <w:rsid w:val="003507B0"/>
    <w:rsid w:val="00350C1D"/>
    <w:rsid w:val="003513D4"/>
    <w:rsid w:val="003514E9"/>
    <w:rsid w:val="003518AA"/>
    <w:rsid w:val="00352165"/>
    <w:rsid w:val="003523FA"/>
    <w:rsid w:val="00352454"/>
    <w:rsid w:val="00352938"/>
    <w:rsid w:val="00352B89"/>
    <w:rsid w:val="00353182"/>
    <w:rsid w:val="00353886"/>
    <w:rsid w:val="003539F7"/>
    <w:rsid w:val="00353B75"/>
    <w:rsid w:val="00353D89"/>
    <w:rsid w:val="003545E9"/>
    <w:rsid w:val="00354F24"/>
    <w:rsid w:val="00354F68"/>
    <w:rsid w:val="00355789"/>
    <w:rsid w:val="00355AC3"/>
    <w:rsid w:val="00355AC9"/>
    <w:rsid w:val="003561AC"/>
    <w:rsid w:val="003565D9"/>
    <w:rsid w:val="00357092"/>
    <w:rsid w:val="00357224"/>
    <w:rsid w:val="00357488"/>
    <w:rsid w:val="003576F9"/>
    <w:rsid w:val="0035785D"/>
    <w:rsid w:val="00357994"/>
    <w:rsid w:val="00357B00"/>
    <w:rsid w:val="00357FB4"/>
    <w:rsid w:val="003602E1"/>
    <w:rsid w:val="003607F6"/>
    <w:rsid w:val="00360CE6"/>
    <w:rsid w:val="003617E4"/>
    <w:rsid w:val="00361D0B"/>
    <w:rsid w:val="0036248F"/>
    <w:rsid w:val="003626E7"/>
    <w:rsid w:val="0036300C"/>
    <w:rsid w:val="00364209"/>
    <w:rsid w:val="00364933"/>
    <w:rsid w:val="00364A36"/>
    <w:rsid w:val="00364C94"/>
    <w:rsid w:val="003652E0"/>
    <w:rsid w:val="00365B35"/>
    <w:rsid w:val="00365BBB"/>
    <w:rsid w:val="00365BCD"/>
    <w:rsid w:val="0036672C"/>
    <w:rsid w:val="00366C60"/>
    <w:rsid w:val="003672E8"/>
    <w:rsid w:val="00367D19"/>
    <w:rsid w:val="00367ED7"/>
    <w:rsid w:val="0037026F"/>
    <w:rsid w:val="003703CA"/>
    <w:rsid w:val="00370706"/>
    <w:rsid w:val="00370D14"/>
    <w:rsid w:val="00371240"/>
    <w:rsid w:val="00371475"/>
    <w:rsid w:val="00371671"/>
    <w:rsid w:val="00371B35"/>
    <w:rsid w:val="00371E68"/>
    <w:rsid w:val="00372202"/>
    <w:rsid w:val="00372445"/>
    <w:rsid w:val="00372C5D"/>
    <w:rsid w:val="00374731"/>
    <w:rsid w:val="00374B0F"/>
    <w:rsid w:val="00375493"/>
    <w:rsid w:val="003756F1"/>
    <w:rsid w:val="00375798"/>
    <w:rsid w:val="00375E5D"/>
    <w:rsid w:val="00375F4F"/>
    <w:rsid w:val="003761B6"/>
    <w:rsid w:val="00376E3A"/>
    <w:rsid w:val="00376E59"/>
    <w:rsid w:val="0037779F"/>
    <w:rsid w:val="00377936"/>
    <w:rsid w:val="00377AA4"/>
    <w:rsid w:val="00377D69"/>
    <w:rsid w:val="00377EC1"/>
    <w:rsid w:val="00380340"/>
    <w:rsid w:val="00380BCB"/>
    <w:rsid w:val="0038177C"/>
    <w:rsid w:val="003821C5"/>
    <w:rsid w:val="00382677"/>
    <w:rsid w:val="003829E0"/>
    <w:rsid w:val="00383E25"/>
    <w:rsid w:val="00384149"/>
    <w:rsid w:val="0038429B"/>
    <w:rsid w:val="00384390"/>
    <w:rsid w:val="0038484F"/>
    <w:rsid w:val="00385195"/>
    <w:rsid w:val="0038574B"/>
    <w:rsid w:val="00385760"/>
    <w:rsid w:val="003863A6"/>
    <w:rsid w:val="00386EA8"/>
    <w:rsid w:val="00387D50"/>
    <w:rsid w:val="0039026F"/>
    <w:rsid w:val="003904B6"/>
    <w:rsid w:val="003905D5"/>
    <w:rsid w:val="00390772"/>
    <w:rsid w:val="00390804"/>
    <w:rsid w:val="00391134"/>
    <w:rsid w:val="0039144D"/>
    <w:rsid w:val="003919F9"/>
    <w:rsid w:val="00391E5E"/>
    <w:rsid w:val="003920CF"/>
    <w:rsid w:val="00392132"/>
    <w:rsid w:val="0039288B"/>
    <w:rsid w:val="00393027"/>
    <w:rsid w:val="00393073"/>
    <w:rsid w:val="00393459"/>
    <w:rsid w:val="0039359D"/>
    <w:rsid w:val="003936DF"/>
    <w:rsid w:val="00393AA9"/>
    <w:rsid w:val="00394424"/>
    <w:rsid w:val="00394484"/>
    <w:rsid w:val="00394737"/>
    <w:rsid w:val="00394F58"/>
    <w:rsid w:val="003950A6"/>
    <w:rsid w:val="00395170"/>
    <w:rsid w:val="003954FE"/>
    <w:rsid w:val="00395A48"/>
    <w:rsid w:val="00395B0B"/>
    <w:rsid w:val="00395B69"/>
    <w:rsid w:val="00395BFF"/>
    <w:rsid w:val="00396A95"/>
    <w:rsid w:val="00396CA7"/>
    <w:rsid w:val="003971F4"/>
    <w:rsid w:val="00397216"/>
    <w:rsid w:val="003A0194"/>
    <w:rsid w:val="003A01C6"/>
    <w:rsid w:val="003A024C"/>
    <w:rsid w:val="003A04F7"/>
    <w:rsid w:val="003A0C1B"/>
    <w:rsid w:val="003A0C3C"/>
    <w:rsid w:val="003A1BF1"/>
    <w:rsid w:val="003A2298"/>
    <w:rsid w:val="003A22EA"/>
    <w:rsid w:val="003A254D"/>
    <w:rsid w:val="003A27A1"/>
    <w:rsid w:val="003A312D"/>
    <w:rsid w:val="003A34B0"/>
    <w:rsid w:val="003A3B23"/>
    <w:rsid w:val="003A3E86"/>
    <w:rsid w:val="003A45A4"/>
    <w:rsid w:val="003A4B68"/>
    <w:rsid w:val="003A4BAE"/>
    <w:rsid w:val="003A50BE"/>
    <w:rsid w:val="003A5113"/>
    <w:rsid w:val="003A5636"/>
    <w:rsid w:val="003A591A"/>
    <w:rsid w:val="003A5BF1"/>
    <w:rsid w:val="003A60D6"/>
    <w:rsid w:val="003A6274"/>
    <w:rsid w:val="003A6368"/>
    <w:rsid w:val="003A74A0"/>
    <w:rsid w:val="003A7806"/>
    <w:rsid w:val="003A7F7E"/>
    <w:rsid w:val="003B0D84"/>
    <w:rsid w:val="003B1783"/>
    <w:rsid w:val="003B1D12"/>
    <w:rsid w:val="003B22C8"/>
    <w:rsid w:val="003B23C2"/>
    <w:rsid w:val="003B2EF5"/>
    <w:rsid w:val="003B3CB9"/>
    <w:rsid w:val="003B4392"/>
    <w:rsid w:val="003B43EF"/>
    <w:rsid w:val="003B4AC7"/>
    <w:rsid w:val="003B4CF3"/>
    <w:rsid w:val="003B533D"/>
    <w:rsid w:val="003B567A"/>
    <w:rsid w:val="003B5852"/>
    <w:rsid w:val="003B615D"/>
    <w:rsid w:val="003B63AF"/>
    <w:rsid w:val="003B663F"/>
    <w:rsid w:val="003B6BF7"/>
    <w:rsid w:val="003B6CE1"/>
    <w:rsid w:val="003B7DE3"/>
    <w:rsid w:val="003C01A2"/>
    <w:rsid w:val="003C1177"/>
    <w:rsid w:val="003C11D4"/>
    <w:rsid w:val="003C1829"/>
    <w:rsid w:val="003C19DF"/>
    <w:rsid w:val="003C1AAE"/>
    <w:rsid w:val="003C21E7"/>
    <w:rsid w:val="003C2352"/>
    <w:rsid w:val="003C250A"/>
    <w:rsid w:val="003C2CF2"/>
    <w:rsid w:val="003C3083"/>
    <w:rsid w:val="003C38B5"/>
    <w:rsid w:val="003C39CC"/>
    <w:rsid w:val="003C3A75"/>
    <w:rsid w:val="003C3CE1"/>
    <w:rsid w:val="003C3F74"/>
    <w:rsid w:val="003C42DB"/>
    <w:rsid w:val="003C4B4F"/>
    <w:rsid w:val="003C5D99"/>
    <w:rsid w:val="003C7A55"/>
    <w:rsid w:val="003C7C0B"/>
    <w:rsid w:val="003D0199"/>
    <w:rsid w:val="003D0808"/>
    <w:rsid w:val="003D1087"/>
    <w:rsid w:val="003D1158"/>
    <w:rsid w:val="003D1482"/>
    <w:rsid w:val="003D14CC"/>
    <w:rsid w:val="003D15AD"/>
    <w:rsid w:val="003D19EB"/>
    <w:rsid w:val="003D1CA5"/>
    <w:rsid w:val="003D1D20"/>
    <w:rsid w:val="003D1F8C"/>
    <w:rsid w:val="003D2375"/>
    <w:rsid w:val="003D24C2"/>
    <w:rsid w:val="003D3F32"/>
    <w:rsid w:val="003D45C0"/>
    <w:rsid w:val="003D53C6"/>
    <w:rsid w:val="003D53D6"/>
    <w:rsid w:val="003D5A4F"/>
    <w:rsid w:val="003D5F29"/>
    <w:rsid w:val="003D5FB1"/>
    <w:rsid w:val="003D6B42"/>
    <w:rsid w:val="003D783B"/>
    <w:rsid w:val="003D78F3"/>
    <w:rsid w:val="003D7FC9"/>
    <w:rsid w:val="003E0302"/>
    <w:rsid w:val="003E0A95"/>
    <w:rsid w:val="003E0D33"/>
    <w:rsid w:val="003E17F4"/>
    <w:rsid w:val="003E1B76"/>
    <w:rsid w:val="003E20D6"/>
    <w:rsid w:val="003E281B"/>
    <w:rsid w:val="003E2F59"/>
    <w:rsid w:val="003E3326"/>
    <w:rsid w:val="003E40BC"/>
    <w:rsid w:val="003E43CB"/>
    <w:rsid w:val="003E4FEC"/>
    <w:rsid w:val="003E52D3"/>
    <w:rsid w:val="003E572C"/>
    <w:rsid w:val="003E57B0"/>
    <w:rsid w:val="003E5866"/>
    <w:rsid w:val="003E5E35"/>
    <w:rsid w:val="003E6654"/>
    <w:rsid w:val="003E679E"/>
    <w:rsid w:val="003E6DFA"/>
    <w:rsid w:val="003E746B"/>
    <w:rsid w:val="003E77FD"/>
    <w:rsid w:val="003F0789"/>
    <w:rsid w:val="003F0A9F"/>
    <w:rsid w:val="003F0F07"/>
    <w:rsid w:val="003F1313"/>
    <w:rsid w:val="003F13E9"/>
    <w:rsid w:val="003F15F6"/>
    <w:rsid w:val="003F239B"/>
    <w:rsid w:val="003F28E4"/>
    <w:rsid w:val="003F2928"/>
    <w:rsid w:val="003F32CB"/>
    <w:rsid w:val="003F3A78"/>
    <w:rsid w:val="003F3F3B"/>
    <w:rsid w:val="003F50E9"/>
    <w:rsid w:val="003F5128"/>
    <w:rsid w:val="003F521E"/>
    <w:rsid w:val="003F5CD5"/>
    <w:rsid w:val="003F64A3"/>
    <w:rsid w:val="003F665E"/>
    <w:rsid w:val="003F6722"/>
    <w:rsid w:val="003F6BA5"/>
    <w:rsid w:val="003F6C28"/>
    <w:rsid w:val="003F7506"/>
    <w:rsid w:val="003F76AE"/>
    <w:rsid w:val="003F7C5E"/>
    <w:rsid w:val="003F7FDA"/>
    <w:rsid w:val="00400032"/>
    <w:rsid w:val="004000CE"/>
    <w:rsid w:val="00400148"/>
    <w:rsid w:val="0040023B"/>
    <w:rsid w:val="00400867"/>
    <w:rsid w:val="00400F01"/>
    <w:rsid w:val="00400F84"/>
    <w:rsid w:val="004013E6"/>
    <w:rsid w:val="00401412"/>
    <w:rsid w:val="00401427"/>
    <w:rsid w:val="004016BE"/>
    <w:rsid w:val="00401882"/>
    <w:rsid w:val="0040281A"/>
    <w:rsid w:val="00402E64"/>
    <w:rsid w:val="00402FCA"/>
    <w:rsid w:val="00403041"/>
    <w:rsid w:val="004032F6"/>
    <w:rsid w:val="00403B43"/>
    <w:rsid w:val="00403DA2"/>
    <w:rsid w:val="00403EBE"/>
    <w:rsid w:val="00404309"/>
    <w:rsid w:val="004049D1"/>
    <w:rsid w:val="00404A4C"/>
    <w:rsid w:val="00404EF5"/>
    <w:rsid w:val="004055A5"/>
    <w:rsid w:val="00405BFE"/>
    <w:rsid w:val="0040674E"/>
    <w:rsid w:val="00406FDF"/>
    <w:rsid w:val="004077B4"/>
    <w:rsid w:val="004100C8"/>
    <w:rsid w:val="0041042B"/>
    <w:rsid w:val="0041108C"/>
    <w:rsid w:val="004115FD"/>
    <w:rsid w:val="00411DB5"/>
    <w:rsid w:val="00411DBD"/>
    <w:rsid w:val="0041259E"/>
    <w:rsid w:val="00412936"/>
    <w:rsid w:val="0041295E"/>
    <w:rsid w:val="00412ACE"/>
    <w:rsid w:val="004139F5"/>
    <w:rsid w:val="00413FB2"/>
    <w:rsid w:val="00414027"/>
    <w:rsid w:val="004145D2"/>
    <w:rsid w:val="004146E5"/>
    <w:rsid w:val="00414A8E"/>
    <w:rsid w:val="00414C80"/>
    <w:rsid w:val="00415D43"/>
    <w:rsid w:val="00415FF9"/>
    <w:rsid w:val="004164A7"/>
    <w:rsid w:val="00416B61"/>
    <w:rsid w:val="00416D1E"/>
    <w:rsid w:val="00417011"/>
    <w:rsid w:val="00417B1F"/>
    <w:rsid w:val="00420224"/>
    <w:rsid w:val="00420CFC"/>
    <w:rsid w:val="00422B57"/>
    <w:rsid w:val="004244A0"/>
    <w:rsid w:val="0042471C"/>
    <w:rsid w:val="0042482B"/>
    <w:rsid w:val="00425128"/>
    <w:rsid w:val="0042566E"/>
    <w:rsid w:val="00425EBB"/>
    <w:rsid w:val="0042686E"/>
    <w:rsid w:val="00426CB4"/>
    <w:rsid w:val="00426D00"/>
    <w:rsid w:val="00426DAD"/>
    <w:rsid w:val="0042718C"/>
    <w:rsid w:val="004273BD"/>
    <w:rsid w:val="0042779C"/>
    <w:rsid w:val="004277E1"/>
    <w:rsid w:val="0042792B"/>
    <w:rsid w:val="00427B4A"/>
    <w:rsid w:val="00427EB0"/>
    <w:rsid w:val="00430276"/>
    <w:rsid w:val="0043038E"/>
    <w:rsid w:val="00430D77"/>
    <w:rsid w:val="00430FB5"/>
    <w:rsid w:val="00431249"/>
    <w:rsid w:val="00432414"/>
    <w:rsid w:val="00432B3B"/>
    <w:rsid w:val="00432BC6"/>
    <w:rsid w:val="0043354B"/>
    <w:rsid w:val="00433D70"/>
    <w:rsid w:val="00434221"/>
    <w:rsid w:val="00434BBB"/>
    <w:rsid w:val="00434C19"/>
    <w:rsid w:val="00435DA1"/>
    <w:rsid w:val="00435F20"/>
    <w:rsid w:val="00435FEA"/>
    <w:rsid w:val="00436416"/>
    <w:rsid w:val="004364B2"/>
    <w:rsid w:val="00437068"/>
    <w:rsid w:val="004371B2"/>
    <w:rsid w:val="004372CC"/>
    <w:rsid w:val="00437B98"/>
    <w:rsid w:val="00437BE6"/>
    <w:rsid w:val="00437D74"/>
    <w:rsid w:val="00437FB1"/>
    <w:rsid w:val="00440195"/>
    <w:rsid w:val="00440DFB"/>
    <w:rsid w:val="00440FC5"/>
    <w:rsid w:val="00441646"/>
    <w:rsid w:val="004418D8"/>
    <w:rsid w:val="00441D3B"/>
    <w:rsid w:val="00441EEB"/>
    <w:rsid w:val="004422EB"/>
    <w:rsid w:val="00442F3B"/>
    <w:rsid w:val="004434A3"/>
    <w:rsid w:val="00443504"/>
    <w:rsid w:val="004438A6"/>
    <w:rsid w:val="00443C74"/>
    <w:rsid w:val="00443E1B"/>
    <w:rsid w:val="004445C1"/>
    <w:rsid w:val="00444950"/>
    <w:rsid w:val="004453AA"/>
    <w:rsid w:val="00446137"/>
    <w:rsid w:val="00447ACB"/>
    <w:rsid w:val="00450520"/>
    <w:rsid w:val="00450810"/>
    <w:rsid w:val="004517E7"/>
    <w:rsid w:val="00451E08"/>
    <w:rsid w:val="00452564"/>
    <w:rsid w:val="004527AA"/>
    <w:rsid w:val="00452C00"/>
    <w:rsid w:val="00452EBA"/>
    <w:rsid w:val="00452F47"/>
    <w:rsid w:val="00452FA5"/>
    <w:rsid w:val="00454A8D"/>
    <w:rsid w:val="00454E8B"/>
    <w:rsid w:val="00454F0A"/>
    <w:rsid w:val="00454F62"/>
    <w:rsid w:val="00455410"/>
    <w:rsid w:val="0045550E"/>
    <w:rsid w:val="00456067"/>
    <w:rsid w:val="00456099"/>
    <w:rsid w:val="004560FD"/>
    <w:rsid w:val="0045611C"/>
    <w:rsid w:val="004565E8"/>
    <w:rsid w:val="00456B27"/>
    <w:rsid w:val="00456CB1"/>
    <w:rsid w:val="00456E54"/>
    <w:rsid w:val="004572C0"/>
    <w:rsid w:val="00457CF0"/>
    <w:rsid w:val="00457E7E"/>
    <w:rsid w:val="00460F20"/>
    <w:rsid w:val="004613C7"/>
    <w:rsid w:val="0046173A"/>
    <w:rsid w:val="00461EB2"/>
    <w:rsid w:val="0046231B"/>
    <w:rsid w:val="00462C59"/>
    <w:rsid w:val="00463813"/>
    <w:rsid w:val="00463939"/>
    <w:rsid w:val="00463D64"/>
    <w:rsid w:val="004643EE"/>
    <w:rsid w:val="00464B91"/>
    <w:rsid w:val="00464BEF"/>
    <w:rsid w:val="00464DFD"/>
    <w:rsid w:val="004650F2"/>
    <w:rsid w:val="0046547F"/>
    <w:rsid w:val="00465704"/>
    <w:rsid w:val="0046589B"/>
    <w:rsid w:val="004662B9"/>
    <w:rsid w:val="0046686F"/>
    <w:rsid w:val="00466AD8"/>
    <w:rsid w:val="00466BD7"/>
    <w:rsid w:val="00466BF1"/>
    <w:rsid w:val="00466C7C"/>
    <w:rsid w:val="004670B0"/>
    <w:rsid w:val="004675F8"/>
    <w:rsid w:val="0047044F"/>
    <w:rsid w:val="00470563"/>
    <w:rsid w:val="00470737"/>
    <w:rsid w:val="00471412"/>
    <w:rsid w:val="00471470"/>
    <w:rsid w:val="0047177E"/>
    <w:rsid w:val="00472A55"/>
    <w:rsid w:val="00473240"/>
    <w:rsid w:val="00473782"/>
    <w:rsid w:val="00473A33"/>
    <w:rsid w:val="004742F9"/>
    <w:rsid w:val="00474514"/>
    <w:rsid w:val="0047468D"/>
    <w:rsid w:val="004746E0"/>
    <w:rsid w:val="00475EAA"/>
    <w:rsid w:val="00476215"/>
    <w:rsid w:val="00476321"/>
    <w:rsid w:val="004767E2"/>
    <w:rsid w:val="00477144"/>
    <w:rsid w:val="0047769C"/>
    <w:rsid w:val="00477BD0"/>
    <w:rsid w:val="00477E5D"/>
    <w:rsid w:val="0048031B"/>
    <w:rsid w:val="004805BA"/>
    <w:rsid w:val="004805E6"/>
    <w:rsid w:val="00480B8E"/>
    <w:rsid w:val="00480BE9"/>
    <w:rsid w:val="00480FC1"/>
    <w:rsid w:val="004810B6"/>
    <w:rsid w:val="0048196D"/>
    <w:rsid w:val="0048197B"/>
    <w:rsid w:val="004819D8"/>
    <w:rsid w:val="00481C25"/>
    <w:rsid w:val="00482340"/>
    <w:rsid w:val="004825CA"/>
    <w:rsid w:val="004827DC"/>
    <w:rsid w:val="00482A89"/>
    <w:rsid w:val="00483570"/>
    <w:rsid w:val="00483740"/>
    <w:rsid w:val="00483CBA"/>
    <w:rsid w:val="00484135"/>
    <w:rsid w:val="004841F9"/>
    <w:rsid w:val="004843B4"/>
    <w:rsid w:val="004848B3"/>
    <w:rsid w:val="00484B17"/>
    <w:rsid w:val="00486D85"/>
    <w:rsid w:val="00486DEC"/>
    <w:rsid w:val="0048739F"/>
    <w:rsid w:val="004875F8"/>
    <w:rsid w:val="0048767F"/>
    <w:rsid w:val="00487A1C"/>
    <w:rsid w:val="00487F3C"/>
    <w:rsid w:val="00490C4C"/>
    <w:rsid w:val="00491380"/>
    <w:rsid w:val="00491810"/>
    <w:rsid w:val="00491B30"/>
    <w:rsid w:val="00491E5C"/>
    <w:rsid w:val="004921C8"/>
    <w:rsid w:val="004922AB"/>
    <w:rsid w:val="00492690"/>
    <w:rsid w:val="004930B6"/>
    <w:rsid w:val="00493715"/>
    <w:rsid w:val="00493720"/>
    <w:rsid w:val="0049374F"/>
    <w:rsid w:val="004938D8"/>
    <w:rsid w:val="00493BCB"/>
    <w:rsid w:val="00493C97"/>
    <w:rsid w:val="00493F86"/>
    <w:rsid w:val="0049459F"/>
    <w:rsid w:val="0049480B"/>
    <w:rsid w:val="0049585B"/>
    <w:rsid w:val="00495D94"/>
    <w:rsid w:val="004961A6"/>
    <w:rsid w:val="0049657C"/>
    <w:rsid w:val="00496B68"/>
    <w:rsid w:val="00497F47"/>
    <w:rsid w:val="004A0027"/>
    <w:rsid w:val="004A00E2"/>
    <w:rsid w:val="004A0647"/>
    <w:rsid w:val="004A15BB"/>
    <w:rsid w:val="004A1748"/>
    <w:rsid w:val="004A2675"/>
    <w:rsid w:val="004A303E"/>
    <w:rsid w:val="004A3222"/>
    <w:rsid w:val="004A3301"/>
    <w:rsid w:val="004A3336"/>
    <w:rsid w:val="004A38DD"/>
    <w:rsid w:val="004A45F2"/>
    <w:rsid w:val="004A47AB"/>
    <w:rsid w:val="004A485E"/>
    <w:rsid w:val="004A4A30"/>
    <w:rsid w:val="004A5553"/>
    <w:rsid w:val="004A6350"/>
    <w:rsid w:val="004A6631"/>
    <w:rsid w:val="004A6DAE"/>
    <w:rsid w:val="004A70A4"/>
    <w:rsid w:val="004A730B"/>
    <w:rsid w:val="004A7407"/>
    <w:rsid w:val="004A7439"/>
    <w:rsid w:val="004A75D3"/>
    <w:rsid w:val="004A78AC"/>
    <w:rsid w:val="004A7A1D"/>
    <w:rsid w:val="004B05E2"/>
    <w:rsid w:val="004B08CF"/>
    <w:rsid w:val="004B0B85"/>
    <w:rsid w:val="004B0CA0"/>
    <w:rsid w:val="004B0E09"/>
    <w:rsid w:val="004B0FE8"/>
    <w:rsid w:val="004B245D"/>
    <w:rsid w:val="004B2592"/>
    <w:rsid w:val="004B2B3D"/>
    <w:rsid w:val="004B43AE"/>
    <w:rsid w:val="004B49A5"/>
    <w:rsid w:val="004B4C8B"/>
    <w:rsid w:val="004B4D47"/>
    <w:rsid w:val="004B5089"/>
    <w:rsid w:val="004B5197"/>
    <w:rsid w:val="004B5913"/>
    <w:rsid w:val="004B5971"/>
    <w:rsid w:val="004B5D6D"/>
    <w:rsid w:val="004B655F"/>
    <w:rsid w:val="004B6667"/>
    <w:rsid w:val="004B68F1"/>
    <w:rsid w:val="004B6C36"/>
    <w:rsid w:val="004B6DA2"/>
    <w:rsid w:val="004B7590"/>
    <w:rsid w:val="004B78EE"/>
    <w:rsid w:val="004B7BE3"/>
    <w:rsid w:val="004C03AE"/>
    <w:rsid w:val="004C05C3"/>
    <w:rsid w:val="004C1444"/>
    <w:rsid w:val="004C1678"/>
    <w:rsid w:val="004C1711"/>
    <w:rsid w:val="004C1AFC"/>
    <w:rsid w:val="004C1DC2"/>
    <w:rsid w:val="004C288D"/>
    <w:rsid w:val="004C2D79"/>
    <w:rsid w:val="004C2FBA"/>
    <w:rsid w:val="004C30ED"/>
    <w:rsid w:val="004C333B"/>
    <w:rsid w:val="004C34F9"/>
    <w:rsid w:val="004C38D2"/>
    <w:rsid w:val="004C43AE"/>
    <w:rsid w:val="004C471A"/>
    <w:rsid w:val="004C4A07"/>
    <w:rsid w:val="004C4C7F"/>
    <w:rsid w:val="004C63FA"/>
    <w:rsid w:val="004C6A3E"/>
    <w:rsid w:val="004C711E"/>
    <w:rsid w:val="004C71F8"/>
    <w:rsid w:val="004C7684"/>
    <w:rsid w:val="004C7DCB"/>
    <w:rsid w:val="004C7EE9"/>
    <w:rsid w:val="004C7F3C"/>
    <w:rsid w:val="004D084C"/>
    <w:rsid w:val="004D176B"/>
    <w:rsid w:val="004D195C"/>
    <w:rsid w:val="004D1A43"/>
    <w:rsid w:val="004D202D"/>
    <w:rsid w:val="004D20F5"/>
    <w:rsid w:val="004D270C"/>
    <w:rsid w:val="004D28AC"/>
    <w:rsid w:val="004D28F0"/>
    <w:rsid w:val="004D32D7"/>
    <w:rsid w:val="004D36A8"/>
    <w:rsid w:val="004D3818"/>
    <w:rsid w:val="004D385B"/>
    <w:rsid w:val="004D4456"/>
    <w:rsid w:val="004D46C3"/>
    <w:rsid w:val="004D4DA9"/>
    <w:rsid w:val="004D4ED8"/>
    <w:rsid w:val="004D4FE4"/>
    <w:rsid w:val="004D5215"/>
    <w:rsid w:val="004D5675"/>
    <w:rsid w:val="004D5707"/>
    <w:rsid w:val="004D61CD"/>
    <w:rsid w:val="004D622B"/>
    <w:rsid w:val="004D680E"/>
    <w:rsid w:val="004D6AD3"/>
    <w:rsid w:val="004D6E2F"/>
    <w:rsid w:val="004D6EA6"/>
    <w:rsid w:val="004D7311"/>
    <w:rsid w:val="004D7ED1"/>
    <w:rsid w:val="004E0157"/>
    <w:rsid w:val="004E0443"/>
    <w:rsid w:val="004E0543"/>
    <w:rsid w:val="004E06CA"/>
    <w:rsid w:val="004E0891"/>
    <w:rsid w:val="004E136E"/>
    <w:rsid w:val="004E181A"/>
    <w:rsid w:val="004E19B2"/>
    <w:rsid w:val="004E1B66"/>
    <w:rsid w:val="004E1F68"/>
    <w:rsid w:val="004E2230"/>
    <w:rsid w:val="004E31E7"/>
    <w:rsid w:val="004E3834"/>
    <w:rsid w:val="004E3C62"/>
    <w:rsid w:val="004E3D0B"/>
    <w:rsid w:val="004E5650"/>
    <w:rsid w:val="004E5B3E"/>
    <w:rsid w:val="004E61ED"/>
    <w:rsid w:val="004E6624"/>
    <w:rsid w:val="004E6713"/>
    <w:rsid w:val="004E671F"/>
    <w:rsid w:val="004E6DE2"/>
    <w:rsid w:val="004E71DF"/>
    <w:rsid w:val="004F019E"/>
    <w:rsid w:val="004F0D19"/>
    <w:rsid w:val="004F233E"/>
    <w:rsid w:val="004F2D82"/>
    <w:rsid w:val="004F2E24"/>
    <w:rsid w:val="004F2E42"/>
    <w:rsid w:val="004F2ED9"/>
    <w:rsid w:val="004F333D"/>
    <w:rsid w:val="004F3C9F"/>
    <w:rsid w:val="004F4AC0"/>
    <w:rsid w:val="004F4CF2"/>
    <w:rsid w:val="004F508D"/>
    <w:rsid w:val="004F5A9F"/>
    <w:rsid w:val="004F5F1F"/>
    <w:rsid w:val="004F6478"/>
    <w:rsid w:val="004F7734"/>
    <w:rsid w:val="004F7781"/>
    <w:rsid w:val="004F7992"/>
    <w:rsid w:val="004F7A63"/>
    <w:rsid w:val="004F7DC8"/>
    <w:rsid w:val="00500ABE"/>
    <w:rsid w:val="00500D27"/>
    <w:rsid w:val="00500FC8"/>
    <w:rsid w:val="0050107A"/>
    <w:rsid w:val="00502C80"/>
    <w:rsid w:val="00502ECC"/>
    <w:rsid w:val="005030AB"/>
    <w:rsid w:val="0050330C"/>
    <w:rsid w:val="00503680"/>
    <w:rsid w:val="00503A1E"/>
    <w:rsid w:val="00503AFA"/>
    <w:rsid w:val="00503CFD"/>
    <w:rsid w:val="005041D6"/>
    <w:rsid w:val="005049A6"/>
    <w:rsid w:val="00504D20"/>
    <w:rsid w:val="00505CFF"/>
    <w:rsid w:val="0050612B"/>
    <w:rsid w:val="005062C8"/>
    <w:rsid w:val="0050644C"/>
    <w:rsid w:val="00506D76"/>
    <w:rsid w:val="0050722B"/>
    <w:rsid w:val="00507F65"/>
    <w:rsid w:val="0051083D"/>
    <w:rsid w:val="00510A6B"/>
    <w:rsid w:val="00511467"/>
    <w:rsid w:val="005115A7"/>
    <w:rsid w:val="00511821"/>
    <w:rsid w:val="00511CE0"/>
    <w:rsid w:val="00511F21"/>
    <w:rsid w:val="00512E70"/>
    <w:rsid w:val="0051306E"/>
    <w:rsid w:val="00513585"/>
    <w:rsid w:val="00513BBE"/>
    <w:rsid w:val="00513BE5"/>
    <w:rsid w:val="00513CA1"/>
    <w:rsid w:val="00515707"/>
    <w:rsid w:val="00515714"/>
    <w:rsid w:val="00515E74"/>
    <w:rsid w:val="00516458"/>
    <w:rsid w:val="005165CB"/>
    <w:rsid w:val="005168FA"/>
    <w:rsid w:val="00516F45"/>
    <w:rsid w:val="00517795"/>
    <w:rsid w:val="00517E84"/>
    <w:rsid w:val="00520276"/>
    <w:rsid w:val="00520B8A"/>
    <w:rsid w:val="00521588"/>
    <w:rsid w:val="00521A6D"/>
    <w:rsid w:val="00521FE1"/>
    <w:rsid w:val="005221C6"/>
    <w:rsid w:val="0052273C"/>
    <w:rsid w:val="005227F9"/>
    <w:rsid w:val="00522849"/>
    <w:rsid w:val="00523297"/>
    <w:rsid w:val="00523639"/>
    <w:rsid w:val="005243DE"/>
    <w:rsid w:val="005246C3"/>
    <w:rsid w:val="00524B6C"/>
    <w:rsid w:val="00524CC3"/>
    <w:rsid w:val="00524CF1"/>
    <w:rsid w:val="00524DD2"/>
    <w:rsid w:val="00524FC5"/>
    <w:rsid w:val="0052537C"/>
    <w:rsid w:val="005254B0"/>
    <w:rsid w:val="00525874"/>
    <w:rsid w:val="00525F0B"/>
    <w:rsid w:val="005261D5"/>
    <w:rsid w:val="00526ABD"/>
    <w:rsid w:val="005270E8"/>
    <w:rsid w:val="005275F7"/>
    <w:rsid w:val="0052780D"/>
    <w:rsid w:val="00527904"/>
    <w:rsid w:val="00530435"/>
    <w:rsid w:val="00530BB9"/>
    <w:rsid w:val="00530E19"/>
    <w:rsid w:val="00530E50"/>
    <w:rsid w:val="00531C91"/>
    <w:rsid w:val="00531F31"/>
    <w:rsid w:val="00531FE5"/>
    <w:rsid w:val="0053232C"/>
    <w:rsid w:val="005328EA"/>
    <w:rsid w:val="00533679"/>
    <w:rsid w:val="00533F15"/>
    <w:rsid w:val="00534EAA"/>
    <w:rsid w:val="00535571"/>
    <w:rsid w:val="00535E0A"/>
    <w:rsid w:val="00536073"/>
    <w:rsid w:val="0053610D"/>
    <w:rsid w:val="005364B2"/>
    <w:rsid w:val="00536CEF"/>
    <w:rsid w:val="0053781F"/>
    <w:rsid w:val="005378A8"/>
    <w:rsid w:val="00537B1C"/>
    <w:rsid w:val="00537DC5"/>
    <w:rsid w:val="005402FA"/>
    <w:rsid w:val="00540337"/>
    <w:rsid w:val="00540573"/>
    <w:rsid w:val="005410FB"/>
    <w:rsid w:val="00541259"/>
    <w:rsid w:val="00541603"/>
    <w:rsid w:val="00541B48"/>
    <w:rsid w:val="00541C8C"/>
    <w:rsid w:val="00541D7B"/>
    <w:rsid w:val="00541DA1"/>
    <w:rsid w:val="00541DE3"/>
    <w:rsid w:val="00541E1A"/>
    <w:rsid w:val="005421A4"/>
    <w:rsid w:val="005426BD"/>
    <w:rsid w:val="00542732"/>
    <w:rsid w:val="00542EF6"/>
    <w:rsid w:val="00543709"/>
    <w:rsid w:val="00543B4C"/>
    <w:rsid w:val="005446B9"/>
    <w:rsid w:val="00545966"/>
    <w:rsid w:val="00545FCE"/>
    <w:rsid w:val="005463E0"/>
    <w:rsid w:val="00546D16"/>
    <w:rsid w:val="00546E11"/>
    <w:rsid w:val="00547051"/>
    <w:rsid w:val="00547673"/>
    <w:rsid w:val="005477BB"/>
    <w:rsid w:val="005479E1"/>
    <w:rsid w:val="00547A47"/>
    <w:rsid w:val="00550138"/>
    <w:rsid w:val="00550757"/>
    <w:rsid w:val="0055099F"/>
    <w:rsid w:val="005509A9"/>
    <w:rsid w:val="0055133C"/>
    <w:rsid w:val="005514A8"/>
    <w:rsid w:val="00551F18"/>
    <w:rsid w:val="005521B3"/>
    <w:rsid w:val="00553694"/>
    <w:rsid w:val="00554279"/>
    <w:rsid w:val="005544F8"/>
    <w:rsid w:val="00554997"/>
    <w:rsid w:val="00554A00"/>
    <w:rsid w:val="00555304"/>
    <w:rsid w:val="005554A7"/>
    <w:rsid w:val="005555EB"/>
    <w:rsid w:val="005559DD"/>
    <w:rsid w:val="00555A28"/>
    <w:rsid w:val="00555A3E"/>
    <w:rsid w:val="00555C2D"/>
    <w:rsid w:val="00555DA5"/>
    <w:rsid w:val="00555FB8"/>
    <w:rsid w:val="00556885"/>
    <w:rsid w:val="00556F03"/>
    <w:rsid w:val="0055707A"/>
    <w:rsid w:val="005570F6"/>
    <w:rsid w:val="005572BD"/>
    <w:rsid w:val="005577D4"/>
    <w:rsid w:val="00557B23"/>
    <w:rsid w:val="00557B5B"/>
    <w:rsid w:val="00557CFD"/>
    <w:rsid w:val="00557F88"/>
    <w:rsid w:val="0056043F"/>
    <w:rsid w:val="00560CE7"/>
    <w:rsid w:val="00560F26"/>
    <w:rsid w:val="00561035"/>
    <w:rsid w:val="00561E89"/>
    <w:rsid w:val="0056232B"/>
    <w:rsid w:val="0056253B"/>
    <w:rsid w:val="005627FE"/>
    <w:rsid w:val="00562A5E"/>
    <w:rsid w:val="00564189"/>
    <w:rsid w:val="0056432C"/>
    <w:rsid w:val="005646FF"/>
    <w:rsid w:val="00564728"/>
    <w:rsid w:val="00564A46"/>
    <w:rsid w:val="00564C01"/>
    <w:rsid w:val="00565231"/>
    <w:rsid w:val="00565FFC"/>
    <w:rsid w:val="005662A2"/>
    <w:rsid w:val="005665BE"/>
    <w:rsid w:val="00566BB2"/>
    <w:rsid w:val="0056750B"/>
    <w:rsid w:val="0056761B"/>
    <w:rsid w:val="00567643"/>
    <w:rsid w:val="00567738"/>
    <w:rsid w:val="005679C3"/>
    <w:rsid w:val="00567A35"/>
    <w:rsid w:val="00567E9D"/>
    <w:rsid w:val="00567ECD"/>
    <w:rsid w:val="005705AE"/>
    <w:rsid w:val="00570C85"/>
    <w:rsid w:val="00570D1D"/>
    <w:rsid w:val="005718AB"/>
    <w:rsid w:val="00571EB3"/>
    <w:rsid w:val="00572041"/>
    <w:rsid w:val="005729BD"/>
    <w:rsid w:val="00572BC6"/>
    <w:rsid w:val="00573437"/>
    <w:rsid w:val="005739E5"/>
    <w:rsid w:val="00573B08"/>
    <w:rsid w:val="00573BA1"/>
    <w:rsid w:val="00573BE3"/>
    <w:rsid w:val="00573BF8"/>
    <w:rsid w:val="00573EE8"/>
    <w:rsid w:val="005747E3"/>
    <w:rsid w:val="0057497A"/>
    <w:rsid w:val="00574C0D"/>
    <w:rsid w:val="00575068"/>
    <w:rsid w:val="00575228"/>
    <w:rsid w:val="0057522F"/>
    <w:rsid w:val="005754A7"/>
    <w:rsid w:val="00575590"/>
    <w:rsid w:val="0057620E"/>
    <w:rsid w:val="00576300"/>
    <w:rsid w:val="005767AD"/>
    <w:rsid w:val="00577270"/>
    <w:rsid w:val="00577F60"/>
    <w:rsid w:val="00577F7B"/>
    <w:rsid w:val="00580154"/>
    <w:rsid w:val="00580D1B"/>
    <w:rsid w:val="00581380"/>
    <w:rsid w:val="00581483"/>
    <w:rsid w:val="00581851"/>
    <w:rsid w:val="00581B1E"/>
    <w:rsid w:val="00581B9A"/>
    <w:rsid w:val="00581E89"/>
    <w:rsid w:val="0058236B"/>
    <w:rsid w:val="00582918"/>
    <w:rsid w:val="005833D4"/>
    <w:rsid w:val="0058346F"/>
    <w:rsid w:val="0058376A"/>
    <w:rsid w:val="00583B74"/>
    <w:rsid w:val="00583C39"/>
    <w:rsid w:val="00584329"/>
    <w:rsid w:val="00584919"/>
    <w:rsid w:val="00584A0C"/>
    <w:rsid w:val="00585233"/>
    <w:rsid w:val="00585349"/>
    <w:rsid w:val="00585419"/>
    <w:rsid w:val="00585D39"/>
    <w:rsid w:val="00585D67"/>
    <w:rsid w:val="00585D6D"/>
    <w:rsid w:val="0058680E"/>
    <w:rsid w:val="00586A90"/>
    <w:rsid w:val="005871BF"/>
    <w:rsid w:val="005871CE"/>
    <w:rsid w:val="005874EB"/>
    <w:rsid w:val="005875C4"/>
    <w:rsid w:val="00587F28"/>
    <w:rsid w:val="00590446"/>
    <w:rsid w:val="005905C7"/>
    <w:rsid w:val="005906D8"/>
    <w:rsid w:val="005909CF"/>
    <w:rsid w:val="00591504"/>
    <w:rsid w:val="00591E71"/>
    <w:rsid w:val="00592FE8"/>
    <w:rsid w:val="005932AF"/>
    <w:rsid w:val="00593D52"/>
    <w:rsid w:val="0059446B"/>
    <w:rsid w:val="00594BCA"/>
    <w:rsid w:val="00594CA8"/>
    <w:rsid w:val="005958D1"/>
    <w:rsid w:val="005965B7"/>
    <w:rsid w:val="00596B5E"/>
    <w:rsid w:val="00596BFB"/>
    <w:rsid w:val="00596C09"/>
    <w:rsid w:val="00596C5E"/>
    <w:rsid w:val="00596CF5"/>
    <w:rsid w:val="00596DB8"/>
    <w:rsid w:val="00596F73"/>
    <w:rsid w:val="005973A1"/>
    <w:rsid w:val="0059745C"/>
    <w:rsid w:val="005A0738"/>
    <w:rsid w:val="005A0C69"/>
    <w:rsid w:val="005A0D41"/>
    <w:rsid w:val="005A0F53"/>
    <w:rsid w:val="005A10F4"/>
    <w:rsid w:val="005A144C"/>
    <w:rsid w:val="005A14B1"/>
    <w:rsid w:val="005A1769"/>
    <w:rsid w:val="005A17C4"/>
    <w:rsid w:val="005A1AC5"/>
    <w:rsid w:val="005A2308"/>
    <w:rsid w:val="005A2F05"/>
    <w:rsid w:val="005A3602"/>
    <w:rsid w:val="005A360E"/>
    <w:rsid w:val="005A37F9"/>
    <w:rsid w:val="005A389A"/>
    <w:rsid w:val="005A3D9D"/>
    <w:rsid w:val="005A5412"/>
    <w:rsid w:val="005A5505"/>
    <w:rsid w:val="005A5E75"/>
    <w:rsid w:val="005A5F23"/>
    <w:rsid w:val="005A60DB"/>
    <w:rsid w:val="005A6313"/>
    <w:rsid w:val="005A6776"/>
    <w:rsid w:val="005A6A51"/>
    <w:rsid w:val="005A7384"/>
    <w:rsid w:val="005A742A"/>
    <w:rsid w:val="005A756F"/>
    <w:rsid w:val="005A75F0"/>
    <w:rsid w:val="005A7931"/>
    <w:rsid w:val="005B059E"/>
    <w:rsid w:val="005B059F"/>
    <w:rsid w:val="005B09CD"/>
    <w:rsid w:val="005B0F7E"/>
    <w:rsid w:val="005B1296"/>
    <w:rsid w:val="005B17B7"/>
    <w:rsid w:val="005B1C6E"/>
    <w:rsid w:val="005B1EDB"/>
    <w:rsid w:val="005B2304"/>
    <w:rsid w:val="005B2995"/>
    <w:rsid w:val="005B2CBF"/>
    <w:rsid w:val="005B2FF7"/>
    <w:rsid w:val="005B3148"/>
    <w:rsid w:val="005B36EF"/>
    <w:rsid w:val="005B3D2F"/>
    <w:rsid w:val="005B415E"/>
    <w:rsid w:val="005B5B88"/>
    <w:rsid w:val="005B65EC"/>
    <w:rsid w:val="005B75F8"/>
    <w:rsid w:val="005B76E7"/>
    <w:rsid w:val="005B7C76"/>
    <w:rsid w:val="005B7D0B"/>
    <w:rsid w:val="005C09AB"/>
    <w:rsid w:val="005C0DFE"/>
    <w:rsid w:val="005C13E6"/>
    <w:rsid w:val="005C15FB"/>
    <w:rsid w:val="005C1B36"/>
    <w:rsid w:val="005C1BD7"/>
    <w:rsid w:val="005C1D6E"/>
    <w:rsid w:val="005C1E88"/>
    <w:rsid w:val="005C1F59"/>
    <w:rsid w:val="005C2239"/>
    <w:rsid w:val="005C25AB"/>
    <w:rsid w:val="005C2630"/>
    <w:rsid w:val="005C2B17"/>
    <w:rsid w:val="005C32C0"/>
    <w:rsid w:val="005C3D8E"/>
    <w:rsid w:val="005C455C"/>
    <w:rsid w:val="005C46D7"/>
    <w:rsid w:val="005C49A4"/>
    <w:rsid w:val="005C55EA"/>
    <w:rsid w:val="005C5719"/>
    <w:rsid w:val="005C5790"/>
    <w:rsid w:val="005C59C5"/>
    <w:rsid w:val="005C5A76"/>
    <w:rsid w:val="005C6314"/>
    <w:rsid w:val="005C66DD"/>
    <w:rsid w:val="005C6F7D"/>
    <w:rsid w:val="005C74C1"/>
    <w:rsid w:val="005C78E6"/>
    <w:rsid w:val="005D03AA"/>
    <w:rsid w:val="005D052E"/>
    <w:rsid w:val="005D06F7"/>
    <w:rsid w:val="005D0DC6"/>
    <w:rsid w:val="005D1F8F"/>
    <w:rsid w:val="005D2111"/>
    <w:rsid w:val="005D228C"/>
    <w:rsid w:val="005D26BA"/>
    <w:rsid w:val="005D2A32"/>
    <w:rsid w:val="005D2AC8"/>
    <w:rsid w:val="005D31DA"/>
    <w:rsid w:val="005D3262"/>
    <w:rsid w:val="005D329F"/>
    <w:rsid w:val="005D387E"/>
    <w:rsid w:val="005D4D76"/>
    <w:rsid w:val="005D4E54"/>
    <w:rsid w:val="005D4E6E"/>
    <w:rsid w:val="005D5393"/>
    <w:rsid w:val="005D5549"/>
    <w:rsid w:val="005D5C83"/>
    <w:rsid w:val="005D5F0C"/>
    <w:rsid w:val="005D6032"/>
    <w:rsid w:val="005D6A5E"/>
    <w:rsid w:val="005D72B8"/>
    <w:rsid w:val="005D7328"/>
    <w:rsid w:val="005D7DA3"/>
    <w:rsid w:val="005D7E88"/>
    <w:rsid w:val="005E02C0"/>
    <w:rsid w:val="005E071A"/>
    <w:rsid w:val="005E07B0"/>
    <w:rsid w:val="005E1AD5"/>
    <w:rsid w:val="005E1CE7"/>
    <w:rsid w:val="005E1D90"/>
    <w:rsid w:val="005E1F4B"/>
    <w:rsid w:val="005E2048"/>
    <w:rsid w:val="005E22DF"/>
    <w:rsid w:val="005E2B10"/>
    <w:rsid w:val="005E2D06"/>
    <w:rsid w:val="005E335F"/>
    <w:rsid w:val="005E3788"/>
    <w:rsid w:val="005E3BCC"/>
    <w:rsid w:val="005E444F"/>
    <w:rsid w:val="005E44C6"/>
    <w:rsid w:val="005E4587"/>
    <w:rsid w:val="005E4872"/>
    <w:rsid w:val="005E5221"/>
    <w:rsid w:val="005E546E"/>
    <w:rsid w:val="005E58CC"/>
    <w:rsid w:val="005E5E51"/>
    <w:rsid w:val="005E64E1"/>
    <w:rsid w:val="005F00AA"/>
    <w:rsid w:val="005F095A"/>
    <w:rsid w:val="005F098F"/>
    <w:rsid w:val="005F0F9C"/>
    <w:rsid w:val="005F12A3"/>
    <w:rsid w:val="005F15A9"/>
    <w:rsid w:val="005F1B49"/>
    <w:rsid w:val="005F23A6"/>
    <w:rsid w:val="005F2408"/>
    <w:rsid w:val="005F27A2"/>
    <w:rsid w:val="005F2944"/>
    <w:rsid w:val="005F2946"/>
    <w:rsid w:val="005F294B"/>
    <w:rsid w:val="005F3DD0"/>
    <w:rsid w:val="005F43ED"/>
    <w:rsid w:val="005F4404"/>
    <w:rsid w:val="005F48ED"/>
    <w:rsid w:val="005F491F"/>
    <w:rsid w:val="005F4932"/>
    <w:rsid w:val="005F4A61"/>
    <w:rsid w:val="005F52EE"/>
    <w:rsid w:val="005F5314"/>
    <w:rsid w:val="005F579A"/>
    <w:rsid w:val="005F5BD1"/>
    <w:rsid w:val="005F5E32"/>
    <w:rsid w:val="005F5EBD"/>
    <w:rsid w:val="005F5F0F"/>
    <w:rsid w:val="005F630D"/>
    <w:rsid w:val="005F68A5"/>
    <w:rsid w:val="005F69D2"/>
    <w:rsid w:val="005F7F20"/>
    <w:rsid w:val="00600504"/>
    <w:rsid w:val="00600FCC"/>
    <w:rsid w:val="00601027"/>
    <w:rsid w:val="006017B2"/>
    <w:rsid w:val="00602FC2"/>
    <w:rsid w:val="0060359C"/>
    <w:rsid w:val="00603BFD"/>
    <w:rsid w:val="00604DA1"/>
    <w:rsid w:val="00605B58"/>
    <w:rsid w:val="00605D94"/>
    <w:rsid w:val="00605EC8"/>
    <w:rsid w:val="00606168"/>
    <w:rsid w:val="006062D4"/>
    <w:rsid w:val="006067A6"/>
    <w:rsid w:val="00606C92"/>
    <w:rsid w:val="00606E78"/>
    <w:rsid w:val="00607529"/>
    <w:rsid w:val="00607BE5"/>
    <w:rsid w:val="00607BF1"/>
    <w:rsid w:val="006100FE"/>
    <w:rsid w:val="0061063E"/>
    <w:rsid w:val="006108C2"/>
    <w:rsid w:val="00610AA3"/>
    <w:rsid w:val="0061188C"/>
    <w:rsid w:val="006118D9"/>
    <w:rsid w:val="006119CD"/>
    <w:rsid w:val="00611B18"/>
    <w:rsid w:val="00611CC3"/>
    <w:rsid w:val="006126EC"/>
    <w:rsid w:val="0061295E"/>
    <w:rsid w:val="00612EDF"/>
    <w:rsid w:val="00613158"/>
    <w:rsid w:val="00613169"/>
    <w:rsid w:val="0061321E"/>
    <w:rsid w:val="00613470"/>
    <w:rsid w:val="00613D93"/>
    <w:rsid w:val="00614043"/>
    <w:rsid w:val="00614396"/>
    <w:rsid w:val="00614DFE"/>
    <w:rsid w:val="00614EF5"/>
    <w:rsid w:val="00615119"/>
    <w:rsid w:val="00615FED"/>
    <w:rsid w:val="00616C1F"/>
    <w:rsid w:val="0061737B"/>
    <w:rsid w:val="00617497"/>
    <w:rsid w:val="006177A6"/>
    <w:rsid w:val="00617B0D"/>
    <w:rsid w:val="00617B62"/>
    <w:rsid w:val="00617DEF"/>
    <w:rsid w:val="00617FDF"/>
    <w:rsid w:val="0062019E"/>
    <w:rsid w:val="0062252F"/>
    <w:rsid w:val="00622A5A"/>
    <w:rsid w:val="00622BFD"/>
    <w:rsid w:val="00622C38"/>
    <w:rsid w:val="00622ECA"/>
    <w:rsid w:val="00623D6A"/>
    <w:rsid w:val="00624166"/>
    <w:rsid w:val="00624235"/>
    <w:rsid w:val="00624D7A"/>
    <w:rsid w:val="00624F02"/>
    <w:rsid w:val="00625058"/>
    <w:rsid w:val="006254E4"/>
    <w:rsid w:val="00625B6D"/>
    <w:rsid w:val="00625DD2"/>
    <w:rsid w:val="00626898"/>
    <w:rsid w:val="006268BD"/>
    <w:rsid w:val="00626A60"/>
    <w:rsid w:val="00626A8A"/>
    <w:rsid w:val="00626AF2"/>
    <w:rsid w:val="00626E0C"/>
    <w:rsid w:val="00627476"/>
    <w:rsid w:val="0062756A"/>
    <w:rsid w:val="00627C07"/>
    <w:rsid w:val="00630044"/>
    <w:rsid w:val="0063082F"/>
    <w:rsid w:val="00630D4D"/>
    <w:rsid w:val="00631081"/>
    <w:rsid w:val="00631CA4"/>
    <w:rsid w:val="00631EA6"/>
    <w:rsid w:val="00631FE1"/>
    <w:rsid w:val="00632A74"/>
    <w:rsid w:val="00632B90"/>
    <w:rsid w:val="00632D5B"/>
    <w:rsid w:val="00633159"/>
    <w:rsid w:val="006339A2"/>
    <w:rsid w:val="00633B08"/>
    <w:rsid w:val="006347A4"/>
    <w:rsid w:val="00634995"/>
    <w:rsid w:val="0063517A"/>
    <w:rsid w:val="006361A6"/>
    <w:rsid w:val="00636486"/>
    <w:rsid w:val="00636A09"/>
    <w:rsid w:val="00636F8F"/>
    <w:rsid w:val="0063730E"/>
    <w:rsid w:val="00637610"/>
    <w:rsid w:val="00637BEF"/>
    <w:rsid w:val="00640367"/>
    <w:rsid w:val="00640668"/>
    <w:rsid w:val="006406B9"/>
    <w:rsid w:val="00641701"/>
    <w:rsid w:val="00641A72"/>
    <w:rsid w:val="00641C63"/>
    <w:rsid w:val="00641D7A"/>
    <w:rsid w:val="0064219E"/>
    <w:rsid w:val="00642997"/>
    <w:rsid w:val="006429F5"/>
    <w:rsid w:val="00643296"/>
    <w:rsid w:val="00643582"/>
    <w:rsid w:val="006437FC"/>
    <w:rsid w:val="00643A8E"/>
    <w:rsid w:val="00643FF7"/>
    <w:rsid w:val="00644B7D"/>
    <w:rsid w:val="00644DF4"/>
    <w:rsid w:val="00644E87"/>
    <w:rsid w:val="00644F60"/>
    <w:rsid w:val="00645301"/>
    <w:rsid w:val="00645606"/>
    <w:rsid w:val="00645FC2"/>
    <w:rsid w:val="00646450"/>
    <w:rsid w:val="00646EEB"/>
    <w:rsid w:val="00647215"/>
    <w:rsid w:val="00647499"/>
    <w:rsid w:val="00647634"/>
    <w:rsid w:val="006477BA"/>
    <w:rsid w:val="00650415"/>
    <w:rsid w:val="006508D9"/>
    <w:rsid w:val="0065092A"/>
    <w:rsid w:val="00650A97"/>
    <w:rsid w:val="00651003"/>
    <w:rsid w:val="00651260"/>
    <w:rsid w:val="006513D2"/>
    <w:rsid w:val="006515DB"/>
    <w:rsid w:val="00651A90"/>
    <w:rsid w:val="00652964"/>
    <w:rsid w:val="00652A50"/>
    <w:rsid w:val="006532C6"/>
    <w:rsid w:val="00653326"/>
    <w:rsid w:val="006535CA"/>
    <w:rsid w:val="00653F43"/>
    <w:rsid w:val="006544D0"/>
    <w:rsid w:val="00654C4F"/>
    <w:rsid w:val="00654D42"/>
    <w:rsid w:val="00654F53"/>
    <w:rsid w:val="006552F6"/>
    <w:rsid w:val="0065563E"/>
    <w:rsid w:val="00655F87"/>
    <w:rsid w:val="0065621D"/>
    <w:rsid w:val="006563BD"/>
    <w:rsid w:val="006564C5"/>
    <w:rsid w:val="006565D0"/>
    <w:rsid w:val="00656600"/>
    <w:rsid w:val="00656AD7"/>
    <w:rsid w:val="00656CC6"/>
    <w:rsid w:val="0065712D"/>
    <w:rsid w:val="006577D9"/>
    <w:rsid w:val="00657A26"/>
    <w:rsid w:val="006601EC"/>
    <w:rsid w:val="0066031C"/>
    <w:rsid w:val="00660676"/>
    <w:rsid w:val="00660D1B"/>
    <w:rsid w:val="00661435"/>
    <w:rsid w:val="00661676"/>
    <w:rsid w:val="00661A33"/>
    <w:rsid w:val="00661BC5"/>
    <w:rsid w:val="00662D19"/>
    <w:rsid w:val="00663179"/>
    <w:rsid w:val="006631EB"/>
    <w:rsid w:val="00663AE1"/>
    <w:rsid w:val="00663C14"/>
    <w:rsid w:val="006644CC"/>
    <w:rsid w:val="0066572E"/>
    <w:rsid w:val="006659ED"/>
    <w:rsid w:val="00665B95"/>
    <w:rsid w:val="00665E78"/>
    <w:rsid w:val="00665FD9"/>
    <w:rsid w:val="00666711"/>
    <w:rsid w:val="00666C28"/>
    <w:rsid w:val="00666D0B"/>
    <w:rsid w:val="00666E02"/>
    <w:rsid w:val="00667060"/>
    <w:rsid w:val="00667274"/>
    <w:rsid w:val="0066740E"/>
    <w:rsid w:val="0066751F"/>
    <w:rsid w:val="00670544"/>
    <w:rsid w:val="00670972"/>
    <w:rsid w:val="00670D22"/>
    <w:rsid w:val="00670E3E"/>
    <w:rsid w:val="00671A31"/>
    <w:rsid w:val="00671C5D"/>
    <w:rsid w:val="00671F66"/>
    <w:rsid w:val="0067211B"/>
    <w:rsid w:val="006722FA"/>
    <w:rsid w:val="006723BF"/>
    <w:rsid w:val="006723FD"/>
    <w:rsid w:val="006724EC"/>
    <w:rsid w:val="00672505"/>
    <w:rsid w:val="00672BA9"/>
    <w:rsid w:val="006740CE"/>
    <w:rsid w:val="00674119"/>
    <w:rsid w:val="0067412E"/>
    <w:rsid w:val="00674BC6"/>
    <w:rsid w:val="00674ECF"/>
    <w:rsid w:val="006750A7"/>
    <w:rsid w:val="006758DD"/>
    <w:rsid w:val="00675F78"/>
    <w:rsid w:val="0067627F"/>
    <w:rsid w:val="00676438"/>
    <w:rsid w:val="00680624"/>
    <w:rsid w:val="00680828"/>
    <w:rsid w:val="00680A10"/>
    <w:rsid w:val="00681340"/>
    <w:rsid w:val="00681743"/>
    <w:rsid w:val="00681C2C"/>
    <w:rsid w:val="006822FD"/>
    <w:rsid w:val="006824C7"/>
    <w:rsid w:val="0068300E"/>
    <w:rsid w:val="0068311B"/>
    <w:rsid w:val="0068354E"/>
    <w:rsid w:val="006837C9"/>
    <w:rsid w:val="00683A64"/>
    <w:rsid w:val="00683EAA"/>
    <w:rsid w:val="006840F9"/>
    <w:rsid w:val="00684229"/>
    <w:rsid w:val="006842DF"/>
    <w:rsid w:val="00684922"/>
    <w:rsid w:val="00684CC4"/>
    <w:rsid w:val="0068535E"/>
    <w:rsid w:val="00685753"/>
    <w:rsid w:val="00685BDA"/>
    <w:rsid w:val="006861D0"/>
    <w:rsid w:val="00686366"/>
    <w:rsid w:val="0068674A"/>
    <w:rsid w:val="00686E1D"/>
    <w:rsid w:val="00687A6C"/>
    <w:rsid w:val="00687A6D"/>
    <w:rsid w:val="00690653"/>
    <w:rsid w:val="00690B01"/>
    <w:rsid w:val="006913DC"/>
    <w:rsid w:val="00691BC1"/>
    <w:rsid w:val="00692C4E"/>
    <w:rsid w:val="00692E20"/>
    <w:rsid w:val="006931C7"/>
    <w:rsid w:val="006937D5"/>
    <w:rsid w:val="00693BC8"/>
    <w:rsid w:val="00693E01"/>
    <w:rsid w:val="00694699"/>
    <w:rsid w:val="00694C4F"/>
    <w:rsid w:val="00695990"/>
    <w:rsid w:val="00695DB5"/>
    <w:rsid w:val="006964F9"/>
    <w:rsid w:val="00696EB0"/>
    <w:rsid w:val="0069713B"/>
    <w:rsid w:val="00697844"/>
    <w:rsid w:val="006A00A4"/>
    <w:rsid w:val="006A0CE7"/>
    <w:rsid w:val="006A0E75"/>
    <w:rsid w:val="006A0F93"/>
    <w:rsid w:val="006A1E12"/>
    <w:rsid w:val="006A22AF"/>
    <w:rsid w:val="006A4655"/>
    <w:rsid w:val="006A4AD0"/>
    <w:rsid w:val="006A4B7F"/>
    <w:rsid w:val="006A5211"/>
    <w:rsid w:val="006A5647"/>
    <w:rsid w:val="006A5991"/>
    <w:rsid w:val="006A5B27"/>
    <w:rsid w:val="006A6873"/>
    <w:rsid w:val="006A6B29"/>
    <w:rsid w:val="006A772B"/>
    <w:rsid w:val="006A7758"/>
    <w:rsid w:val="006A7BBE"/>
    <w:rsid w:val="006B075E"/>
    <w:rsid w:val="006B095C"/>
    <w:rsid w:val="006B0C02"/>
    <w:rsid w:val="006B0FBC"/>
    <w:rsid w:val="006B22D5"/>
    <w:rsid w:val="006B23F6"/>
    <w:rsid w:val="006B244B"/>
    <w:rsid w:val="006B255B"/>
    <w:rsid w:val="006B26CB"/>
    <w:rsid w:val="006B283A"/>
    <w:rsid w:val="006B2A33"/>
    <w:rsid w:val="006B2B3C"/>
    <w:rsid w:val="006B2E31"/>
    <w:rsid w:val="006B3235"/>
    <w:rsid w:val="006B32E8"/>
    <w:rsid w:val="006B33F5"/>
    <w:rsid w:val="006B3954"/>
    <w:rsid w:val="006B4073"/>
    <w:rsid w:val="006B48D8"/>
    <w:rsid w:val="006B4FED"/>
    <w:rsid w:val="006B5D10"/>
    <w:rsid w:val="006B66CC"/>
    <w:rsid w:val="006B6B49"/>
    <w:rsid w:val="006B6BD9"/>
    <w:rsid w:val="006B7234"/>
    <w:rsid w:val="006B72C2"/>
    <w:rsid w:val="006B74EB"/>
    <w:rsid w:val="006B75F9"/>
    <w:rsid w:val="006B76CD"/>
    <w:rsid w:val="006B7AD0"/>
    <w:rsid w:val="006B7D2F"/>
    <w:rsid w:val="006C03AE"/>
    <w:rsid w:val="006C0791"/>
    <w:rsid w:val="006C07B3"/>
    <w:rsid w:val="006C09EB"/>
    <w:rsid w:val="006C0F5A"/>
    <w:rsid w:val="006C1633"/>
    <w:rsid w:val="006C18A2"/>
    <w:rsid w:val="006C1ACC"/>
    <w:rsid w:val="006C1D81"/>
    <w:rsid w:val="006C25D5"/>
    <w:rsid w:val="006C2705"/>
    <w:rsid w:val="006C3361"/>
    <w:rsid w:val="006C36EA"/>
    <w:rsid w:val="006C3AD8"/>
    <w:rsid w:val="006C3FFF"/>
    <w:rsid w:val="006C46E8"/>
    <w:rsid w:val="006C4976"/>
    <w:rsid w:val="006C4BD4"/>
    <w:rsid w:val="006C4BE9"/>
    <w:rsid w:val="006C509E"/>
    <w:rsid w:val="006C57FD"/>
    <w:rsid w:val="006C6365"/>
    <w:rsid w:val="006C6BFF"/>
    <w:rsid w:val="006C6C89"/>
    <w:rsid w:val="006C7038"/>
    <w:rsid w:val="006C74BF"/>
    <w:rsid w:val="006C77BE"/>
    <w:rsid w:val="006C77ED"/>
    <w:rsid w:val="006C7D35"/>
    <w:rsid w:val="006C7E73"/>
    <w:rsid w:val="006D027F"/>
    <w:rsid w:val="006D02CD"/>
    <w:rsid w:val="006D1037"/>
    <w:rsid w:val="006D1A04"/>
    <w:rsid w:val="006D238C"/>
    <w:rsid w:val="006D240A"/>
    <w:rsid w:val="006D2764"/>
    <w:rsid w:val="006D3A94"/>
    <w:rsid w:val="006D3FB8"/>
    <w:rsid w:val="006D450E"/>
    <w:rsid w:val="006D469A"/>
    <w:rsid w:val="006D4C2C"/>
    <w:rsid w:val="006D4E4A"/>
    <w:rsid w:val="006D5460"/>
    <w:rsid w:val="006D5FDF"/>
    <w:rsid w:val="006D6259"/>
    <w:rsid w:val="006D660A"/>
    <w:rsid w:val="006D68A5"/>
    <w:rsid w:val="006D69F6"/>
    <w:rsid w:val="006D701D"/>
    <w:rsid w:val="006D7835"/>
    <w:rsid w:val="006D7C6E"/>
    <w:rsid w:val="006D7F0A"/>
    <w:rsid w:val="006E080D"/>
    <w:rsid w:val="006E0A31"/>
    <w:rsid w:val="006E0E44"/>
    <w:rsid w:val="006E11A7"/>
    <w:rsid w:val="006E1AFE"/>
    <w:rsid w:val="006E1ECF"/>
    <w:rsid w:val="006E23B3"/>
    <w:rsid w:val="006E24B6"/>
    <w:rsid w:val="006E28E8"/>
    <w:rsid w:val="006E2B26"/>
    <w:rsid w:val="006E2B8F"/>
    <w:rsid w:val="006E35F6"/>
    <w:rsid w:val="006E41E5"/>
    <w:rsid w:val="006E474D"/>
    <w:rsid w:val="006E475C"/>
    <w:rsid w:val="006E4BC4"/>
    <w:rsid w:val="006E4D9C"/>
    <w:rsid w:val="006E4FFA"/>
    <w:rsid w:val="006E6F7D"/>
    <w:rsid w:val="006E715E"/>
    <w:rsid w:val="006E73EF"/>
    <w:rsid w:val="006E7416"/>
    <w:rsid w:val="006F072D"/>
    <w:rsid w:val="006F0CE8"/>
    <w:rsid w:val="006F18C6"/>
    <w:rsid w:val="006F1F6E"/>
    <w:rsid w:val="006F2A45"/>
    <w:rsid w:val="006F2A79"/>
    <w:rsid w:val="006F2F07"/>
    <w:rsid w:val="006F32EC"/>
    <w:rsid w:val="006F3DC5"/>
    <w:rsid w:val="006F41D6"/>
    <w:rsid w:val="006F4361"/>
    <w:rsid w:val="006F4514"/>
    <w:rsid w:val="006F4ADC"/>
    <w:rsid w:val="006F4DFA"/>
    <w:rsid w:val="006F4F32"/>
    <w:rsid w:val="006F52F3"/>
    <w:rsid w:val="006F55CE"/>
    <w:rsid w:val="006F5F25"/>
    <w:rsid w:val="006F646C"/>
    <w:rsid w:val="006F7706"/>
    <w:rsid w:val="006F7821"/>
    <w:rsid w:val="006F7AC6"/>
    <w:rsid w:val="006F7B34"/>
    <w:rsid w:val="006F7DA2"/>
    <w:rsid w:val="00700582"/>
    <w:rsid w:val="00700827"/>
    <w:rsid w:val="00701017"/>
    <w:rsid w:val="00701AE8"/>
    <w:rsid w:val="00702333"/>
    <w:rsid w:val="00702A05"/>
    <w:rsid w:val="00702B0B"/>
    <w:rsid w:val="00702CE8"/>
    <w:rsid w:val="00702F0D"/>
    <w:rsid w:val="00703207"/>
    <w:rsid w:val="00703260"/>
    <w:rsid w:val="00703B06"/>
    <w:rsid w:val="0070498E"/>
    <w:rsid w:val="00704D96"/>
    <w:rsid w:val="00704FF1"/>
    <w:rsid w:val="0070542D"/>
    <w:rsid w:val="00705844"/>
    <w:rsid w:val="00705F5A"/>
    <w:rsid w:val="007067F4"/>
    <w:rsid w:val="00706B2A"/>
    <w:rsid w:val="007079C9"/>
    <w:rsid w:val="00707C08"/>
    <w:rsid w:val="00707E92"/>
    <w:rsid w:val="00710BDD"/>
    <w:rsid w:val="00710FA6"/>
    <w:rsid w:val="0071125F"/>
    <w:rsid w:val="00711FC3"/>
    <w:rsid w:val="00712477"/>
    <w:rsid w:val="00712B4C"/>
    <w:rsid w:val="00712BB7"/>
    <w:rsid w:val="0071394D"/>
    <w:rsid w:val="00713E32"/>
    <w:rsid w:val="0071416F"/>
    <w:rsid w:val="0071421C"/>
    <w:rsid w:val="00714711"/>
    <w:rsid w:val="00714D4D"/>
    <w:rsid w:val="00715BA9"/>
    <w:rsid w:val="00715C8E"/>
    <w:rsid w:val="00716320"/>
    <w:rsid w:val="00716AB2"/>
    <w:rsid w:val="00717010"/>
    <w:rsid w:val="00720480"/>
    <w:rsid w:val="00720A4C"/>
    <w:rsid w:val="00720EBF"/>
    <w:rsid w:val="0072105F"/>
    <w:rsid w:val="00721681"/>
    <w:rsid w:val="00721DA3"/>
    <w:rsid w:val="00722016"/>
    <w:rsid w:val="007229EF"/>
    <w:rsid w:val="0072381F"/>
    <w:rsid w:val="00725673"/>
    <w:rsid w:val="007266D3"/>
    <w:rsid w:val="00726916"/>
    <w:rsid w:val="00726D34"/>
    <w:rsid w:val="00726E95"/>
    <w:rsid w:val="00727123"/>
    <w:rsid w:val="0072763F"/>
    <w:rsid w:val="007279DE"/>
    <w:rsid w:val="0073000F"/>
    <w:rsid w:val="007308D9"/>
    <w:rsid w:val="00730C2B"/>
    <w:rsid w:val="00730EDC"/>
    <w:rsid w:val="007313A4"/>
    <w:rsid w:val="00731558"/>
    <w:rsid w:val="007318EC"/>
    <w:rsid w:val="00731E49"/>
    <w:rsid w:val="00732029"/>
    <w:rsid w:val="00732743"/>
    <w:rsid w:val="00732983"/>
    <w:rsid w:val="007334BC"/>
    <w:rsid w:val="007339CA"/>
    <w:rsid w:val="00733C0B"/>
    <w:rsid w:val="00734A53"/>
    <w:rsid w:val="00734CE8"/>
    <w:rsid w:val="00735272"/>
    <w:rsid w:val="00735919"/>
    <w:rsid w:val="00736444"/>
    <w:rsid w:val="00736E22"/>
    <w:rsid w:val="007376F8"/>
    <w:rsid w:val="00737763"/>
    <w:rsid w:val="00737C90"/>
    <w:rsid w:val="00737D3B"/>
    <w:rsid w:val="0074038E"/>
    <w:rsid w:val="007407AC"/>
    <w:rsid w:val="00740D65"/>
    <w:rsid w:val="00741809"/>
    <w:rsid w:val="007418CA"/>
    <w:rsid w:val="007418E8"/>
    <w:rsid w:val="00742054"/>
    <w:rsid w:val="00742073"/>
    <w:rsid w:val="0074247B"/>
    <w:rsid w:val="00742BE2"/>
    <w:rsid w:val="00742F9B"/>
    <w:rsid w:val="007432B5"/>
    <w:rsid w:val="00743477"/>
    <w:rsid w:val="00743700"/>
    <w:rsid w:val="00743711"/>
    <w:rsid w:val="00744F2A"/>
    <w:rsid w:val="0074529F"/>
    <w:rsid w:val="0074532D"/>
    <w:rsid w:val="00745497"/>
    <w:rsid w:val="007457B0"/>
    <w:rsid w:val="00746438"/>
    <w:rsid w:val="00746E97"/>
    <w:rsid w:val="00746FAE"/>
    <w:rsid w:val="007471B4"/>
    <w:rsid w:val="0074728A"/>
    <w:rsid w:val="0074738A"/>
    <w:rsid w:val="00747825"/>
    <w:rsid w:val="0075034E"/>
    <w:rsid w:val="00750DB4"/>
    <w:rsid w:val="00750F18"/>
    <w:rsid w:val="00751A57"/>
    <w:rsid w:val="0075210C"/>
    <w:rsid w:val="00752D5E"/>
    <w:rsid w:val="00753092"/>
    <w:rsid w:val="00753718"/>
    <w:rsid w:val="00753CCF"/>
    <w:rsid w:val="007540A2"/>
    <w:rsid w:val="0075433A"/>
    <w:rsid w:val="00754413"/>
    <w:rsid w:val="0075451D"/>
    <w:rsid w:val="00754636"/>
    <w:rsid w:val="0075464B"/>
    <w:rsid w:val="00754C61"/>
    <w:rsid w:val="00754EFC"/>
    <w:rsid w:val="007556DB"/>
    <w:rsid w:val="00755C9C"/>
    <w:rsid w:val="0075627D"/>
    <w:rsid w:val="0075643E"/>
    <w:rsid w:val="00756687"/>
    <w:rsid w:val="007569C9"/>
    <w:rsid w:val="00757008"/>
    <w:rsid w:val="0075718E"/>
    <w:rsid w:val="007601AA"/>
    <w:rsid w:val="00760254"/>
    <w:rsid w:val="007604BB"/>
    <w:rsid w:val="00760B16"/>
    <w:rsid w:val="00760DBB"/>
    <w:rsid w:val="007610E3"/>
    <w:rsid w:val="0076121A"/>
    <w:rsid w:val="007617EC"/>
    <w:rsid w:val="00761829"/>
    <w:rsid w:val="007618D7"/>
    <w:rsid w:val="00761B60"/>
    <w:rsid w:val="0076219E"/>
    <w:rsid w:val="00763113"/>
    <w:rsid w:val="0076317C"/>
    <w:rsid w:val="0076346A"/>
    <w:rsid w:val="00763983"/>
    <w:rsid w:val="00763A62"/>
    <w:rsid w:val="007643D7"/>
    <w:rsid w:val="00764700"/>
    <w:rsid w:val="007647EE"/>
    <w:rsid w:val="00764C33"/>
    <w:rsid w:val="00764D0C"/>
    <w:rsid w:val="00764ECD"/>
    <w:rsid w:val="0076544C"/>
    <w:rsid w:val="007655C1"/>
    <w:rsid w:val="007657A2"/>
    <w:rsid w:val="007658A1"/>
    <w:rsid w:val="00765A54"/>
    <w:rsid w:val="00765CAB"/>
    <w:rsid w:val="007663D6"/>
    <w:rsid w:val="007664AC"/>
    <w:rsid w:val="0076656C"/>
    <w:rsid w:val="00766898"/>
    <w:rsid w:val="00766C64"/>
    <w:rsid w:val="00766FD8"/>
    <w:rsid w:val="0076753B"/>
    <w:rsid w:val="0077032A"/>
    <w:rsid w:val="00770D3F"/>
    <w:rsid w:val="00770FAD"/>
    <w:rsid w:val="007723BE"/>
    <w:rsid w:val="007723EF"/>
    <w:rsid w:val="00772909"/>
    <w:rsid w:val="00772C7E"/>
    <w:rsid w:val="007731BB"/>
    <w:rsid w:val="00773644"/>
    <w:rsid w:val="00773E3B"/>
    <w:rsid w:val="00773F3F"/>
    <w:rsid w:val="007741F8"/>
    <w:rsid w:val="00774F37"/>
    <w:rsid w:val="00774FDC"/>
    <w:rsid w:val="00775908"/>
    <w:rsid w:val="00775924"/>
    <w:rsid w:val="00775D47"/>
    <w:rsid w:val="007769C8"/>
    <w:rsid w:val="00776C1D"/>
    <w:rsid w:val="0077768F"/>
    <w:rsid w:val="00780040"/>
    <w:rsid w:val="007801F8"/>
    <w:rsid w:val="007803AA"/>
    <w:rsid w:val="00781048"/>
    <w:rsid w:val="007817E5"/>
    <w:rsid w:val="00781EC8"/>
    <w:rsid w:val="007820E7"/>
    <w:rsid w:val="007821F1"/>
    <w:rsid w:val="00782378"/>
    <w:rsid w:val="007828B7"/>
    <w:rsid w:val="0078291F"/>
    <w:rsid w:val="007829FE"/>
    <w:rsid w:val="00782B58"/>
    <w:rsid w:val="00782BCA"/>
    <w:rsid w:val="00782BF3"/>
    <w:rsid w:val="00782C13"/>
    <w:rsid w:val="00783726"/>
    <w:rsid w:val="00783884"/>
    <w:rsid w:val="00784525"/>
    <w:rsid w:val="00784882"/>
    <w:rsid w:val="00784997"/>
    <w:rsid w:val="00784A99"/>
    <w:rsid w:val="007851BB"/>
    <w:rsid w:val="00785232"/>
    <w:rsid w:val="00785BD4"/>
    <w:rsid w:val="00785EFE"/>
    <w:rsid w:val="00785F7A"/>
    <w:rsid w:val="00786063"/>
    <w:rsid w:val="00787CE9"/>
    <w:rsid w:val="00790237"/>
    <w:rsid w:val="00790492"/>
    <w:rsid w:val="007912C6"/>
    <w:rsid w:val="00791445"/>
    <w:rsid w:val="007914A6"/>
    <w:rsid w:val="007917A5"/>
    <w:rsid w:val="00791D61"/>
    <w:rsid w:val="00791F95"/>
    <w:rsid w:val="00792C4F"/>
    <w:rsid w:val="00792F2D"/>
    <w:rsid w:val="00793166"/>
    <w:rsid w:val="007943A7"/>
    <w:rsid w:val="007951ED"/>
    <w:rsid w:val="0079525B"/>
    <w:rsid w:val="00795C56"/>
    <w:rsid w:val="00795EF1"/>
    <w:rsid w:val="0079616F"/>
    <w:rsid w:val="00796E12"/>
    <w:rsid w:val="00797008"/>
    <w:rsid w:val="0079701E"/>
    <w:rsid w:val="0079709F"/>
    <w:rsid w:val="0079764A"/>
    <w:rsid w:val="007A00D1"/>
    <w:rsid w:val="007A00D7"/>
    <w:rsid w:val="007A037C"/>
    <w:rsid w:val="007A0398"/>
    <w:rsid w:val="007A03C0"/>
    <w:rsid w:val="007A0495"/>
    <w:rsid w:val="007A0567"/>
    <w:rsid w:val="007A0D04"/>
    <w:rsid w:val="007A0DB5"/>
    <w:rsid w:val="007A1130"/>
    <w:rsid w:val="007A1188"/>
    <w:rsid w:val="007A12EF"/>
    <w:rsid w:val="007A15B6"/>
    <w:rsid w:val="007A190C"/>
    <w:rsid w:val="007A1938"/>
    <w:rsid w:val="007A1D7C"/>
    <w:rsid w:val="007A20C6"/>
    <w:rsid w:val="007A217B"/>
    <w:rsid w:val="007A21EB"/>
    <w:rsid w:val="007A24D7"/>
    <w:rsid w:val="007A2BC5"/>
    <w:rsid w:val="007A2F1A"/>
    <w:rsid w:val="007A3314"/>
    <w:rsid w:val="007A3794"/>
    <w:rsid w:val="007A3E35"/>
    <w:rsid w:val="007A3F11"/>
    <w:rsid w:val="007A417C"/>
    <w:rsid w:val="007A42F4"/>
    <w:rsid w:val="007A48C7"/>
    <w:rsid w:val="007A57FD"/>
    <w:rsid w:val="007A5961"/>
    <w:rsid w:val="007A5BCB"/>
    <w:rsid w:val="007A6FF9"/>
    <w:rsid w:val="007A7B13"/>
    <w:rsid w:val="007A7C27"/>
    <w:rsid w:val="007A7C8E"/>
    <w:rsid w:val="007A7EB7"/>
    <w:rsid w:val="007B0048"/>
    <w:rsid w:val="007B07FF"/>
    <w:rsid w:val="007B0B02"/>
    <w:rsid w:val="007B1A93"/>
    <w:rsid w:val="007B1FD0"/>
    <w:rsid w:val="007B2125"/>
    <w:rsid w:val="007B295D"/>
    <w:rsid w:val="007B2EDB"/>
    <w:rsid w:val="007B3691"/>
    <w:rsid w:val="007B36A3"/>
    <w:rsid w:val="007B36CF"/>
    <w:rsid w:val="007B3AB5"/>
    <w:rsid w:val="007B4170"/>
    <w:rsid w:val="007B4333"/>
    <w:rsid w:val="007B4958"/>
    <w:rsid w:val="007B4B0F"/>
    <w:rsid w:val="007B4BC0"/>
    <w:rsid w:val="007B53D1"/>
    <w:rsid w:val="007B5B2B"/>
    <w:rsid w:val="007B6511"/>
    <w:rsid w:val="007B66C7"/>
    <w:rsid w:val="007B7575"/>
    <w:rsid w:val="007B7BA1"/>
    <w:rsid w:val="007C08F7"/>
    <w:rsid w:val="007C093E"/>
    <w:rsid w:val="007C14E3"/>
    <w:rsid w:val="007C18B3"/>
    <w:rsid w:val="007C1916"/>
    <w:rsid w:val="007C1E0E"/>
    <w:rsid w:val="007C2094"/>
    <w:rsid w:val="007C2513"/>
    <w:rsid w:val="007C3251"/>
    <w:rsid w:val="007C3647"/>
    <w:rsid w:val="007C36C9"/>
    <w:rsid w:val="007C3863"/>
    <w:rsid w:val="007C3AC7"/>
    <w:rsid w:val="007C3C64"/>
    <w:rsid w:val="007C4328"/>
    <w:rsid w:val="007C4CDC"/>
    <w:rsid w:val="007C4E57"/>
    <w:rsid w:val="007C4FCA"/>
    <w:rsid w:val="007C5027"/>
    <w:rsid w:val="007C51E9"/>
    <w:rsid w:val="007C5858"/>
    <w:rsid w:val="007C610E"/>
    <w:rsid w:val="007C6358"/>
    <w:rsid w:val="007C64BD"/>
    <w:rsid w:val="007C6557"/>
    <w:rsid w:val="007C6660"/>
    <w:rsid w:val="007C6B2E"/>
    <w:rsid w:val="007C7716"/>
    <w:rsid w:val="007C7AA9"/>
    <w:rsid w:val="007C7AF6"/>
    <w:rsid w:val="007C7E16"/>
    <w:rsid w:val="007D004E"/>
    <w:rsid w:val="007D0424"/>
    <w:rsid w:val="007D0436"/>
    <w:rsid w:val="007D06E7"/>
    <w:rsid w:val="007D070D"/>
    <w:rsid w:val="007D0A2B"/>
    <w:rsid w:val="007D0D3A"/>
    <w:rsid w:val="007D0E30"/>
    <w:rsid w:val="007D0F1E"/>
    <w:rsid w:val="007D0F31"/>
    <w:rsid w:val="007D1D72"/>
    <w:rsid w:val="007D22C1"/>
    <w:rsid w:val="007D259E"/>
    <w:rsid w:val="007D2762"/>
    <w:rsid w:val="007D2ABB"/>
    <w:rsid w:val="007D2F1D"/>
    <w:rsid w:val="007D3C5C"/>
    <w:rsid w:val="007D41A2"/>
    <w:rsid w:val="007D46F4"/>
    <w:rsid w:val="007D5008"/>
    <w:rsid w:val="007D51D8"/>
    <w:rsid w:val="007D55D4"/>
    <w:rsid w:val="007D6136"/>
    <w:rsid w:val="007D6401"/>
    <w:rsid w:val="007D6C1A"/>
    <w:rsid w:val="007D728B"/>
    <w:rsid w:val="007D7834"/>
    <w:rsid w:val="007D7C84"/>
    <w:rsid w:val="007D7EBB"/>
    <w:rsid w:val="007D7FA1"/>
    <w:rsid w:val="007E01E4"/>
    <w:rsid w:val="007E07DD"/>
    <w:rsid w:val="007E0FF1"/>
    <w:rsid w:val="007E17D4"/>
    <w:rsid w:val="007E180B"/>
    <w:rsid w:val="007E1900"/>
    <w:rsid w:val="007E1C41"/>
    <w:rsid w:val="007E1CE3"/>
    <w:rsid w:val="007E20ED"/>
    <w:rsid w:val="007E342A"/>
    <w:rsid w:val="007E3A15"/>
    <w:rsid w:val="007E4DE0"/>
    <w:rsid w:val="007E56BF"/>
    <w:rsid w:val="007E5FE1"/>
    <w:rsid w:val="007E62C6"/>
    <w:rsid w:val="007E6F44"/>
    <w:rsid w:val="007E7A12"/>
    <w:rsid w:val="007E7CCF"/>
    <w:rsid w:val="007F01C7"/>
    <w:rsid w:val="007F0247"/>
    <w:rsid w:val="007F04A9"/>
    <w:rsid w:val="007F0BEA"/>
    <w:rsid w:val="007F1255"/>
    <w:rsid w:val="007F1A14"/>
    <w:rsid w:val="007F1A6D"/>
    <w:rsid w:val="007F1C94"/>
    <w:rsid w:val="007F2FDB"/>
    <w:rsid w:val="007F44C7"/>
    <w:rsid w:val="007F450D"/>
    <w:rsid w:val="007F4578"/>
    <w:rsid w:val="007F48EE"/>
    <w:rsid w:val="007F5756"/>
    <w:rsid w:val="007F5C92"/>
    <w:rsid w:val="007F6451"/>
    <w:rsid w:val="007F6620"/>
    <w:rsid w:val="007F7107"/>
    <w:rsid w:val="007F7D60"/>
    <w:rsid w:val="007F7EB1"/>
    <w:rsid w:val="00800353"/>
    <w:rsid w:val="00800AB1"/>
    <w:rsid w:val="00800D4C"/>
    <w:rsid w:val="008016E1"/>
    <w:rsid w:val="0080183B"/>
    <w:rsid w:val="00801B0F"/>
    <w:rsid w:val="00801D70"/>
    <w:rsid w:val="0080240A"/>
    <w:rsid w:val="00803135"/>
    <w:rsid w:val="00803837"/>
    <w:rsid w:val="00804D10"/>
    <w:rsid w:val="00805105"/>
    <w:rsid w:val="00805398"/>
    <w:rsid w:val="00805894"/>
    <w:rsid w:val="00805A60"/>
    <w:rsid w:val="00805F77"/>
    <w:rsid w:val="008066E7"/>
    <w:rsid w:val="00806725"/>
    <w:rsid w:val="00806916"/>
    <w:rsid w:val="00807FFA"/>
    <w:rsid w:val="008102C1"/>
    <w:rsid w:val="0081030F"/>
    <w:rsid w:val="008115CC"/>
    <w:rsid w:val="008115FA"/>
    <w:rsid w:val="0081184F"/>
    <w:rsid w:val="00811A89"/>
    <w:rsid w:val="00811B65"/>
    <w:rsid w:val="008124BF"/>
    <w:rsid w:val="008128A7"/>
    <w:rsid w:val="00812F1A"/>
    <w:rsid w:val="00812F4A"/>
    <w:rsid w:val="0081383C"/>
    <w:rsid w:val="00814158"/>
    <w:rsid w:val="008149A1"/>
    <w:rsid w:val="00814FB1"/>
    <w:rsid w:val="00815CBE"/>
    <w:rsid w:val="00815D0D"/>
    <w:rsid w:val="00817843"/>
    <w:rsid w:val="00817C21"/>
    <w:rsid w:val="00817E7C"/>
    <w:rsid w:val="00817F2D"/>
    <w:rsid w:val="00820383"/>
    <w:rsid w:val="00820540"/>
    <w:rsid w:val="0082087D"/>
    <w:rsid w:val="00820B89"/>
    <w:rsid w:val="0082106F"/>
    <w:rsid w:val="008212F9"/>
    <w:rsid w:val="00821C6E"/>
    <w:rsid w:val="008227E0"/>
    <w:rsid w:val="00822890"/>
    <w:rsid w:val="00823093"/>
    <w:rsid w:val="00823691"/>
    <w:rsid w:val="00823AA9"/>
    <w:rsid w:val="0082464A"/>
    <w:rsid w:val="00825F10"/>
    <w:rsid w:val="0082608B"/>
    <w:rsid w:val="008265D1"/>
    <w:rsid w:val="0082730A"/>
    <w:rsid w:val="0082739C"/>
    <w:rsid w:val="00827438"/>
    <w:rsid w:val="0082755E"/>
    <w:rsid w:val="00827588"/>
    <w:rsid w:val="00827EF5"/>
    <w:rsid w:val="00830D5B"/>
    <w:rsid w:val="008310D7"/>
    <w:rsid w:val="00831340"/>
    <w:rsid w:val="0083144F"/>
    <w:rsid w:val="00831824"/>
    <w:rsid w:val="00831967"/>
    <w:rsid w:val="00831A0B"/>
    <w:rsid w:val="00832FD4"/>
    <w:rsid w:val="0083322F"/>
    <w:rsid w:val="0083424A"/>
    <w:rsid w:val="00834D4F"/>
    <w:rsid w:val="00834EA4"/>
    <w:rsid w:val="00835014"/>
    <w:rsid w:val="0083531C"/>
    <w:rsid w:val="00835771"/>
    <w:rsid w:val="00835907"/>
    <w:rsid w:val="00835996"/>
    <w:rsid w:val="008359AE"/>
    <w:rsid w:val="00835E14"/>
    <w:rsid w:val="00836440"/>
    <w:rsid w:val="0083679A"/>
    <w:rsid w:val="00836B7B"/>
    <w:rsid w:val="00837581"/>
    <w:rsid w:val="0083788C"/>
    <w:rsid w:val="00840264"/>
    <w:rsid w:val="00840285"/>
    <w:rsid w:val="00841378"/>
    <w:rsid w:val="00841CB3"/>
    <w:rsid w:val="008420FA"/>
    <w:rsid w:val="008423FA"/>
    <w:rsid w:val="00842933"/>
    <w:rsid w:val="00842AE8"/>
    <w:rsid w:val="00842DB4"/>
    <w:rsid w:val="008433D2"/>
    <w:rsid w:val="008433FE"/>
    <w:rsid w:val="0084398D"/>
    <w:rsid w:val="00844341"/>
    <w:rsid w:val="00845215"/>
    <w:rsid w:val="008453C5"/>
    <w:rsid w:val="008453E7"/>
    <w:rsid w:val="00845D04"/>
    <w:rsid w:val="00845F3D"/>
    <w:rsid w:val="00846135"/>
    <w:rsid w:val="00846AA2"/>
    <w:rsid w:val="00846B59"/>
    <w:rsid w:val="00846C92"/>
    <w:rsid w:val="0084739D"/>
    <w:rsid w:val="00847688"/>
    <w:rsid w:val="00850177"/>
    <w:rsid w:val="0085040D"/>
    <w:rsid w:val="00850BAA"/>
    <w:rsid w:val="0085123C"/>
    <w:rsid w:val="00851394"/>
    <w:rsid w:val="0085179A"/>
    <w:rsid w:val="0085189F"/>
    <w:rsid w:val="008519B7"/>
    <w:rsid w:val="0085267E"/>
    <w:rsid w:val="00853143"/>
    <w:rsid w:val="0085347B"/>
    <w:rsid w:val="00853A3D"/>
    <w:rsid w:val="00853D7E"/>
    <w:rsid w:val="00853F6E"/>
    <w:rsid w:val="008545F4"/>
    <w:rsid w:val="008554E1"/>
    <w:rsid w:val="00855562"/>
    <w:rsid w:val="008555F2"/>
    <w:rsid w:val="00855AE7"/>
    <w:rsid w:val="00856019"/>
    <w:rsid w:val="008562A4"/>
    <w:rsid w:val="00856445"/>
    <w:rsid w:val="008564ED"/>
    <w:rsid w:val="008571F3"/>
    <w:rsid w:val="00857324"/>
    <w:rsid w:val="00857D4E"/>
    <w:rsid w:val="00857D65"/>
    <w:rsid w:val="00857DA0"/>
    <w:rsid w:val="00857F60"/>
    <w:rsid w:val="00857FDA"/>
    <w:rsid w:val="0086082C"/>
    <w:rsid w:val="00860D77"/>
    <w:rsid w:val="00860F68"/>
    <w:rsid w:val="00860FD2"/>
    <w:rsid w:val="00861AAE"/>
    <w:rsid w:val="00861D42"/>
    <w:rsid w:val="008620BA"/>
    <w:rsid w:val="008625B7"/>
    <w:rsid w:val="008627E7"/>
    <w:rsid w:val="00862A9F"/>
    <w:rsid w:val="00862D77"/>
    <w:rsid w:val="00863576"/>
    <w:rsid w:val="008639AA"/>
    <w:rsid w:val="00864ADC"/>
    <w:rsid w:val="008652A8"/>
    <w:rsid w:val="0086542A"/>
    <w:rsid w:val="00865BC2"/>
    <w:rsid w:val="00866B13"/>
    <w:rsid w:val="00866BA7"/>
    <w:rsid w:val="00866DFC"/>
    <w:rsid w:val="00866EE4"/>
    <w:rsid w:val="008673A4"/>
    <w:rsid w:val="00867C01"/>
    <w:rsid w:val="00867EFB"/>
    <w:rsid w:val="008703FE"/>
    <w:rsid w:val="008706DD"/>
    <w:rsid w:val="00871403"/>
    <w:rsid w:val="00871CF3"/>
    <w:rsid w:val="00872210"/>
    <w:rsid w:val="008738BF"/>
    <w:rsid w:val="008742DD"/>
    <w:rsid w:val="008742ED"/>
    <w:rsid w:val="008747D1"/>
    <w:rsid w:val="00875216"/>
    <w:rsid w:val="008755C2"/>
    <w:rsid w:val="00875B4A"/>
    <w:rsid w:val="00876282"/>
    <w:rsid w:val="008762B8"/>
    <w:rsid w:val="008769CF"/>
    <w:rsid w:val="00876C90"/>
    <w:rsid w:val="00876F57"/>
    <w:rsid w:val="00877A23"/>
    <w:rsid w:val="00877AF9"/>
    <w:rsid w:val="00877BD4"/>
    <w:rsid w:val="00877E81"/>
    <w:rsid w:val="00880153"/>
    <w:rsid w:val="00880231"/>
    <w:rsid w:val="00880D55"/>
    <w:rsid w:val="00880F97"/>
    <w:rsid w:val="0088133A"/>
    <w:rsid w:val="00881484"/>
    <w:rsid w:val="008816FF"/>
    <w:rsid w:val="0088177E"/>
    <w:rsid w:val="00881C35"/>
    <w:rsid w:val="008826B0"/>
    <w:rsid w:val="0088272D"/>
    <w:rsid w:val="00882925"/>
    <w:rsid w:val="008845AF"/>
    <w:rsid w:val="00886472"/>
    <w:rsid w:val="00886645"/>
    <w:rsid w:val="00886F20"/>
    <w:rsid w:val="008871D4"/>
    <w:rsid w:val="008875AD"/>
    <w:rsid w:val="00887744"/>
    <w:rsid w:val="0089005E"/>
    <w:rsid w:val="0089019D"/>
    <w:rsid w:val="00890209"/>
    <w:rsid w:val="008908CA"/>
    <w:rsid w:val="00890DBC"/>
    <w:rsid w:val="00891741"/>
    <w:rsid w:val="00891941"/>
    <w:rsid w:val="008919C4"/>
    <w:rsid w:val="00891A25"/>
    <w:rsid w:val="00891E0C"/>
    <w:rsid w:val="00891E16"/>
    <w:rsid w:val="00892429"/>
    <w:rsid w:val="0089285E"/>
    <w:rsid w:val="00892A4A"/>
    <w:rsid w:val="00893891"/>
    <w:rsid w:val="00893EF4"/>
    <w:rsid w:val="008942A0"/>
    <w:rsid w:val="0089436C"/>
    <w:rsid w:val="00895305"/>
    <w:rsid w:val="0089565A"/>
    <w:rsid w:val="00895683"/>
    <w:rsid w:val="0089632E"/>
    <w:rsid w:val="00896664"/>
    <w:rsid w:val="00896687"/>
    <w:rsid w:val="00896B5A"/>
    <w:rsid w:val="0089735A"/>
    <w:rsid w:val="00897C7A"/>
    <w:rsid w:val="00897DEB"/>
    <w:rsid w:val="008A0E37"/>
    <w:rsid w:val="008A15B1"/>
    <w:rsid w:val="008A1A34"/>
    <w:rsid w:val="008A1BF4"/>
    <w:rsid w:val="008A2180"/>
    <w:rsid w:val="008A31F7"/>
    <w:rsid w:val="008A3A21"/>
    <w:rsid w:val="008A3BAD"/>
    <w:rsid w:val="008A3D36"/>
    <w:rsid w:val="008A3D70"/>
    <w:rsid w:val="008A4046"/>
    <w:rsid w:val="008A45FF"/>
    <w:rsid w:val="008A4A1C"/>
    <w:rsid w:val="008A55B7"/>
    <w:rsid w:val="008A57F3"/>
    <w:rsid w:val="008A5C6C"/>
    <w:rsid w:val="008A6355"/>
    <w:rsid w:val="008A65CA"/>
    <w:rsid w:val="008A6C79"/>
    <w:rsid w:val="008A6EDA"/>
    <w:rsid w:val="008A6FCA"/>
    <w:rsid w:val="008A71BA"/>
    <w:rsid w:val="008A7633"/>
    <w:rsid w:val="008A77F8"/>
    <w:rsid w:val="008A7860"/>
    <w:rsid w:val="008B0096"/>
    <w:rsid w:val="008B0652"/>
    <w:rsid w:val="008B078F"/>
    <w:rsid w:val="008B0F29"/>
    <w:rsid w:val="008B1B73"/>
    <w:rsid w:val="008B251E"/>
    <w:rsid w:val="008B2690"/>
    <w:rsid w:val="008B3229"/>
    <w:rsid w:val="008B37D4"/>
    <w:rsid w:val="008B3CDF"/>
    <w:rsid w:val="008B3DA6"/>
    <w:rsid w:val="008B3ED8"/>
    <w:rsid w:val="008B455F"/>
    <w:rsid w:val="008B4A13"/>
    <w:rsid w:val="008B558C"/>
    <w:rsid w:val="008B7046"/>
    <w:rsid w:val="008B7238"/>
    <w:rsid w:val="008B78E7"/>
    <w:rsid w:val="008C0393"/>
    <w:rsid w:val="008C080C"/>
    <w:rsid w:val="008C1686"/>
    <w:rsid w:val="008C1734"/>
    <w:rsid w:val="008C1BD3"/>
    <w:rsid w:val="008C25DF"/>
    <w:rsid w:val="008C2761"/>
    <w:rsid w:val="008C27B5"/>
    <w:rsid w:val="008C2822"/>
    <w:rsid w:val="008C2ED1"/>
    <w:rsid w:val="008C3519"/>
    <w:rsid w:val="008C3691"/>
    <w:rsid w:val="008C3D3E"/>
    <w:rsid w:val="008C4207"/>
    <w:rsid w:val="008C42DD"/>
    <w:rsid w:val="008C43F7"/>
    <w:rsid w:val="008C4919"/>
    <w:rsid w:val="008C4929"/>
    <w:rsid w:val="008C4DBE"/>
    <w:rsid w:val="008C5090"/>
    <w:rsid w:val="008C55A9"/>
    <w:rsid w:val="008C5B4C"/>
    <w:rsid w:val="008C5CC3"/>
    <w:rsid w:val="008C6D2C"/>
    <w:rsid w:val="008C6E4F"/>
    <w:rsid w:val="008C78FA"/>
    <w:rsid w:val="008C7EA1"/>
    <w:rsid w:val="008D005C"/>
    <w:rsid w:val="008D0188"/>
    <w:rsid w:val="008D022D"/>
    <w:rsid w:val="008D0233"/>
    <w:rsid w:val="008D060C"/>
    <w:rsid w:val="008D0669"/>
    <w:rsid w:val="008D07BE"/>
    <w:rsid w:val="008D0D34"/>
    <w:rsid w:val="008D0E4B"/>
    <w:rsid w:val="008D0FA8"/>
    <w:rsid w:val="008D1340"/>
    <w:rsid w:val="008D161F"/>
    <w:rsid w:val="008D1C8F"/>
    <w:rsid w:val="008D2265"/>
    <w:rsid w:val="008D2342"/>
    <w:rsid w:val="008D28CD"/>
    <w:rsid w:val="008D29BB"/>
    <w:rsid w:val="008D2B6F"/>
    <w:rsid w:val="008D318C"/>
    <w:rsid w:val="008D365C"/>
    <w:rsid w:val="008D3A25"/>
    <w:rsid w:val="008D3AC7"/>
    <w:rsid w:val="008D3FBD"/>
    <w:rsid w:val="008D4059"/>
    <w:rsid w:val="008D4966"/>
    <w:rsid w:val="008D4CFA"/>
    <w:rsid w:val="008D5111"/>
    <w:rsid w:val="008D53A1"/>
    <w:rsid w:val="008D5D38"/>
    <w:rsid w:val="008D6415"/>
    <w:rsid w:val="008D6F09"/>
    <w:rsid w:val="008D71BA"/>
    <w:rsid w:val="008D75A2"/>
    <w:rsid w:val="008D7622"/>
    <w:rsid w:val="008D7965"/>
    <w:rsid w:val="008D7F72"/>
    <w:rsid w:val="008E0F5D"/>
    <w:rsid w:val="008E107C"/>
    <w:rsid w:val="008E1151"/>
    <w:rsid w:val="008E1253"/>
    <w:rsid w:val="008E188C"/>
    <w:rsid w:val="008E19A7"/>
    <w:rsid w:val="008E1FF6"/>
    <w:rsid w:val="008E269C"/>
    <w:rsid w:val="008E298B"/>
    <w:rsid w:val="008E324D"/>
    <w:rsid w:val="008E44E3"/>
    <w:rsid w:val="008E44F7"/>
    <w:rsid w:val="008E4C55"/>
    <w:rsid w:val="008E56FB"/>
    <w:rsid w:val="008E57AF"/>
    <w:rsid w:val="008E5900"/>
    <w:rsid w:val="008E616E"/>
    <w:rsid w:val="008E65ED"/>
    <w:rsid w:val="008E674E"/>
    <w:rsid w:val="008E73BC"/>
    <w:rsid w:val="008E75ED"/>
    <w:rsid w:val="008E7773"/>
    <w:rsid w:val="008E7E21"/>
    <w:rsid w:val="008E7FB0"/>
    <w:rsid w:val="008F044D"/>
    <w:rsid w:val="008F068C"/>
    <w:rsid w:val="008F076A"/>
    <w:rsid w:val="008F1269"/>
    <w:rsid w:val="008F14B0"/>
    <w:rsid w:val="008F18CE"/>
    <w:rsid w:val="008F1D4A"/>
    <w:rsid w:val="008F229B"/>
    <w:rsid w:val="008F2473"/>
    <w:rsid w:val="008F2EE5"/>
    <w:rsid w:val="008F32E3"/>
    <w:rsid w:val="008F4188"/>
    <w:rsid w:val="008F4508"/>
    <w:rsid w:val="008F49C5"/>
    <w:rsid w:val="008F4F3B"/>
    <w:rsid w:val="008F5392"/>
    <w:rsid w:val="008F58DF"/>
    <w:rsid w:val="008F591D"/>
    <w:rsid w:val="008F5BB2"/>
    <w:rsid w:val="008F61E3"/>
    <w:rsid w:val="008F630C"/>
    <w:rsid w:val="008F66A1"/>
    <w:rsid w:val="008F67D3"/>
    <w:rsid w:val="008F67F7"/>
    <w:rsid w:val="008F7BD7"/>
    <w:rsid w:val="008F7D27"/>
    <w:rsid w:val="00900184"/>
    <w:rsid w:val="009004C4"/>
    <w:rsid w:val="0090053F"/>
    <w:rsid w:val="00900787"/>
    <w:rsid w:val="0090111C"/>
    <w:rsid w:val="009017FB"/>
    <w:rsid w:val="00901ECD"/>
    <w:rsid w:val="009021A6"/>
    <w:rsid w:val="009023C0"/>
    <w:rsid w:val="009026A7"/>
    <w:rsid w:val="00902BB6"/>
    <w:rsid w:val="009030BF"/>
    <w:rsid w:val="009032C7"/>
    <w:rsid w:val="0090352B"/>
    <w:rsid w:val="009039C3"/>
    <w:rsid w:val="00903B52"/>
    <w:rsid w:val="00904087"/>
    <w:rsid w:val="009048CB"/>
    <w:rsid w:val="00904941"/>
    <w:rsid w:val="00904EC6"/>
    <w:rsid w:val="00904FB8"/>
    <w:rsid w:val="0090582B"/>
    <w:rsid w:val="0090645A"/>
    <w:rsid w:val="0090648B"/>
    <w:rsid w:val="00906745"/>
    <w:rsid w:val="00906993"/>
    <w:rsid w:val="009069E4"/>
    <w:rsid w:val="00907A8D"/>
    <w:rsid w:val="00907AFC"/>
    <w:rsid w:val="00910280"/>
    <w:rsid w:val="009102DD"/>
    <w:rsid w:val="009102F7"/>
    <w:rsid w:val="0091032F"/>
    <w:rsid w:val="0091091B"/>
    <w:rsid w:val="00910C13"/>
    <w:rsid w:val="00910DD8"/>
    <w:rsid w:val="009115D7"/>
    <w:rsid w:val="009115FC"/>
    <w:rsid w:val="00911724"/>
    <w:rsid w:val="00911CF2"/>
    <w:rsid w:val="00911E00"/>
    <w:rsid w:val="00911EEE"/>
    <w:rsid w:val="009124C5"/>
    <w:rsid w:val="00912B75"/>
    <w:rsid w:val="00913935"/>
    <w:rsid w:val="00913DBA"/>
    <w:rsid w:val="00914368"/>
    <w:rsid w:val="009143BC"/>
    <w:rsid w:val="0091455A"/>
    <w:rsid w:val="00914AE3"/>
    <w:rsid w:val="00914C99"/>
    <w:rsid w:val="00914D1C"/>
    <w:rsid w:val="00914E28"/>
    <w:rsid w:val="00915009"/>
    <w:rsid w:val="00915398"/>
    <w:rsid w:val="00915785"/>
    <w:rsid w:val="00915D98"/>
    <w:rsid w:val="0091647A"/>
    <w:rsid w:val="00916822"/>
    <w:rsid w:val="00917BD4"/>
    <w:rsid w:val="00917DB0"/>
    <w:rsid w:val="00917E3A"/>
    <w:rsid w:val="00920D9B"/>
    <w:rsid w:val="00923535"/>
    <w:rsid w:val="0092357C"/>
    <w:rsid w:val="00923C7A"/>
    <w:rsid w:val="00924371"/>
    <w:rsid w:val="009243A4"/>
    <w:rsid w:val="009249AD"/>
    <w:rsid w:val="009249ED"/>
    <w:rsid w:val="00924B63"/>
    <w:rsid w:val="00925A6F"/>
    <w:rsid w:val="00925C52"/>
    <w:rsid w:val="0092611A"/>
    <w:rsid w:val="00926204"/>
    <w:rsid w:val="00926278"/>
    <w:rsid w:val="00926AC8"/>
    <w:rsid w:val="009302B1"/>
    <w:rsid w:val="00931076"/>
    <w:rsid w:val="0093119E"/>
    <w:rsid w:val="009312AC"/>
    <w:rsid w:val="009316EC"/>
    <w:rsid w:val="0093172B"/>
    <w:rsid w:val="00931764"/>
    <w:rsid w:val="0093223F"/>
    <w:rsid w:val="009323F5"/>
    <w:rsid w:val="009327DA"/>
    <w:rsid w:val="00932C15"/>
    <w:rsid w:val="009330FB"/>
    <w:rsid w:val="009339EC"/>
    <w:rsid w:val="00933CCC"/>
    <w:rsid w:val="00934213"/>
    <w:rsid w:val="00934365"/>
    <w:rsid w:val="009344E2"/>
    <w:rsid w:val="009345D9"/>
    <w:rsid w:val="009347F1"/>
    <w:rsid w:val="00934855"/>
    <w:rsid w:val="00934B15"/>
    <w:rsid w:val="00934E57"/>
    <w:rsid w:val="00934E64"/>
    <w:rsid w:val="009350F5"/>
    <w:rsid w:val="00935129"/>
    <w:rsid w:val="00935504"/>
    <w:rsid w:val="009357F3"/>
    <w:rsid w:val="009360D6"/>
    <w:rsid w:val="00936842"/>
    <w:rsid w:val="00936AEA"/>
    <w:rsid w:val="00936EA7"/>
    <w:rsid w:val="00937073"/>
    <w:rsid w:val="0094065D"/>
    <w:rsid w:val="009406A3"/>
    <w:rsid w:val="00940C87"/>
    <w:rsid w:val="00940D77"/>
    <w:rsid w:val="00940ECC"/>
    <w:rsid w:val="0094114A"/>
    <w:rsid w:val="00941679"/>
    <w:rsid w:val="0094184E"/>
    <w:rsid w:val="00941FF2"/>
    <w:rsid w:val="00942118"/>
    <w:rsid w:val="00942371"/>
    <w:rsid w:val="00942B62"/>
    <w:rsid w:val="00942C0F"/>
    <w:rsid w:val="00944454"/>
    <w:rsid w:val="00944616"/>
    <w:rsid w:val="00944792"/>
    <w:rsid w:val="0094498A"/>
    <w:rsid w:val="00944CA8"/>
    <w:rsid w:val="0094519A"/>
    <w:rsid w:val="009455D9"/>
    <w:rsid w:val="00945ABD"/>
    <w:rsid w:val="00946040"/>
    <w:rsid w:val="00946471"/>
    <w:rsid w:val="00946559"/>
    <w:rsid w:val="009467B3"/>
    <w:rsid w:val="00946832"/>
    <w:rsid w:val="00946B5B"/>
    <w:rsid w:val="00946CD2"/>
    <w:rsid w:val="00946CE2"/>
    <w:rsid w:val="00947509"/>
    <w:rsid w:val="00950473"/>
    <w:rsid w:val="00950617"/>
    <w:rsid w:val="0095068C"/>
    <w:rsid w:val="009506F7"/>
    <w:rsid w:val="009508CA"/>
    <w:rsid w:val="009509E3"/>
    <w:rsid w:val="00950EC2"/>
    <w:rsid w:val="00951936"/>
    <w:rsid w:val="00951DC7"/>
    <w:rsid w:val="00951F56"/>
    <w:rsid w:val="009531DF"/>
    <w:rsid w:val="0095323B"/>
    <w:rsid w:val="009535A9"/>
    <w:rsid w:val="009538B3"/>
    <w:rsid w:val="00953CCF"/>
    <w:rsid w:val="00954345"/>
    <w:rsid w:val="00954770"/>
    <w:rsid w:val="009552AF"/>
    <w:rsid w:val="00955C2C"/>
    <w:rsid w:val="00955CAA"/>
    <w:rsid w:val="0095612E"/>
    <w:rsid w:val="00956261"/>
    <w:rsid w:val="009563B5"/>
    <w:rsid w:val="009563BA"/>
    <w:rsid w:val="009564A0"/>
    <w:rsid w:val="00956A0C"/>
    <w:rsid w:val="00956BD9"/>
    <w:rsid w:val="00956CE3"/>
    <w:rsid w:val="00956DE4"/>
    <w:rsid w:val="009576A2"/>
    <w:rsid w:val="00957808"/>
    <w:rsid w:val="00957AE8"/>
    <w:rsid w:val="009605AA"/>
    <w:rsid w:val="00960DF6"/>
    <w:rsid w:val="00961FF8"/>
    <w:rsid w:val="00962489"/>
    <w:rsid w:val="009626E3"/>
    <w:rsid w:val="00962929"/>
    <w:rsid w:val="00962CC5"/>
    <w:rsid w:val="0096338B"/>
    <w:rsid w:val="009635AB"/>
    <w:rsid w:val="009636C2"/>
    <w:rsid w:val="00963EF6"/>
    <w:rsid w:val="009643E4"/>
    <w:rsid w:val="009644E9"/>
    <w:rsid w:val="00964AA0"/>
    <w:rsid w:val="00964C1A"/>
    <w:rsid w:val="009654D9"/>
    <w:rsid w:val="009658DC"/>
    <w:rsid w:val="00965D75"/>
    <w:rsid w:val="00965D8D"/>
    <w:rsid w:val="009678FD"/>
    <w:rsid w:val="00967A86"/>
    <w:rsid w:val="00967CD3"/>
    <w:rsid w:val="00970042"/>
    <w:rsid w:val="009706C2"/>
    <w:rsid w:val="00970A18"/>
    <w:rsid w:val="00970A50"/>
    <w:rsid w:val="00970C4C"/>
    <w:rsid w:val="009718A6"/>
    <w:rsid w:val="00971B9E"/>
    <w:rsid w:val="00972F19"/>
    <w:rsid w:val="0097354B"/>
    <w:rsid w:val="00973A55"/>
    <w:rsid w:val="00973FEA"/>
    <w:rsid w:val="00974491"/>
    <w:rsid w:val="00974A84"/>
    <w:rsid w:val="00975869"/>
    <w:rsid w:val="009763EE"/>
    <w:rsid w:val="009764D3"/>
    <w:rsid w:val="00977143"/>
    <w:rsid w:val="00977CB6"/>
    <w:rsid w:val="00977EA6"/>
    <w:rsid w:val="0098023D"/>
    <w:rsid w:val="00980382"/>
    <w:rsid w:val="009806BF"/>
    <w:rsid w:val="009808FB"/>
    <w:rsid w:val="009813F8"/>
    <w:rsid w:val="009827BA"/>
    <w:rsid w:val="00982931"/>
    <w:rsid w:val="00982BCE"/>
    <w:rsid w:val="00983545"/>
    <w:rsid w:val="00983758"/>
    <w:rsid w:val="00984377"/>
    <w:rsid w:val="00984410"/>
    <w:rsid w:val="0098469C"/>
    <w:rsid w:val="00984C7F"/>
    <w:rsid w:val="009851B8"/>
    <w:rsid w:val="009857E9"/>
    <w:rsid w:val="00985A4B"/>
    <w:rsid w:val="00985F01"/>
    <w:rsid w:val="0098600E"/>
    <w:rsid w:val="009862F7"/>
    <w:rsid w:val="0098682F"/>
    <w:rsid w:val="009873BB"/>
    <w:rsid w:val="00987922"/>
    <w:rsid w:val="00990604"/>
    <w:rsid w:val="00990739"/>
    <w:rsid w:val="00990C2C"/>
    <w:rsid w:val="0099195B"/>
    <w:rsid w:val="00991AF9"/>
    <w:rsid w:val="009920B8"/>
    <w:rsid w:val="009924AB"/>
    <w:rsid w:val="009927BB"/>
    <w:rsid w:val="009927EE"/>
    <w:rsid w:val="009928D7"/>
    <w:rsid w:val="00992DC8"/>
    <w:rsid w:val="0099306B"/>
    <w:rsid w:val="00993357"/>
    <w:rsid w:val="00993A5D"/>
    <w:rsid w:val="00993CC8"/>
    <w:rsid w:val="00993F3E"/>
    <w:rsid w:val="0099412C"/>
    <w:rsid w:val="00994413"/>
    <w:rsid w:val="00995A93"/>
    <w:rsid w:val="00995E06"/>
    <w:rsid w:val="009962DC"/>
    <w:rsid w:val="00996441"/>
    <w:rsid w:val="00996492"/>
    <w:rsid w:val="0099699D"/>
    <w:rsid w:val="00996B91"/>
    <w:rsid w:val="0099709E"/>
    <w:rsid w:val="00997198"/>
    <w:rsid w:val="00997746"/>
    <w:rsid w:val="0099777E"/>
    <w:rsid w:val="00997782"/>
    <w:rsid w:val="009977FB"/>
    <w:rsid w:val="00997D09"/>
    <w:rsid w:val="00997D58"/>
    <w:rsid w:val="009A1B11"/>
    <w:rsid w:val="009A1C3F"/>
    <w:rsid w:val="009A294C"/>
    <w:rsid w:val="009A3035"/>
    <w:rsid w:val="009A38DF"/>
    <w:rsid w:val="009A3901"/>
    <w:rsid w:val="009A3A78"/>
    <w:rsid w:val="009A43A6"/>
    <w:rsid w:val="009A4741"/>
    <w:rsid w:val="009A4780"/>
    <w:rsid w:val="009A4807"/>
    <w:rsid w:val="009A4D8D"/>
    <w:rsid w:val="009A4DA4"/>
    <w:rsid w:val="009A5171"/>
    <w:rsid w:val="009A5AEE"/>
    <w:rsid w:val="009A5E20"/>
    <w:rsid w:val="009A6266"/>
    <w:rsid w:val="009A6E6E"/>
    <w:rsid w:val="009A7E46"/>
    <w:rsid w:val="009B0EEF"/>
    <w:rsid w:val="009B0F25"/>
    <w:rsid w:val="009B1768"/>
    <w:rsid w:val="009B17CF"/>
    <w:rsid w:val="009B1E6A"/>
    <w:rsid w:val="009B1FD4"/>
    <w:rsid w:val="009B1FF2"/>
    <w:rsid w:val="009B2132"/>
    <w:rsid w:val="009B2659"/>
    <w:rsid w:val="009B28CB"/>
    <w:rsid w:val="009B293C"/>
    <w:rsid w:val="009B2DC0"/>
    <w:rsid w:val="009B3A9D"/>
    <w:rsid w:val="009B3D65"/>
    <w:rsid w:val="009B43DB"/>
    <w:rsid w:val="009B4A01"/>
    <w:rsid w:val="009B5353"/>
    <w:rsid w:val="009B5403"/>
    <w:rsid w:val="009B5452"/>
    <w:rsid w:val="009B587B"/>
    <w:rsid w:val="009B5A8F"/>
    <w:rsid w:val="009B5CAF"/>
    <w:rsid w:val="009B5D22"/>
    <w:rsid w:val="009B641B"/>
    <w:rsid w:val="009B707D"/>
    <w:rsid w:val="009B709F"/>
    <w:rsid w:val="009B7655"/>
    <w:rsid w:val="009B780F"/>
    <w:rsid w:val="009B7FD2"/>
    <w:rsid w:val="009C00CB"/>
    <w:rsid w:val="009C01CD"/>
    <w:rsid w:val="009C0552"/>
    <w:rsid w:val="009C06DD"/>
    <w:rsid w:val="009C1048"/>
    <w:rsid w:val="009C145D"/>
    <w:rsid w:val="009C1A41"/>
    <w:rsid w:val="009C1C12"/>
    <w:rsid w:val="009C1F02"/>
    <w:rsid w:val="009C25E4"/>
    <w:rsid w:val="009C3354"/>
    <w:rsid w:val="009C36FC"/>
    <w:rsid w:val="009C3725"/>
    <w:rsid w:val="009C3916"/>
    <w:rsid w:val="009C3B08"/>
    <w:rsid w:val="009C3D54"/>
    <w:rsid w:val="009C3F11"/>
    <w:rsid w:val="009C47D1"/>
    <w:rsid w:val="009C4902"/>
    <w:rsid w:val="009C4D09"/>
    <w:rsid w:val="009C4DBB"/>
    <w:rsid w:val="009C5074"/>
    <w:rsid w:val="009C6665"/>
    <w:rsid w:val="009C6A05"/>
    <w:rsid w:val="009C6E3D"/>
    <w:rsid w:val="009C7171"/>
    <w:rsid w:val="009C7583"/>
    <w:rsid w:val="009C7956"/>
    <w:rsid w:val="009C7B44"/>
    <w:rsid w:val="009C7D54"/>
    <w:rsid w:val="009D0582"/>
    <w:rsid w:val="009D1045"/>
    <w:rsid w:val="009D18AE"/>
    <w:rsid w:val="009D19C6"/>
    <w:rsid w:val="009D1F47"/>
    <w:rsid w:val="009D2C9B"/>
    <w:rsid w:val="009D474D"/>
    <w:rsid w:val="009D49B9"/>
    <w:rsid w:val="009D4C75"/>
    <w:rsid w:val="009D4C8B"/>
    <w:rsid w:val="009D4F25"/>
    <w:rsid w:val="009D5101"/>
    <w:rsid w:val="009D5161"/>
    <w:rsid w:val="009D5A38"/>
    <w:rsid w:val="009D5C94"/>
    <w:rsid w:val="009D5ED4"/>
    <w:rsid w:val="009D6080"/>
    <w:rsid w:val="009D64B3"/>
    <w:rsid w:val="009D6595"/>
    <w:rsid w:val="009D6A8C"/>
    <w:rsid w:val="009D71C4"/>
    <w:rsid w:val="009D72EB"/>
    <w:rsid w:val="009E0545"/>
    <w:rsid w:val="009E07DF"/>
    <w:rsid w:val="009E0B41"/>
    <w:rsid w:val="009E0D3F"/>
    <w:rsid w:val="009E0D8E"/>
    <w:rsid w:val="009E1844"/>
    <w:rsid w:val="009E2284"/>
    <w:rsid w:val="009E2327"/>
    <w:rsid w:val="009E3489"/>
    <w:rsid w:val="009E3664"/>
    <w:rsid w:val="009E388A"/>
    <w:rsid w:val="009E4931"/>
    <w:rsid w:val="009E4CB3"/>
    <w:rsid w:val="009E62A4"/>
    <w:rsid w:val="009E62B6"/>
    <w:rsid w:val="009E6356"/>
    <w:rsid w:val="009E662C"/>
    <w:rsid w:val="009E6715"/>
    <w:rsid w:val="009E6B45"/>
    <w:rsid w:val="009E714F"/>
    <w:rsid w:val="009E7355"/>
    <w:rsid w:val="009E7585"/>
    <w:rsid w:val="009E7ED5"/>
    <w:rsid w:val="009F001E"/>
    <w:rsid w:val="009F00E9"/>
    <w:rsid w:val="009F01BE"/>
    <w:rsid w:val="009F0480"/>
    <w:rsid w:val="009F0826"/>
    <w:rsid w:val="009F0B7B"/>
    <w:rsid w:val="009F0D1B"/>
    <w:rsid w:val="009F11EF"/>
    <w:rsid w:val="009F1251"/>
    <w:rsid w:val="009F165E"/>
    <w:rsid w:val="009F211E"/>
    <w:rsid w:val="009F217A"/>
    <w:rsid w:val="009F2196"/>
    <w:rsid w:val="009F2207"/>
    <w:rsid w:val="009F23F8"/>
    <w:rsid w:val="009F391B"/>
    <w:rsid w:val="009F3D32"/>
    <w:rsid w:val="009F3F88"/>
    <w:rsid w:val="009F4022"/>
    <w:rsid w:val="009F4D34"/>
    <w:rsid w:val="009F5123"/>
    <w:rsid w:val="009F53DD"/>
    <w:rsid w:val="009F5BBD"/>
    <w:rsid w:val="009F5FC9"/>
    <w:rsid w:val="009F696D"/>
    <w:rsid w:val="009F6BC6"/>
    <w:rsid w:val="009F716C"/>
    <w:rsid w:val="009F7480"/>
    <w:rsid w:val="009F74EF"/>
    <w:rsid w:val="00A0025C"/>
    <w:rsid w:val="00A0061F"/>
    <w:rsid w:val="00A007F8"/>
    <w:rsid w:val="00A01B42"/>
    <w:rsid w:val="00A01B9A"/>
    <w:rsid w:val="00A01F6F"/>
    <w:rsid w:val="00A02270"/>
    <w:rsid w:val="00A0251D"/>
    <w:rsid w:val="00A0276B"/>
    <w:rsid w:val="00A02826"/>
    <w:rsid w:val="00A02D1D"/>
    <w:rsid w:val="00A030F6"/>
    <w:rsid w:val="00A0311D"/>
    <w:rsid w:val="00A03217"/>
    <w:rsid w:val="00A032A9"/>
    <w:rsid w:val="00A03369"/>
    <w:rsid w:val="00A03707"/>
    <w:rsid w:val="00A0373C"/>
    <w:rsid w:val="00A03B7C"/>
    <w:rsid w:val="00A03F25"/>
    <w:rsid w:val="00A041D9"/>
    <w:rsid w:val="00A0423A"/>
    <w:rsid w:val="00A04529"/>
    <w:rsid w:val="00A04AE0"/>
    <w:rsid w:val="00A050D2"/>
    <w:rsid w:val="00A05206"/>
    <w:rsid w:val="00A05784"/>
    <w:rsid w:val="00A05A66"/>
    <w:rsid w:val="00A05E02"/>
    <w:rsid w:val="00A060F9"/>
    <w:rsid w:val="00A06AF3"/>
    <w:rsid w:val="00A06FA6"/>
    <w:rsid w:val="00A07224"/>
    <w:rsid w:val="00A1120B"/>
    <w:rsid w:val="00A1186D"/>
    <w:rsid w:val="00A11AA8"/>
    <w:rsid w:val="00A11B23"/>
    <w:rsid w:val="00A11B73"/>
    <w:rsid w:val="00A11E72"/>
    <w:rsid w:val="00A123C0"/>
    <w:rsid w:val="00A125F7"/>
    <w:rsid w:val="00A129C9"/>
    <w:rsid w:val="00A129E0"/>
    <w:rsid w:val="00A12F3B"/>
    <w:rsid w:val="00A13255"/>
    <w:rsid w:val="00A140F8"/>
    <w:rsid w:val="00A142B7"/>
    <w:rsid w:val="00A14647"/>
    <w:rsid w:val="00A14CE8"/>
    <w:rsid w:val="00A151D4"/>
    <w:rsid w:val="00A155CC"/>
    <w:rsid w:val="00A15680"/>
    <w:rsid w:val="00A15D5A"/>
    <w:rsid w:val="00A15E20"/>
    <w:rsid w:val="00A15F25"/>
    <w:rsid w:val="00A1615C"/>
    <w:rsid w:val="00A16305"/>
    <w:rsid w:val="00A1641E"/>
    <w:rsid w:val="00A167DE"/>
    <w:rsid w:val="00A17204"/>
    <w:rsid w:val="00A17328"/>
    <w:rsid w:val="00A17794"/>
    <w:rsid w:val="00A17DA3"/>
    <w:rsid w:val="00A17E7E"/>
    <w:rsid w:val="00A2040E"/>
    <w:rsid w:val="00A20F54"/>
    <w:rsid w:val="00A216A0"/>
    <w:rsid w:val="00A217AA"/>
    <w:rsid w:val="00A21B5B"/>
    <w:rsid w:val="00A21C24"/>
    <w:rsid w:val="00A21CF4"/>
    <w:rsid w:val="00A226AC"/>
    <w:rsid w:val="00A22723"/>
    <w:rsid w:val="00A228F0"/>
    <w:rsid w:val="00A22AF4"/>
    <w:rsid w:val="00A2337A"/>
    <w:rsid w:val="00A233B1"/>
    <w:rsid w:val="00A23556"/>
    <w:rsid w:val="00A237F6"/>
    <w:rsid w:val="00A238C5"/>
    <w:rsid w:val="00A238E0"/>
    <w:rsid w:val="00A23A20"/>
    <w:rsid w:val="00A23F8F"/>
    <w:rsid w:val="00A24039"/>
    <w:rsid w:val="00A24443"/>
    <w:rsid w:val="00A24AB9"/>
    <w:rsid w:val="00A24C98"/>
    <w:rsid w:val="00A24DBC"/>
    <w:rsid w:val="00A24E0A"/>
    <w:rsid w:val="00A24FA4"/>
    <w:rsid w:val="00A25281"/>
    <w:rsid w:val="00A25864"/>
    <w:rsid w:val="00A266A8"/>
    <w:rsid w:val="00A268B9"/>
    <w:rsid w:val="00A26C6A"/>
    <w:rsid w:val="00A26E17"/>
    <w:rsid w:val="00A2703A"/>
    <w:rsid w:val="00A27148"/>
    <w:rsid w:val="00A3079D"/>
    <w:rsid w:val="00A30B17"/>
    <w:rsid w:val="00A30DCD"/>
    <w:rsid w:val="00A30F19"/>
    <w:rsid w:val="00A313B0"/>
    <w:rsid w:val="00A31CB3"/>
    <w:rsid w:val="00A334DE"/>
    <w:rsid w:val="00A3361F"/>
    <w:rsid w:val="00A33909"/>
    <w:rsid w:val="00A33DFF"/>
    <w:rsid w:val="00A33E85"/>
    <w:rsid w:val="00A35115"/>
    <w:rsid w:val="00A35510"/>
    <w:rsid w:val="00A35CFD"/>
    <w:rsid w:val="00A36D9A"/>
    <w:rsid w:val="00A36D9F"/>
    <w:rsid w:val="00A373F4"/>
    <w:rsid w:val="00A37636"/>
    <w:rsid w:val="00A37853"/>
    <w:rsid w:val="00A378F7"/>
    <w:rsid w:val="00A37BBE"/>
    <w:rsid w:val="00A37D1E"/>
    <w:rsid w:val="00A403C3"/>
    <w:rsid w:val="00A4128C"/>
    <w:rsid w:val="00A4189C"/>
    <w:rsid w:val="00A41C04"/>
    <w:rsid w:val="00A41C3E"/>
    <w:rsid w:val="00A41D03"/>
    <w:rsid w:val="00A427D2"/>
    <w:rsid w:val="00A42DB0"/>
    <w:rsid w:val="00A4315C"/>
    <w:rsid w:val="00A43731"/>
    <w:rsid w:val="00A43C2D"/>
    <w:rsid w:val="00A43E98"/>
    <w:rsid w:val="00A43EBE"/>
    <w:rsid w:val="00A44647"/>
    <w:rsid w:val="00A448F7"/>
    <w:rsid w:val="00A44E62"/>
    <w:rsid w:val="00A450DC"/>
    <w:rsid w:val="00A451DC"/>
    <w:rsid w:val="00A455F4"/>
    <w:rsid w:val="00A45AA5"/>
    <w:rsid w:val="00A468FC"/>
    <w:rsid w:val="00A471C7"/>
    <w:rsid w:val="00A4752A"/>
    <w:rsid w:val="00A475E0"/>
    <w:rsid w:val="00A47B7A"/>
    <w:rsid w:val="00A47E12"/>
    <w:rsid w:val="00A50297"/>
    <w:rsid w:val="00A506B7"/>
    <w:rsid w:val="00A514E1"/>
    <w:rsid w:val="00A51FFD"/>
    <w:rsid w:val="00A52304"/>
    <w:rsid w:val="00A5245A"/>
    <w:rsid w:val="00A5347E"/>
    <w:rsid w:val="00A5364C"/>
    <w:rsid w:val="00A53E5D"/>
    <w:rsid w:val="00A53EF8"/>
    <w:rsid w:val="00A549CE"/>
    <w:rsid w:val="00A54ADD"/>
    <w:rsid w:val="00A54ED0"/>
    <w:rsid w:val="00A554AB"/>
    <w:rsid w:val="00A5554A"/>
    <w:rsid w:val="00A555CF"/>
    <w:rsid w:val="00A557DA"/>
    <w:rsid w:val="00A557FE"/>
    <w:rsid w:val="00A55F36"/>
    <w:rsid w:val="00A56A4E"/>
    <w:rsid w:val="00A56A74"/>
    <w:rsid w:val="00A56FE8"/>
    <w:rsid w:val="00A57062"/>
    <w:rsid w:val="00A602A7"/>
    <w:rsid w:val="00A60F5C"/>
    <w:rsid w:val="00A60FD5"/>
    <w:rsid w:val="00A610A8"/>
    <w:rsid w:val="00A619D9"/>
    <w:rsid w:val="00A61D9F"/>
    <w:rsid w:val="00A61FCE"/>
    <w:rsid w:val="00A6205A"/>
    <w:rsid w:val="00A62B59"/>
    <w:rsid w:val="00A62DF6"/>
    <w:rsid w:val="00A63804"/>
    <w:rsid w:val="00A63CE3"/>
    <w:rsid w:val="00A63CF1"/>
    <w:rsid w:val="00A63CFD"/>
    <w:rsid w:val="00A6469E"/>
    <w:rsid w:val="00A64DE5"/>
    <w:rsid w:val="00A6589F"/>
    <w:rsid w:val="00A65E81"/>
    <w:rsid w:val="00A66C23"/>
    <w:rsid w:val="00A66DF7"/>
    <w:rsid w:val="00A66E27"/>
    <w:rsid w:val="00A67050"/>
    <w:rsid w:val="00A67781"/>
    <w:rsid w:val="00A679CC"/>
    <w:rsid w:val="00A70077"/>
    <w:rsid w:val="00A702B0"/>
    <w:rsid w:val="00A70318"/>
    <w:rsid w:val="00A70601"/>
    <w:rsid w:val="00A70AE1"/>
    <w:rsid w:val="00A711DC"/>
    <w:rsid w:val="00A71895"/>
    <w:rsid w:val="00A719A2"/>
    <w:rsid w:val="00A728BD"/>
    <w:rsid w:val="00A72C0F"/>
    <w:rsid w:val="00A72E8D"/>
    <w:rsid w:val="00A73AED"/>
    <w:rsid w:val="00A73F38"/>
    <w:rsid w:val="00A73F48"/>
    <w:rsid w:val="00A744A4"/>
    <w:rsid w:val="00A74694"/>
    <w:rsid w:val="00A75E30"/>
    <w:rsid w:val="00A761F9"/>
    <w:rsid w:val="00A76479"/>
    <w:rsid w:val="00A767C6"/>
    <w:rsid w:val="00A768A5"/>
    <w:rsid w:val="00A768C8"/>
    <w:rsid w:val="00A775B7"/>
    <w:rsid w:val="00A77622"/>
    <w:rsid w:val="00A8010E"/>
    <w:rsid w:val="00A8040B"/>
    <w:rsid w:val="00A80674"/>
    <w:rsid w:val="00A810CF"/>
    <w:rsid w:val="00A817B3"/>
    <w:rsid w:val="00A81C44"/>
    <w:rsid w:val="00A81F16"/>
    <w:rsid w:val="00A81F80"/>
    <w:rsid w:val="00A82011"/>
    <w:rsid w:val="00A8204A"/>
    <w:rsid w:val="00A8257F"/>
    <w:rsid w:val="00A826BE"/>
    <w:rsid w:val="00A82949"/>
    <w:rsid w:val="00A831BE"/>
    <w:rsid w:val="00A83F90"/>
    <w:rsid w:val="00A854B7"/>
    <w:rsid w:val="00A856A1"/>
    <w:rsid w:val="00A85759"/>
    <w:rsid w:val="00A85A55"/>
    <w:rsid w:val="00A86710"/>
    <w:rsid w:val="00A86ACA"/>
    <w:rsid w:val="00A86F6A"/>
    <w:rsid w:val="00A870E1"/>
    <w:rsid w:val="00A8759F"/>
    <w:rsid w:val="00A879CC"/>
    <w:rsid w:val="00A9037D"/>
    <w:rsid w:val="00A9054A"/>
    <w:rsid w:val="00A9065D"/>
    <w:rsid w:val="00A90A3B"/>
    <w:rsid w:val="00A91030"/>
    <w:rsid w:val="00A915C3"/>
    <w:rsid w:val="00A915CC"/>
    <w:rsid w:val="00A92184"/>
    <w:rsid w:val="00A924CF"/>
    <w:rsid w:val="00A92B53"/>
    <w:rsid w:val="00A93245"/>
    <w:rsid w:val="00A9326D"/>
    <w:rsid w:val="00A933E5"/>
    <w:rsid w:val="00A935CA"/>
    <w:rsid w:val="00A93666"/>
    <w:rsid w:val="00A9381C"/>
    <w:rsid w:val="00A93948"/>
    <w:rsid w:val="00A93D0E"/>
    <w:rsid w:val="00A946C4"/>
    <w:rsid w:val="00A94FA6"/>
    <w:rsid w:val="00A955CF"/>
    <w:rsid w:val="00A95EB4"/>
    <w:rsid w:val="00A96255"/>
    <w:rsid w:val="00A96FBA"/>
    <w:rsid w:val="00A9728E"/>
    <w:rsid w:val="00A978F6"/>
    <w:rsid w:val="00A97A2F"/>
    <w:rsid w:val="00A97A9A"/>
    <w:rsid w:val="00A97E85"/>
    <w:rsid w:val="00AA016D"/>
    <w:rsid w:val="00AA07B4"/>
    <w:rsid w:val="00AA0A71"/>
    <w:rsid w:val="00AA0B06"/>
    <w:rsid w:val="00AA0F19"/>
    <w:rsid w:val="00AA0F9C"/>
    <w:rsid w:val="00AA10B2"/>
    <w:rsid w:val="00AA1F16"/>
    <w:rsid w:val="00AA2E58"/>
    <w:rsid w:val="00AA3DE1"/>
    <w:rsid w:val="00AA41FE"/>
    <w:rsid w:val="00AA421A"/>
    <w:rsid w:val="00AA430F"/>
    <w:rsid w:val="00AA49A0"/>
    <w:rsid w:val="00AA49C4"/>
    <w:rsid w:val="00AA4E09"/>
    <w:rsid w:val="00AA4ECC"/>
    <w:rsid w:val="00AA5376"/>
    <w:rsid w:val="00AA544F"/>
    <w:rsid w:val="00AA62B6"/>
    <w:rsid w:val="00AA6597"/>
    <w:rsid w:val="00AA6710"/>
    <w:rsid w:val="00AA6973"/>
    <w:rsid w:val="00AA6B5E"/>
    <w:rsid w:val="00AA6E4D"/>
    <w:rsid w:val="00AA70BD"/>
    <w:rsid w:val="00AA723A"/>
    <w:rsid w:val="00AA7392"/>
    <w:rsid w:val="00AA771F"/>
    <w:rsid w:val="00AA7C09"/>
    <w:rsid w:val="00AA7EC6"/>
    <w:rsid w:val="00AB022F"/>
    <w:rsid w:val="00AB0681"/>
    <w:rsid w:val="00AB0820"/>
    <w:rsid w:val="00AB08FC"/>
    <w:rsid w:val="00AB1142"/>
    <w:rsid w:val="00AB165D"/>
    <w:rsid w:val="00AB18C4"/>
    <w:rsid w:val="00AB1906"/>
    <w:rsid w:val="00AB1995"/>
    <w:rsid w:val="00AB1B4B"/>
    <w:rsid w:val="00AB1ED6"/>
    <w:rsid w:val="00AB2125"/>
    <w:rsid w:val="00AB221C"/>
    <w:rsid w:val="00AB243F"/>
    <w:rsid w:val="00AB26AF"/>
    <w:rsid w:val="00AB2860"/>
    <w:rsid w:val="00AB3078"/>
    <w:rsid w:val="00AB32CA"/>
    <w:rsid w:val="00AB3432"/>
    <w:rsid w:val="00AB3716"/>
    <w:rsid w:val="00AB3763"/>
    <w:rsid w:val="00AB3F42"/>
    <w:rsid w:val="00AB4433"/>
    <w:rsid w:val="00AB4D92"/>
    <w:rsid w:val="00AB52A9"/>
    <w:rsid w:val="00AB5302"/>
    <w:rsid w:val="00AB5350"/>
    <w:rsid w:val="00AB54CD"/>
    <w:rsid w:val="00AB564F"/>
    <w:rsid w:val="00AB61D1"/>
    <w:rsid w:val="00AB6239"/>
    <w:rsid w:val="00AB6532"/>
    <w:rsid w:val="00AB6B44"/>
    <w:rsid w:val="00AB6EDD"/>
    <w:rsid w:val="00AB6FA3"/>
    <w:rsid w:val="00AB7EC1"/>
    <w:rsid w:val="00AC0352"/>
    <w:rsid w:val="00AC118F"/>
    <w:rsid w:val="00AC1BA3"/>
    <w:rsid w:val="00AC1F70"/>
    <w:rsid w:val="00AC2196"/>
    <w:rsid w:val="00AC25DD"/>
    <w:rsid w:val="00AC354D"/>
    <w:rsid w:val="00AC3A15"/>
    <w:rsid w:val="00AC3AF7"/>
    <w:rsid w:val="00AC43F8"/>
    <w:rsid w:val="00AC4B78"/>
    <w:rsid w:val="00AC4BE7"/>
    <w:rsid w:val="00AC5114"/>
    <w:rsid w:val="00AC517C"/>
    <w:rsid w:val="00AC5664"/>
    <w:rsid w:val="00AC5951"/>
    <w:rsid w:val="00AC669B"/>
    <w:rsid w:val="00AC6771"/>
    <w:rsid w:val="00AC67A2"/>
    <w:rsid w:val="00AC683F"/>
    <w:rsid w:val="00AC7504"/>
    <w:rsid w:val="00AC75F2"/>
    <w:rsid w:val="00AD0531"/>
    <w:rsid w:val="00AD0E28"/>
    <w:rsid w:val="00AD1603"/>
    <w:rsid w:val="00AD186E"/>
    <w:rsid w:val="00AD25DA"/>
    <w:rsid w:val="00AD2A31"/>
    <w:rsid w:val="00AD2D59"/>
    <w:rsid w:val="00AD2E36"/>
    <w:rsid w:val="00AD2F35"/>
    <w:rsid w:val="00AD3413"/>
    <w:rsid w:val="00AD3AF7"/>
    <w:rsid w:val="00AD3CA5"/>
    <w:rsid w:val="00AD406D"/>
    <w:rsid w:val="00AD47C2"/>
    <w:rsid w:val="00AD48C0"/>
    <w:rsid w:val="00AD4955"/>
    <w:rsid w:val="00AD4AA0"/>
    <w:rsid w:val="00AD4D6D"/>
    <w:rsid w:val="00AD504E"/>
    <w:rsid w:val="00AD520B"/>
    <w:rsid w:val="00AD5638"/>
    <w:rsid w:val="00AD56B7"/>
    <w:rsid w:val="00AD56CD"/>
    <w:rsid w:val="00AD6167"/>
    <w:rsid w:val="00AD6383"/>
    <w:rsid w:val="00AD6F83"/>
    <w:rsid w:val="00AD7174"/>
    <w:rsid w:val="00AD7A4A"/>
    <w:rsid w:val="00AE04A6"/>
    <w:rsid w:val="00AE0601"/>
    <w:rsid w:val="00AE14AD"/>
    <w:rsid w:val="00AE1AB4"/>
    <w:rsid w:val="00AE1BCE"/>
    <w:rsid w:val="00AE1C67"/>
    <w:rsid w:val="00AE2817"/>
    <w:rsid w:val="00AE285B"/>
    <w:rsid w:val="00AE28B1"/>
    <w:rsid w:val="00AE3497"/>
    <w:rsid w:val="00AE385A"/>
    <w:rsid w:val="00AE3B56"/>
    <w:rsid w:val="00AE3BC6"/>
    <w:rsid w:val="00AE3BCC"/>
    <w:rsid w:val="00AE43C0"/>
    <w:rsid w:val="00AE4653"/>
    <w:rsid w:val="00AE4850"/>
    <w:rsid w:val="00AE4F35"/>
    <w:rsid w:val="00AE5202"/>
    <w:rsid w:val="00AE58CD"/>
    <w:rsid w:val="00AE5D66"/>
    <w:rsid w:val="00AE5E3B"/>
    <w:rsid w:val="00AE5FEF"/>
    <w:rsid w:val="00AE6172"/>
    <w:rsid w:val="00AE620D"/>
    <w:rsid w:val="00AE6602"/>
    <w:rsid w:val="00AE6656"/>
    <w:rsid w:val="00AE6CAF"/>
    <w:rsid w:val="00AE757E"/>
    <w:rsid w:val="00AF0A5F"/>
    <w:rsid w:val="00AF0C68"/>
    <w:rsid w:val="00AF0F8B"/>
    <w:rsid w:val="00AF1313"/>
    <w:rsid w:val="00AF13DB"/>
    <w:rsid w:val="00AF165D"/>
    <w:rsid w:val="00AF173E"/>
    <w:rsid w:val="00AF181E"/>
    <w:rsid w:val="00AF1DAD"/>
    <w:rsid w:val="00AF2BFC"/>
    <w:rsid w:val="00AF340A"/>
    <w:rsid w:val="00AF39D8"/>
    <w:rsid w:val="00AF3FD3"/>
    <w:rsid w:val="00AF408A"/>
    <w:rsid w:val="00AF4205"/>
    <w:rsid w:val="00AF4B7D"/>
    <w:rsid w:val="00AF51F3"/>
    <w:rsid w:val="00AF6941"/>
    <w:rsid w:val="00AF69A9"/>
    <w:rsid w:val="00AF6A27"/>
    <w:rsid w:val="00AF72D7"/>
    <w:rsid w:val="00AF75E8"/>
    <w:rsid w:val="00AF79DB"/>
    <w:rsid w:val="00AF7C40"/>
    <w:rsid w:val="00AF7E19"/>
    <w:rsid w:val="00B005A9"/>
    <w:rsid w:val="00B00BA5"/>
    <w:rsid w:val="00B00E9D"/>
    <w:rsid w:val="00B02887"/>
    <w:rsid w:val="00B03676"/>
    <w:rsid w:val="00B039D2"/>
    <w:rsid w:val="00B03BB6"/>
    <w:rsid w:val="00B03F0B"/>
    <w:rsid w:val="00B03FF5"/>
    <w:rsid w:val="00B0413D"/>
    <w:rsid w:val="00B04B9F"/>
    <w:rsid w:val="00B05032"/>
    <w:rsid w:val="00B0543B"/>
    <w:rsid w:val="00B05F5F"/>
    <w:rsid w:val="00B063CC"/>
    <w:rsid w:val="00B069E4"/>
    <w:rsid w:val="00B07040"/>
    <w:rsid w:val="00B0716D"/>
    <w:rsid w:val="00B07260"/>
    <w:rsid w:val="00B07BC2"/>
    <w:rsid w:val="00B07C51"/>
    <w:rsid w:val="00B1090D"/>
    <w:rsid w:val="00B1093B"/>
    <w:rsid w:val="00B10D22"/>
    <w:rsid w:val="00B11458"/>
    <w:rsid w:val="00B11A5D"/>
    <w:rsid w:val="00B11DE6"/>
    <w:rsid w:val="00B125DA"/>
    <w:rsid w:val="00B126EA"/>
    <w:rsid w:val="00B1299A"/>
    <w:rsid w:val="00B12ADB"/>
    <w:rsid w:val="00B13F4A"/>
    <w:rsid w:val="00B148BA"/>
    <w:rsid w:val="00B14F61"/>
    <w:rsid w:val="00B15046"/>
    <w:rsid w:val="00B1578F"/>
    <w:rsid w:val="00B15BC8"/>
    <w:rsid w:val="00B15C9E"/>
    <w:rsid w:val="00B1666C"/>
    <w:rsid w:val="00B16756"/>
    <w:rsid w:val="00B16BF5"/>
    <w:rsid w:val="00B16E4E"/>
    <w:rsid w:val="00B174CD"/>
    <w:rsid w:val="00B204CC"/>
    <w:rsid w:val="00B20A9E"/>
    <w:rsid w:val="00B20C91"/>
    <w:rsid w:val="00B210F4"/>
    <w:rsid w:val="00B2184E"/>
    <w:rsid w:val="00B21C89"/>
    <w:rsid w:val="00B225A9"/>
    <w:rsid w:val="00B22A9C"/>
    <w:rsid w:val="00B2308B"/>
    <w:rsid w:val="00B23689"/>
    <w:rsid w:val="00B23F21"/>
    <w:rsid w:val="00B23FB7"/>
    <w:rsid w:val="00B2413F"/>
    <w:rsid w:val="00B2449B"/>
    <w:rsid w:val="00B24700"/>
    <w:rsid w:val="00B2494C"/>
    <w:rsid w:val="00B249B6"/>
    <w:rsid w:val="00B24F4A"/>
    <w:rsid w:val="00B252D6"/>
    <w:rsid w:val="00B25534"/>
    <w:rsid w:val="00B257EE"/>
    <w:rsid w:val="00B25F8B"/>
    <w:rsid w:val="00B264F7"/>
    <w:rsid w:val="00B26567"/>
    <w:rsid w:val="00B266ED"/>
    <w:rsid w:val="00B26883"/>
    <w:rsid w:val="00B2790B"/>
    <w:rsid w:val="00B27AE3"/>
    <w:rsid w:val="00B302CA"/>
    <w:rsid w:val="00B3037A"/>
    <w:rsid w:val="00B3095F"/>
    <w:rsid w:val="00B31816"/>
    <w:rsid w:val="00B3192F"/>
    <w:rsid w:val="00B3205E"/>
    <w:rsid w:val="00B3214A"/>
    <w:rsid w:val="00B321C3"/>
    <w:rsid w:val="00B32285"/>
    <w:rsid w:val="00B33659"/>
    <w:rsid w:val="00B3387A"/>
    <w:rsid w:val="00B339C0"/>
    <w:rsid w:val="00B3475B"/>
    <w:rsid w:val="00B348F5"/>
    <w:rsid w:val="00B34B77"/>
    <w:rsid w:val="00B34BFD"/>
    <w:rsid w:val="00B34D3F"/>
    <w:rsid w:val="00B35000"/>
    <w:rsid w:val="00B3540C"/>
    <w:rsid w:val="00B35520"/>
    <w:rsid w:val="00B3580D"/>
    <w:rsid w:val="00B3633C"/>
    <w:rsid w:val="00B3779E"/>
    <w:rsid w:val="00B37898"/>
    <w:rsid w:val="00B37C4A"/>
    <w:rsid w:val="00B40489"/>
    <w:rsid w:val="00B407C9"/>
    <w:rsid w:val="00B40F11"/>
    <w:rsid w:val="00B41788"/>
    <w:rsid w:val="00B41CA3"/>
    <w:rsid w:val="00B41F28"/>
    <w:rsid w:val="00B41F79"/>
    <w:rsid w:val="00B42305"/>
    <w:rsid w:val="00B425C3"/>
    <w:rsid w:val="00B430D2"/>
    <w:rsid w:val="00B435F9"/>
    <w:rsid w:val="00B4373D"/>
    <w:rsid w:val="00B440AD"/>
    <w:rsid w:val="00B44124"/>
    <w:rsid w:val="00B443DE"/>
    <w:rsid w:val="00B44FE7"/>
    <w:rsid w:val="00B45486"/>
    <w:rsid w:val="00B458A9"/>
    <w:rsid w:val="00B45A15"/>
    <w:rsid w:val="00B45BBD"/>
    <w:rsid w:val="00B463EA"/>
    <w:rsid w:val="00B468D6"/>
    <w:rsid w:val="00B46CEC"/>
    <w:rsid w:val="00B479BB"/>
    <w:rsid w:val="00B502F1"/>
    <w:rsid w:val="00B50A11"/>
    <w:rsid w:val="00B50B2F"/>
    <w:rsid w:val="00B51581"/>
    <w:rsid w:val="00B5163B"/>
    <w:rsid w:val="00B526D8"/>
    <w:rsid w:val="00B52A1A"/>
    <w:rsid w:val="00B52A64"/>
    <w:rsid w:val="00B539EB"/>
    <w:rsid w:val="00B53B79"/>
    <w:rsid w:val="00B53E7E"/>
    <w:rsid w:val="00B53FCD"/>
    <w:rsid w:val="00B545EC"/>
    <w:rsid w:val="00B548AC"/>
    <w:rsid w:val="00B54B56"/>
    <w:rsid w:val="00B54FC0"/>
    <w:rsid w:val="00B55704"/>
    <w:rsid w:val="00B558D2"/>
    <w:rsid w:val="00B558FA"/>
    <w:rsid w:val="00B55969"/>
    <w:rsid w:val="00B56380"/>
    <w:rsid w:val="00B563F6"/>
    <w:rsid w:val="00B56931"/>
    <w:rsid w:val="00B569F6"/>
    <w:rsid w:val="00B57487"/>
    <w:rsid w:val="00B577A2"/>
    <w:rsid w:val="00B57B4A"/>
    <w:rsid w:val="00B60E60"/>
    <w:rsid w:val="00B6146D"/>
    <w:rsid w:val="00B61D56"/>
    <w:rsid w:val="00B61DCE"/>
    <w:rsid w:val="00B61F66"/>
    <w:rsid w:val="00B62C69"/>
    <w:rsid w:val="00B633B3"/>
    <w:rsid w:val="00B6342E"/>
    <w:rsid w:val="00B63469"/>
    <w:rsid w:val="00B63A47"/>
    <w:rsid w:val="00B63C11"/>
    <w:rsid w:val="00B63FE7"/>
    <w:rsid w:val="00B64A02"/>
    <w:rsid w:val="00B65101"/>
    <w:rsid w:val="00B652BC"/>
    <w:rsid w:val="00B653E6"/>
    <w:rsid w:val="00B655EA"/>
    <w:rsid w:val="00B65692"/>
    <w:rsid w:val="00B65697"/>
    <w:rsid w:val="00B65871"/>
    <w:rsid w:val="00B6594D"/>
    <w:rsid w:val="00B65B3E"/>
    <w:rsid w:val="00B65BE2"/>
    <w:rsid w:val="00B65E23"/>
    <w:rsid w:val="00B660A6"/>
    <w:rsid w:val="00B6631B"/>
    <w:rsid w:val="00B66344"/>
    <w:rsid w:val="00B66452"/>
    <w:rsid w:val="00B667FD"/>
    <w:rsid w:val="00B671A7"/>
    <w:rsid w:val="00B7013F"/>
    <w:rsid w:val="00B70548"/>
    <w:rsid w:val="00B70AB7"/>
    <w:rsid w:val="00B7113F"/>
    <w:rsid w:val="00B71A2A"/>
    <w:rsid w:val="00B71C07"/>
    <w:rsid w:val="00B71DEC"/>
    <w:rsid w:val="00B7202F"/>
    <w:rsid w:val="00B720B7"/>
    <w:rsid w:val="00B723B9"/>
    <w:rsid w:val="00B7253B"/>
    <w:rsid w:val="00B72E22"/>
    <w:rsid w:val="00B73B25"/>
    <w:rsid w:val="00B73D8E"/>
    <w:rsid w:val="00B73E6B"/>
    <w:rsid w:val="00B747CD"/>
    <w:rsid w:val="00B74D5E"/>
    <w:rsid w:val="00B75EBD"/>
    <w:rsid w:val="00B76BB5"/>
    <w:rsid w:val="00B7701F"/>
    <w:rsid w:val="00B7708F"/>
    <w:rsid w:val="00B77150"/>
    <w:rsid w:val="00B77AD7"/>
    <w:rsid w:val="00B80329"/>
    <w:rsid w:val="00B803C2"/>
    <w:rsid w:val="00B80743"/>
    <w:rsid w:val="00B80AD6"/>
    <w:rsid w:val="00B80D07"/>
    <w:rsid w:val="00B80E49"/>
    <w:rsid w:val="00B8107B"/>
    <w:rsid w:val="00B812D5"/>
    <w:rsid w:val="00B81362"/>
    <w:rsid w:val="00B81456"/>
    <w:rsid w:val="00B818ED"/>
    <w:rsid w:val="00B81E18"/>
    <w:rsid w:val="00B822CC"/>
    <w:rsid w:val="00B82337"/>
    <w:rsid w:val="00B82870"/>
    <w:rsid w:val="00B82D1B"/>
    <w:rsid w:val="00B82F29"/>
    <w:rsid w:val="00B8300F"/>
    <w:rsid w:val="00B831A3"/>
    <w:rsid w:val="00B83456"/>
    <w:rsid w:val="00B83512"/>
    <w:rsid w:val="00B83740"/>
    <w:rsid w:val="00B83CA5"/>
    <w:rsid w:val="00B83FE9"/>
    <w:rsid w:val="00B84057"/>
    <w:rsid w:val="00B84566"/>
    <w:rsid w:val="00B84BD8"/>
    <w:rsid w:val="00B84EDD"/>
    <w:rsid w:val="00B84F20"/>
    <w:rsid w:val="00B851EB"/>
    <w:rsid w:val="00B859AD"/>
    <w:rsid w:val="00B859E7"/>
    <w:rsid w:val="00B85CD5"/>
    <w:rsid w:val="00B862F3"/>
    <w:rsid w:val="00B86E95"/>
    <w:rsid w:val="00B878CD"/>
    <w:rsid w:val="00B90CC0"/>
    <w:rsid w:val="00B90DB5"/>
    <w:rsid w:val="00B914F9"/>
    <w:rsid w:val="00B92088"/>
    <w:rsid w:val="00B9219E"/>
    <w:rsid w:val="00B92931"/>
    <w:rsid w:val="00B92E56"/>
    <w:rsid w:val="00B9333C"/>
    <w:rsid w:val="00B93D68"/>
    <w:rsid w:val="00B9450F"/>
    <w:rsid w:val="00B94FCF"/>
    <w:rsid w:val="00B95040"/>
    <w:rsid w:val="00B952B3"/>
    <w:rsid w:val="00B95521"/>
    <w:rsid w:val="00B95958"/>
    <w:rsid w:val="00B95A91"/>
    <w:rsid w:val="00B95C40"/>
    <w:rsid w:val="00B95C7D"/>
    <w:rsid w:val="00B95D35"/>
    <w:rsid w:val="00B961C2"/>
    <w:rsid w:val="00B96A22"/>
    <w:rsid w:val="00B96D80"/>
    <w:rsid w:val="00B96FCE"/>
    <w:rsid w:val="00B9715C"/>
    <w:rsid w:val="00B9725E"/>
    <w:rsid w:val="00B975D8"/>
    <w:rsid w:val="00BA09C2"/>
    <w:rsid w:val="00BA09EE"/>
    <w:rsid w:val="00BA0DE6"/>
    <w:rsid w:val="00BA1DBF"/>
    <w:rsid w:val="00BA1EA6"/>
    <w:rsid w:val="00BA2166"/>
    <w:rsid w:val="00BA21E3"/>
    <w:rsid w:val="00BA2BCF"/>
    <w:rsid w:val="00BA2EFD"/>
    <w:rsid w:val="00BA2F65"/>
    <w:rsid w:val="00BA3663"/>
    <w:rsid w:val="00BA3AC8"/>
    <w:rsid w:val="00BA3B80"/>
    <w:rsid w:val="00BA3DF2"/>
    <w:rsid w:val="00BA427A"/>
    <w:rsid w:val="00BA4F2D"/>
    <w:rsid w:val="00BA503B"/>
    <w:rsid w:val="00BA5174"/>
    <w:rsid w:val="00BA5210"/>
    <w:rsid w:val="00BA5592"/>
    <w:rsid w:val="00BA5B14"/>
    <w:rsid w:val="00BA5B53"/>
    <w:rsid w:val="00BA60FF"/>
    <w:rsid w:val="00BA6684"/>
    <w:rsid w:val="00BA6AB9"/>
    <w:rsid w:val="00BA6D1B"/>
    <w:rsid w:val="00BA705E"/>
    <w:rsid w:val="00BA720E"/>
    <w:rsid w:val="00BA7395"/>
    <w:rsid w:val="00BA73B6"/>
    <w:rsid w:val="00BA7504"/>
    <w:rsid w:val="00BA7E27"/>
    <w:rsid w:val="00BB0005"/>
    <w:rsid w:val="00BB01DF"/>
    <w:rsid w:val="00BB0460"/>
    <w:rsid w:val="00BB05A6"/>
    <w:rsid w:val="00BB0888"/>
    <w:rsid w:val="00BB08D9"/>
    <w:rsid w:val="00BB0BDC"/>
    <w:rsid w:val="00BB1552"/>
    <w:rsid w:val="00BB17F5"/>
    <w:rsid w:val="00BB1F49"/>
    <w:rsid w:val="00BB24FE"/>
    <w:rsid w:val="00BB2603"/>
    <w:rsid w:val="00BB265A"/>
    <w:rsid w:val="00BB2FB3"/>
    <w:rsid w:val="00BB308D"/>
    <w:rsid w:val="00BB3981"/>
    <w:rsid w:val="00BB4495"/>
    <w:rsid w:val="00BB4802"/>
    <w:rsid w:val="00BB4FCD"/>
    <w:rsid w:val="00BB5353"/>
    <w:rsid w:val="00BB53FA"/>
    <w:rsid w:val="00BB5548"/>
    <w:rsid w:val="00BB63C3"/>
    <w:rsid w:val="00BB684D"/>
    <w:rsid w:val="00BB6E4A"/>
    <w:rsid w:val="00BB6EAD"/>
    <w:rsid w:val="00BB7013"/>
    <w:rsid w:val="00BB77D9"/>
    <w:rsid w:val="00BB7AA2"/>
    <w:rsid w:val="00BB7B90"/>
    <w:rsid w:val="00BC0209"/>
    <w:rsid w:val="00BC04E9"/>
    <w:rsid w:val="00BC093A"/>
    <w:rsid w:val="00BC0F69"/>
    <w:rsid w:val="00BC165F"/>
    <w:rsid w:val="00BC1664"/>
    <w:rsid w:val="00BC17F7"/>
    <w:rsid w:val="00BC2025"/>
    <w:rsid w:val="00BC220A"/>
    <w:rsid w:val="00BC2CDA"/>
    <w:rsid w:val="00BC37C1"/>
    <w:rsid w:val="00BC38E4"/>
    <w:rsid w:val="00BC3916"/>
    <w:rsid w:val="00BC5478"/>
    <w:rsid w:val="00BC63E0"/>
    <w:rsid w:val="00BC7FCD"/>
    <w:rsid w:val="00BD0279"/>
    <w:rsid w:val="00BD057F"/>
    <w:rsid w:val="00BD11E5"/>
    <w:rsid w:val="00BD1259"/>
    <w:rsid w:val="00BD13EA"/>
    <w:rsid w:val="00BD13F6"/>
    <w:rsid w:val="00BD15BD"/>
    <w:rsid w:val="00BD1657"/>
    <w:rsid w:val="00BD1839"/>
    <w:rsid w:val="00BD1A11"/>
    <w:rsid w:val="00BD1B4D"/>
    <w:rsid w:val="00BD1F71"/>
    <w:rsid w:val="00BD27C4"/>
    <w:rsid w:val="00BD3294"/>
    <w:rsid w:val="00BD32FB"/>
    <w:rsid w:val="00BD330B"/>
    <w:rsid w:val="00BD3674"/>
    <w:rsid w:val="00BD3A4B"/>
    <w:rsid w:val="00BD4111"/>
    <w:rsid w:val="00BD446F"/>
    <w:rsid w:val="00BD47C8"/>
    <w:rsid w:val="00BD4D6C"/>
    <w:rsid w:val="00BD5671"/>
    <w:rsid w:val="00BD5851"/>
    <w:rsid w:val="00BD62DF"/>
    <w:rsid w:val="00BD6602"/>
    <w:rsid w:val="00BD6792"/>
    <w:rsid w:val="00BD6832"/>
    <w:rsid w:val="00BD75DB"/>
    <w:rsid w:val="00BD75F6"/>
    <w:rsid w:val="00BD78CE"/>
    <w:rsid w:val="00BD7A26"/>
    <w:rsid w:val="00BD7BA6"/>
    <w:rsid w:val="00BE0343"/>
    <w:rsid w:val="00BE0A59"/>
    <w:rsid w:val="00BE0AE9"/>
    <w:rsid w:val="00BE0F95"/>
    <w:rsid w:val="00BE1640"/>
    <w:rsid w:val="00BE2E00"/>
    <w:rsid w:val="00BE37AE"/>
    <w:rsid w:val="00BE3808"/>
    <w:rsid w:val="00BE38D1"/>
    <w:rsid w:val="00BE3A5B"/>
    <w:rsid w:val="00BE3B7A"/>
    <w:rsid w:val="00BE4810"/>
    <w:rsid w:val="00BE4932"/>
    <w:rsid w:val="00BE4A09"/>
    <w:rsid w:val="00BE4A19"/>
    <w:rsid w:val="00BE4A6E"/>
    <w:rsid w:val="00BE4BBE"/>
    <w:rsid w:val="00BE571F"/>
    <w:rsid w:val="00BE627A"/>
    <w:rsid w:val="00BE6295"/>
    <w:rsid w:val="00BE746F"/>
    <w:rsid w:val="00BE74E3"/>
    <w:rsid w:val="00BE75FE"/>
    <w:rsid w:val="00BE77C5"/>
    <w:rsid w:val="00BE7C55"/>
    <w:rsid w:val="00BF07DF"/>
    <w:rsid w:val="00BF0D6F"/>
    <w:rsid w:val="00BF115D"/>
    <w:rsid w:val="00BF167E"/>
    <w:rsid w:val="00BF17EC"/>
    <w:rsid w:val="00BF1CB7"/>
    <w:rsid w:val="00BF27D2"/>
    <w:rsid w:val="00BF2B00"/>
    <w:rsid w:val="00BF2D51"/>
    <w:rsid w:val="00BF2EF6"/>
    <w:rsid w:val="00BF365C"/>
    <w:rsid w:val="00BF3972"/>
    <w:rsid w:val="00BF3BD0"/>
    <w:rsid w:val="00BF3E62"/>
    <w:rsid w:val="00BF409B"/>
    <w:rsid w:val="00BF4140"/>
    <w:rsid w:val="00BF43C7"/>
    <w:rsid w:val="00BF47AE"/>
    <w:rsid w:val="00BF4978"/>
    <w:rsid w:val="00BF4D0E"/>
    <w:rsid w:val="00BF4DB2"/>
    <w:rsid w:val="00BF4FDD"/>
    <w:rsid w:val="00BF6389"/>
    <w:rsid w:val="00BF65F4"/>
    <w:rsid w:val="00BF7972"/>
    <w:rsid w:val="00C00849"/>
    <w:rsid w:val="00C00A26"/>
    <w:rsid w:val="00C0121E"/>
    <w:rsid w:val="00C01A25"/>
    <w:rsid w:val="00C01AC9"/>
    <w:rsid w:val="00C03B88"/>
    <w:rsid w:val="00C03BFA"/>
    <w:rsid w:val="00C04060"/>
    <w:rsid w:val="00C040A2"/>
    <w:rsid w:val="00C04866"/>
    <w:rsid w:val="00C04B66"/>
    <w:rsid w:val="00C04F04"/>
    <w:rsid w:val="00C0557D"/>
    <w:rsid w:val="00C059DB"/>
    <w:rsid w:val="00C061E0"/>
    <w:rsid w:val="00C062E9"/>
    <w:rsid w:val="00C064DA"/>
    <w:rsid w:val="00C06739"/>
    <w:rsid w:val="00C06967"/>
    <w:rsid w:val="00C069AA"/>
    <w:rsid w:val="00C06D95"/>
    <w:rsid w:val="00C06E2B"/>
    <w:rsid w:val="00C06EF3"/>
    <w:rsid w:val="00C0750B"/>
    <w:rsid w:val="00C076EB"/>
    <w:rsid w:val="00C07889"/>
    <w:rsid w:val="00C079F2"/>
    <w:rsid w:val="00C07B64"/>
    <w:rsid w:val="00C07D60"/>
    <w:rsid w:val="00C1114F"/>
    <w:rsid w:val="00C112BF"/>
    <w:rsid w:val="00C112E3"/>
    <w:rsid w:val="00C11894"/>
    <w:rsid w:val="00C125CC"/>
    <w:rsid w:val="00C1270F"/>
    <w:rsid w:val="00C128E2"/>
    <w:rsid w:val="00C12914"/>
    <w:rsid w:val="00C13721"/>
    <w:rsid w:val="00C14175"/>
    <w:rsid w:val="00C14EB9"/>
    <w:rsid w:val="00C14FE4"/>
    <w:rsid w:val="00C155AA"/>
    <w:rsid w:val="00C15A6A"/>
    <w:rsid w:val="00C15F55"/>
    <w:rsid w:val="00C162CD"/>
    <w:rsid w:val="00C16A46"/>
    <w:rsid w:val="00C16B84"/>
    <w:rsid w:val="00C16F31"/>
    <w:rsid w:val="00C16FAA"/>
    <w:rsid w:val="00C17037"/>
    <w:rsid w:val="00C17E6C"/>
    <w:rsid w:val="00C20581"/>
    <w:rsid w:val="00C20670"/>
    <w:rsid w:val="00C20CC4"/>
    <w:rsid w:val="00C20EFA"/>
    <w:rsid w:val="00C2146E"/>
    <w:rsid w:val="00C21E7D"/>
    <w:rsid w:val="00C21FD7"/>
    <w:rsid w:val="00C22CD3"/>
    <w:rsid w:val="00C22DF8"/>
    <w:rsid w:val="00C22FA0"/>
    <w:rsid w:val="00C2325A"/>
    <w:rsid w:val="00C232AD"/>
    <w:rsid w:val="00C23D8B"/>
    <w:rsid w:val="00C24842"/>
    <w:rsid w:val="00C24AA6"/>
    <w:rsid w:val="00C250AF"/>
    <w:rsid w:val="00C2533A"/>
    <w:rsid w:val="00C253F6"/>
    <w:rsid w:val="00C25535"/>
    <w:rsid w:val="00C2598F"/>
    <w:rsid w:val="00C25CCD"/>
    <w:rsid w:val="00C260A9"/>
    <w:rsid w:val="00C26617"/>
    <w:rsid w:val="00C27701"/>
    <w:rsid w:val="00C27809"/>
    <w:rsid w:val="00C30374"/>
    <w:rsid w:val="00C304C7"/>
    <w:rsid w:val="00C3066D"/>
    <w:rsid w:val="00C3092A"/>
    <w:rsid w:val="00C30DC5"/>
    <w:rsid w:val="00C31759"/>
    <w:rsid w:val="00C317AD"/>
    <w:rsid w:val="00C31880"/>
    <w:rsid w:val="00C31CDA"/>
    <w:rsid w:val="00C31D23"/>
    <w:rsid w:val="00C323A8"/>
    <w:rsid w:val="00C33016"/>
    <w:rsid w:val="00C33651"/>
    <w:rsid w:val="00C338A5"/>
    <w:rsid w:val="00C34158"/>
    <w:rsid w:val="00C3490E"/>
    <w:rsid w:val="00C35383"/>
    <w:rsid w:val="00C36426"/>
    <w:rsid w:val="00C36542"/>
    <w:rsid w:val="00C366FB"/>
    <w:rsid w:val="00C366FD"/>
    <w:rsid w:val="00C36CD0"/>
    <w:rsid w:val="00C36F4D"/>
    <w:rsid w:val="00C3785C"/>
    <w:rsid w:val="00C37E65"/>
    <w:rsid w:val="00C4090C"/>
    <w:rsid w:val="00C409B5"/>
    <w:rsid w:val="00C409E6"/>
    <w:rsid w:val="00C40BB3"/>
    <w:rsid w:val="00C40C4D"/>
    <w:rsid w:val="00C41555"/>
    <w:rsid w:val="00C41A6D"/>
    <w:rsid w:val="00C41C6E"/>
    <w:rsid w:val="00C434B5"/>
    <w:rsid w:val="00C43534"/>
    <w:rsid w:val="00C436C3"/>
    <w:rsid w:val="00C43AEC"/>
    <w:rsid w:val="00C43FF2"/>
    <w:rsid w:val="00C44FEE"/>
    <w:rsid w:val="00C45657"/>
    <w:rsid w:val="00C456C9"/>
    <w:rsid w:val="00C45846"/>
    <w:rsid w:val="00C4584F"/>
    <w:rsid w:val="00C45A2F"/>
    <w:rsid w:val="00C45AEE"/>
    <w:rsid w:val="00C46429"/>
    <w:rsid w:val="00C464F4"/>
    <w:rsid w:val="00C47003"/>
    <w:rsid w:val="00C470FA"/>
    <w:rsid w:val="00C4762D"/>
    <w:rsid w:val="00C47BA5"/>
    <w:rsid w:val="00C51289"/>
    <w:rsid w:val="00C51385"/>
    <w:rsid w:val="00C51447"/>
    <w:rsid w:val="00C514CF"/>
    <w:rsid w:val="00C5155D"/>
    <w:rsid w:val="00C51E96"/>
    <w:rsid w:val="00C51F27"/>
    <w:rsid w:val="00C523E0"/>
    <w:rsid w:val="00C52416"/>
    <w:rsid w:val="00C52571"/>
    <w:rsid w:val="00C525A9"/>
    <w:rsid w:val="00C527F5"/>
    <w:rsid w:val="00C529B9"/>
    <w:rsid w:val="00C52A63"/>
    <w:rsid w:val="00C53E12"/>
    <w:rsid w:val="00C543A6"/>
    <w:rsid w:val="00C543F4"/>
    <w:rsid w:val="00C551D5"/>
    <w:rsid w:val="00C55920"/>
    <w:rsid w:val="00C55ECB"/>
    <w:rsid w:val="00C5642F"/>
    <w:rsid w:val="00C57285"/>
    <w:rsid w:val="00C578C7"/>
    <w:rsid w:val="00C57BE5"/>
    <w:rsid w:val="00C57CE1"/>
    <w:rsid w:val="00C60701"/>
    <w:rsid w:val="00C607B4"/>
    <w:rsid w:val="00C60C16"/>
    <w:rsid w:val="00C60D41"/>
    <w:rsid w:val="00C614DD"/>
    <w:rsid w:val="00C6160E"/>
    <w:rsid w:val="00C61A7D"/>
    <w:rsid w:val="00C61FCF"/>
    <w:rsid w:val="00C6221C"/>
    <w:rsid w:val="00C62671"/>
    <w:rsid w:val="00C626A6"/>
    <w:rsid w:val="00C6291C"/>
    <w:rsid w:val="00C62C41"/>
    <w:rsid w:val="00C633CB"/>
    <w:rsid w:val="00C63426"/>
    <w:rsid w:val="00C637E1"/>
    <w:rsid w:val="00C63B9E"/>
    <w:rsid w:val="00C63FB4"/>
    <w:rsid w:val="00C644EA"/>
    <w:rsid w:val="00C65640"/>
    <w:rsid w:val="00C657CF"/>
    <w:rsid w:val="00C65C06"/>
    <w:rsid w:val="00C664CD"/>
    <w:rsid w:val="00C6675C"/>
    <w:rsid w:val="00C66AC5"/>
    <w:rsid w:val="00C66DA9"/>
    <w:rsid w:val="00C67163"/>
    <w:rsid w:val="00C67650"/>
    <w:rsid w:val="00C67E5D"/>
    <w:rsid w:val="00C70A22"/>
    <w:rsid w:val="00C70F01"/>
    <w:rsid w:val="00C7156B"/>
    <w:rsid w:val="00C7199A"/>
    <w:rsid w:val="00C71B35"/>
    <w:rsid w:val="00C71EC6"/>
    <w:rsid w:val="00C722B0"/>
    <w:rsid w:val="00C722C3"/>
    <w:rsid w:val="00C7247A"/>
    <w:rsid w:val="00C72597"/>
    <w:rsid w:val="00C727C9"/>
    <w:rsid w:val="00C72882"/>
    <w:rsid w:val="00C72C03"/>
    <w:rsid w:val="00C72D33"/>
    <w:rsid w:val="00C72F3E"/>
    <w:rsid w:val="00C73586"/>
    <w:rsid w:val="00C736B7"/>
    <w:rsid w:val="00C7399C"/>
    <w:rsid w:val="00C73CD2"/>
    <w:rsid w:val="00C7452F"/>
    <w:rsid w:val="00C7460C"/>
    <w:rsid w:val="00C74BC1"/>
    <w:rsid w:val="00C74F0C"/>
    <w:rsid w:val="00C753D4"/>
    <w:rsid w:val="00C7562A"/>
    <w:rsid w:val="00C75766"/>
    <w:rsid w:val="00C75F3B"/>
    <w:rsid w:val="00C7704A"/>
    <w:rsid w:val="00C774E1"/>
    <w:rsid w:val="00C779BA"/>
    <w:rsid w:val="00C77B08"/>
    <w:rsid w:val="00C8041C"/>
    <w:rsid w:val="00C8066C"/>
    <w:rsid w:val="00C814E7"/>
    <w:rsid w:val="00C81B39"/>
    <w:rsid w:val="00C81BC1"/>
    <w:rsid w:val="00C81BF9"/>
    <w:rsid w:val="00C81D4A"/>
    <w:rsid w:val="00C82009"/>
    <w:rsid w:val="00C8224F"/>
    <w:rsid w:val="00C82DDF"/>
    <w:rsid w:val="00C82EDE"/>
    <w:rsid w:val="00C82F6A"/>
    <w:rsid w:val="00C83787"/>
    <w:rsid w:val="00C83F38"/>
    <w:rsid w:val="00C84513"/>
    <w:rsid w:val="00C850D5"/>
    <w:rsid w:val="00C85205"/>
    <w:rsid w:val="00C85BAF"/>
    <w:rsid w:val="00C85C5B"/>
    <w:rsid w:val="00C85D61"/>
    <w:rsid w:val="00C86FA2"/>
    <w:rsid w:val="00C8747F"/>
    <w:rsid w:val="00C8762C"/>
    <w:rsid w:val="00C87789"/>
    <w:rsid w:val="00C87E04"/>
    <w:rsid w:val="00C9051D"/>
    <w:rsid w:val="00C9099D"/>
    <w:rsid w:val="00C90F50"/>
    <w:rsid w:val="00C915FD"/>
    <w:rsid w:val="00C92FBD"/>
    <w:rsid w:val="00C944F6"/>
    <w:rsid w:val="00C949E5"/>
    <w:rsid w:val="00C94EEB"/>
    <w:rsid w:val="00C96AE9"/>
    <w:rsid w:val="00C96D39"/>
    <w:rsid w:val="00C9737D"/>
    <w:rsid w:val="00C97392"/>
    <w:rsid w:val="00C9770F"/>
    <w:rsid w:val="00C97710"/>
    <w:rsid w:val="00CA00F9"/>
    <w:rsid w:val="00CA0522"/>
    <w:rsid w:val="00CA084D"/>
    <w:rsid w:val="00CA2961"/>
    <w:rsid w:val="00CA3054"/>
    <w:rsid w:val="00CA3292"/>
    <w:rsid w:val="00CA375E"/>
    <w:rsid w:val="00CA3B54"/>
    <w:rsid w:val="00CA3D4F"/>
    <w:rsid w:val="00CA46A1"/>
    <w:rsid w:val="00CA46F0"/>
    <w:rsid w:val="00CA4740"/>
    <w:rsid w:val="00CA4800"/>
    <w:rsid w:val="00CA4AF3"/>
    <w:rsid w:val="00CA4B5C"/>
    <w:rsid w:val="00CA4B8B"/>
    <w:rsid w:val="00CA50C9"/>
    <w:rsid w:val="00CA50CB"/>
    <w:rsid w:val="00CA595D"/>
    <w:rsid w:val="00CA6258"/>
    <w:rsid w:val="00CA658C"/>
    <w:rsid w:val="00CB0011"/>
    <w:rsid w:val="00CB0166"/>
    <w:rsid w:val="00CB0463"/>
    <w:rsid w:val="00CB0E54"/>
    <w:rsid w:val="00CB1059"/>
    <w:rsid w:val="00CB13A9"/>
    <w:rsid w:val="00CB1E4C"/>
    <w:rsid w:val="00CB294A"/>
    <w:rsid w:val="00CB2C5C"/>
    <w:rsid w:val="00CB3264"/>
    <w:rsid w:val="00CB3A0C"/>
    <w:rsid w:val="00CB4D19"/>
    <w:rsid w:val="00CB50D7"/>
    <w:rsid w:val="00CB5B5A"/>
    <w:rsid w:val="00CB5CA2"/>
    <w:rsid w:val="00CB60A8"/>
    <w:rsid w:val="00CB60DE"/>
    <w:rsid w:val="00CB6C4D"/>
    <w:rsid w:val="00CB6F7E"/>
    <w:rsid w:val="00CB7177"/>
    <w:rsid w:val="00CB7540"/>
    <w:rsid w:val="00CB7CED"/>
    <w:rsid w:val="00CB7E77"/>
    <w:rsid w:val="00CB7F3C"/>
    <w:rsid w:val="00CC00B4"/>
    <w:rsid w:val="00CC010B"/>
    <w:rsid w:val="00CC0127"/>
    <w:rsid w:val="00CC070F"/>
    <w:rsid w:val="00CC1306"/>
    <w:rsid w:val="00CC1998"/>
    <w:rsid w:val="00CC1D08"/>
    <w:rsid w:val="00CC20C2"/>
    <w:rsid w:val="00CC2B84"/>
    <w:rsid w:val="00CC2F94"/>
    <w:rsid w:val="00CC3954"/>
    <w:rsid w:val="00CC39CC"/>
    <w:rsid w:val="00CC487F"/>
    <w:rsid w:val="00CC4946"/>
    <w:rsid w:val="00CC5D4E"/>
    <w:rsid w:val="00CC5E4A"/>
    <w:rsid w:val="00CC5ED2"/>
    <w:rsid w:val="00CC64A1"/>
    <w:rsid w:val="00CC650C"/>
    <w:rsid w:val="00CC6699"/>
    <w:rsid w:val="00CC71BB"/>
    <w:rsid w:val="00CC7656"/>
    <w:rsid w:val="00CC7E15"/>
    <w:rsid w:val="00CD062D"/>
    <w:rsid w:val="00CD0CFA"/>
    <w:rsid w:val="00CD124C"/>
    <w:rsid w:val="00CD145B"/>
    <w:rsid w:val="00CD1AF5"/>
    <w:rsid w:val="00CD1B29"/>
    <w:rsid w:val="00CD1B3B"/>
    <w:rsid w:val="00CD2123"/>
    <w:rsid w:val="00CD2135"/>
    <w:rsid w:val="00CD2868"/>
    <w:rsid w:val="00CD2D63"/>
    <w:rsid w:val="00CD326B"/>
    <w:rsid w:val="00CD33EA"/>
    <w:rsid w:val="00CD4255"/>
    <w:rsid w:val="00CD440C"/>
    <w:rsid w:val="00CD4A35"/>
    <w:rsid w:val="00CD4C3A"/>
    <w:rsid w:val="00CD5273"/>
    <w:rsid w:val="00CD584B"/>
    <w:rsid w:val="00CD5A9C"/>
    <w:rsid w:val="00CD5C5C"/>
    <w:rsid w:val="00CD5EA4"/>
    <w:rsid w:val="00CD69A1"/>
    <w:rsid w:val="00CD6ACD"/>
    <w:rsid w:val="00CD6CAC"/>
    <w:rsid w:val="00CD737F"/>
    <w:rsid w:val="00CD77CB"/>
    <w:rsid w:val="00CD7E5B"/>
    <w:rsid w:val="00CD7F19"/>
    <w:rsid w:val="00CE01F3"/>
    <w:rsid w:val="00CE1631"/>
    <w:rsid w:val="00CE2019"/>
    <w:rsid w:val="00CE207C"/>
    <w:rsid w:val="00CE2724"/>
    <w:rsid w:val="00CE31A9"/>
    <w:rsid w:val="00CE31CB"/>
    <w:rsid w:val="00CE3D3F"/>
    <w:rsid w:val="00CE4159"/>
    <w:rsid w:val="00CE4A7A"/>
    <w:rsid w:val="00CE5043"/>
    <w:rsid w:val="00CE52B2"/>
    <w:rsid w:val="00CE55C0"/>
    <w:rsid w:val="00CE5A51"/>
    <w:rsid w:val="00CE6080"/>
    <w:rsid w:val="00CE6160"/>
    <w:rsid w:val="00CE69F3"/>
    <w:rsid w:val="00CE6B65"/>
    <w:rsid w:val="00CE6C83"/>
    <w:rsid w:val="00CE72FA"/>
    <w:rsid w:val="00CE7446"/>
    <w:rsid w:val="00CE780B"/>
    <w:rsid w:val="00CE7B81"/>
    <w:rsid w:val="00CE7F6F"/>
    <w:rsid w:val="00CF011D"/>
    <w:rsid w:val="00CF0DF2"/>
    <w:rsid w:val="00CF0EBE"/>
    <w:rsid w:val="00CF0F3B"/>
    <w:rsid w:val="00CF1DF6"/>
    <w:rsid w:val="00CF20E4"/>
    <w:rsid w:val="00CF2247"/>
    <w:rsid w:val="00CF297B"/>
    <w:rsid w:val="00CF366F"/>
    <w:rsid w:val="00CF3B11"/>
    <w:rsid w:val="00CF3D1E"/>
    <w:rsid w:val="00CF41EE"/>
    <w:rsid w:val="00CF44C1"/>
    <w:rsid w:val="00CF4654"/>
    <w:rsid w:val="00CF476B"/>
    <w:rsid w:val="00CF47F6"/>
    <w:rsid w:val="00CF4F62"/>
    <w:rsid w:val="00CF5146"/>
    <w:rsid w:val="00CF5795"/>
    <w:rsid w:val="00CF5824"/>
    <w:rsid w:val="00CF599A"/>
    <w:rsid w:val="00CF5A45"/>
    <w:rsid w:val="00CF5F98"/>
    <w:rsid w:val="00CF5FB0"/>
    <w:rsid w:val="00CF61B0"/>
    <w:rsid w:val="00CF6608"/>
    <w:rsid w:val="00CF6641"/>
    <w:rsid w:val="00CF7169"/>
    <w:rsid w:val="00CF756C"/>
    <w:rsid w:val="00CF7E80"/>
    <w:rsid w:val="00D00841"/>
    <w:rsid w:val="00D00AB5"/>
    <w:rsid w:val="00D01C8E"/>
    <w:rsid w:val="00D01EDC"/>
    <w:rsid w:val="00D02356"/>
    <w:rsid w:val="00D023B6"/>
    <w:rsid w:val="00D027DA"/>
    <w:rsid w:val="00D02B0E"/>
    <w:rsid w:val="00D0333C"/>
    <w:rsid w:val="00D0391D"/>
    <w:rsid w:val="00D03AC5"/>
    <w:rsid w:val="00D03C99"/>
    <w:rsid w:val="00D04CA8"/>
    <w:rsid w:val="00D04DBF"/>
    <w:rsid w:val="00D0500B"/>
    <w:rsid w:val="00D05064"/>
    <w:rsid w:val="00D050D4"/>
    <w:rsid w:val="00D05AAD"/>
    <w:rsid w:val="00D0630B"/>
    <w:rsid w:val="00D06348"/>
    <w:rsid w:val="00D06991"/>
    <w:rsid w:val="00D069F7"/>
    <w:rsid w:val="00D06AB3"/>
    <w:rsid w:val="00D10064"/>
    <w:rsid w:val="00D106B8"/>
    <w:rsid w:val="00D10E4C"/>
    <w:rsid w:val="00D1111D"/>
    <w:rsid w:val="00D116CD"/>
    <w:rsid w:val="00D1183A"/>
    <w:rsid w:val="00D1356A"/>
    <w:rsid w:val="00D13B4A"/>
    <w:rsid w:val="00D13BF4"/>
    <w:rsid w:val="00D14356"/>
    <w:rsid w:val="00D14810"/>
    <w:rsid w:val="00D14A3D"/>
    <w:rsid w:val="00D1505C"/>
    <w:rsid w:val="00D152AF"/>
    <w:rsid w:val="00D152B7"/>
    <w:rsid w:val="00D1598C"/>
    <w:rsid w:val="00D15A93"/>
    <w:rsid w:val="00D15BA5"/>
    <w:rsid w:val="00D172B0"/>
    <w:rsid w:val="00D174FB"/>
    <w:rsid w:val="00D1755A"/>
    <w:rsid w:val="00D17B87"/>
    <w:rsid w:val="00D17E14"/>
    <w:rsid w:val="00D17E50"/>
    <w:rsid w:val="00D20808"/>
    <w:rsid w:val="00D20B87"/>
    <w:rsid w:val="00D20D3D"/>
    <w:rsid w:val="00D21274"/>
    <w:rsid w:val="00D212C8"/>
    <w:rsid w:val="00D216D8"/>
    <w:rsid w:val="00D22465"/>
    <w:rsid w:val="00D22AC0"/>
    <w:rsid w:val="00D22E11"/>
    <w:rsid w:val="00D23CFA"/>
    <w:rsid w:val="00D23E9C"/>
    <w:rsid w:val="00D2461C"/>
    <w:rsid w:val="00D24964"/>
    <w:rsid w:val="00D2498E"/>
    <w:rsid w:val="00D25B4B"/>
    <w:rsid w:val="00D265A1"/>
    <w:rsid w:val="00D266D9"/>
    <w:rsid w:val="00D270A4"/>
    <w:rsid w:val="00D27247"/>
    <w:rsid w:val="00D27280"/>
    <w:rsid w:val="00D2728A"/>
    <w:rsid w:val="00D27DA2"/>
    <w:rsid w:val="00D306CD"/>
    <w:rsid w:val="00D308C7"/>
    <w:rsid w:val="00D30F37"/>
    <w:rsid w:val="00D31010"/>
    <w:rsid w:val="00D317BB"/>
    <w:rsid w:val="00D31FE9"/>
    <w:rsid w:val="00D32582"/>
    <w:rsid w:val="00D32605"/>
    <w:rsid w:val="00D326BE"/>
    <w:rsid w:val="00D32743"/>
    <w:rsid w:val="00D329A5"/>
    <w:rsid w:val="00D32A7A"/>
    <w:rsid w:val="00D32D76"/>
    <w:rsid w:val="00D34486"/>
    <w:rsid w:val="00D34789"/>
    <w:rsid w:val="00D34E1B"/>
    <w:rsid w:val="00D358E1"/>
    <w:rsid w:val="00D35A11"/>
    <w:rsid w:val="00D35B4F"/>
    <w:rsid w:val="00D35BA0"/>
    <w:rsid w:val="00D35C79"/>
    <w:rsid w:val="00D36A5F"/>
    <w:rsid w:val="00D36BB3"/>
    <w:rsid w:val="00D371A3"/>
    <w:rsid w:val="00D3734B"/>
    <w:rsid w:val="00D376BA"/>
    <w:rsid w:val="00D40531"/>
    <w:rsid w:val="00D4171B"/>
    <w:rsid w:val="00D41AEA"/>
    <w:rsid w:val="00D4276B"/>
    <w:rsid w:val="00D4280C"/>
    <w:rsid w:val="00D42998"/>
    <w:rsid w:val="00D429DD"/>
    <w:rsid w:val="00D434A0"/>
    <w:rsid w:val="00D435A7"/>
    <w:rsid w:val="00D43957"/>
    <w:rsid w:val="00D44992"/>
    <w:rsid w:val="00D45384"/>
    <w:rsid w:val="00D455B7"/>
    <w:rsid w:val="00D45634"/>
    <w:rsid w:val="00D45758"/>
    <w:rsid w:val="00D45CA8"/>
    <w:rsid w:val="00D46195"/>
    <w:rsid w:val="00D462A3"/>
    <w:rsid w:val="00D46C3C"/>
    <w:rsid w:val="00D4732A"/>
    <w:rsid w:val="00D47479"/>
    <w:rsid w:val="00D47F2C"/>
    <w:rsid w:val="00D50496"/>
    <w:rsid w:val="00D50FCE"/>
    <w:rsid w:val="00D5135B"/>
    <w:rsid w:val="00D51D14"/>
    <w:rsid w:val="00D52874"/>
    <w:rsid w:val="00D52BB3"/>
    <w:rsid w:val="00D52F7C"/>
    <w:rsid w:val="00D53D67"/>
    <w:rsid w:val="00D55123"/>
    <w:rsid w:val="00D55348"/>
    <w:rsid w:val="00D5542D"/>
    <w:rsid w:val="00D5568A"/>
    <w:rsid w:val="00D55868"/>
    <w:rsid w:val="00D55912"/>
    <w:rsid w:val="00D55A3A"/>
    <w:rsid w:val="00D561CF"/>
    <w:rsid w:val="00D56323"/>
    <w:rsid w:val="00D5646B"/>
    <w:rsid w:val="00D5656D"/>
    <w:rsid w:val="00D5699A"/>
    <w:rsid w:val="00D57354"/>
    <w:rsid w:val="00D5744A"/>
    <w:rsid w:val="00D5754B"/>
    <w:rsid w:val="00D577D1"/>
    <w:rsid w:val="00D606B4"/>
    <w:rsid w:val="00D60BBA"/>
    <w:rsid w:val="00D62EDF"/>
    <w:rsid w:val="00D633BF"/>
    <w:rsid w:val="00D63B52"/>
    <w:rsid w:val="00D63D73"/>
    <w:rsid w:val="00D64307"/>
    <w:rsid w:val="00D64346"/>
    <w:rsid w:val="00D64452"/>
    <w:rsid w:val="00D64A23"/>
    <w:rsid w:val="00D64BF7"/>
    <w:rsid w:val="00D64E60"/>
    <w:rsid w:val="00D65919"/>
    <w:rsid w:val="00D6599B"/>
    <w:rsid w:val="00D66C35"/>
    <w:rsid w:val="00D66CD4"/>
    <w:rsid w:val="00D66E1E"/>
    <w:rsid w:val="00D67037"/>
    <w:rsid w:val="00D67A83"/>
    <w:rsid w:val="00D67EEF"/>
    <w:rsid w:val="00D702F4"/>
    <w:rsid w:val="00D7065F"/>
    <w:rsid w:val="00D70696"/>
    <w:rsid w:val="00D70816"/>
    <w:rsid w:val="00D70854"/>
    <w:rsid w:val="00D7103F"/>
    <w:rsid w:val="00D71B54"/>
    <w:rsid w:val="00D72125"/>
    <w:rsid w:val="00D723D0"/>
    <w:rsid w:val="00D73EA3"/>
    <w:rsid w:val="00D7423F"/>
    <w:rsid w:val="00D74A30"/>
    <w:rsid w:val="00D755C6"/>
    <w:rsid w:val="00D75722"/>
    <w:rsid w:val="00D759B7"/>
    <w:rsid w:val="00D75DF5"/>
    <w:rsid w:val="00D7629D"/>
    <w:rsid w:val="00D76638"/>
    <w:rsid w:val="00D7703C"/>
    <w:rsid w:val="00D77398"/>
    <w:rsid w:val="00D80C2A"/>
    <w:rsid w:val="00D80CF5"/>
    <w:rsid w:val="00D811B2"/>
    <w:rsid w:val="00D8141E"/>
    <w:rsid w:val="00D81CB3"/>
    <w:rsid w:val="00D821D8"/>
    <w:rsid w:val="00D8250B"/>
    <w:rsid w:val="00D8257F"/>
    <w:rsid w:val="00D82918"/>
    <w:rsid w:val="00D8341B"/>
    <w:rsid w:val="00D83A52"/>
    <w:rsid w:val="00D85A44"/>
    <w:rsid w:val="00D85B81"/>
    <w:rsid w:val="00D86730"/>
    <w:rsid w:val="00D86A05"/>
    <w:rsid w:val="00D86A2D"/>
    <w:rsid w:val="00D86D30"/>
    <w:rsid w:val="00D87315"/>
    <w:rsid w:val="00D8761E"/>
    <w:rsid w:val="00D902EE"/>
    <w:rsid w:val="00D902FB"/>
    <w:rsid w:val="00D90EFE"/>
    <w:rsid w:val="00D90FA5"/>
    <w:rsid w:val="00D9261E"/>
    <w:rsid w:val="00D928D2"/>
    <w:rsid w:val="00D92B24"/>
    <w:rsid w:val="00D92D7B"/>
    <w:rsid w:val="00D93164"/>
    <w:rsid w:val="00D93766"/>
    <w:rsid w:val="00D93827"/>
    <w:rsid w:val="00D942F4"/>
    <w:rsid w:val="00D94B10"/>
    <w:rsid w:val="00D94EF3"/>
    <w:rsid w:val="00D95552"/>
    <w:rsid w:val="00DA05AD"/>
    <w:rsid w:val="00DA0EC5"/>
    <w:rsid w:val="00DA0F5C"/>
    <w:rsid w:val="00DA1395"/>
    <w:rsid w:val="00DA17EB"/>
    <w:rsid w:val="00DA195A"/>
    <w:rsid w:val="00DA1B8B"/>
    <w:rsid w:val="00DA20F5"/>
    <w:rsid w:val="00DA27A2"/>
    <w:rsid w:val="00DA2C84"/>
    <w:rsid w:val="00DA30AE"/>
    <w:rsid w:val="00DA3175"/>
    <w:rsid w:val="00DA32EE"/>
    <w:rsid w:val="00DA37D9"/>
    <w:rsid w:val="00DA4155"/>
    <w:rsid w:val="00DA4250"/>
    <w:rsid w:val="00DA42D1"/>
    <w:rsid w:val="00DA4435"/>
    <w:rsid w:val="00DA4452"/>
    <w:rsid w:val="00DA4629"/>
    <w:rsid w:val="00DA48E4"/>
    <w:rsid w:val="00DA4921"/>
    <w:rsid w:val="00DA4F5D"/>
    <w:rsid w:val="00DA52D7"/>
    <w:rsid w:val="00DA5389"/>
    <w:rsid w:val="00DA566F"/>
    <w:rsid w:val="00DA5BBA"/>
    <w:rsid w:val="00DA5E15"/>
    <w:rsid w:val="00DA6453"/>
    <w:rsid w:val="00DA658F"/>
    <w:rsid w:val="00DA6B77"/>
    <w:rsid w:val="00DA72FA"/>
    <w:rsid w:val="00DA76BA"/>
    <w:rsid w:val="00DA79AB"/>
    <w:rsid w:val="00DA7CE5"/>
    <w:rsid w:val="00DA7CEC"/>
    <w:rsid w:val="00DA7D77"/>
    <w:rsid w:val="00DA7DAA"/>
    <w:rsid w:val="00DB02DF"/>
    <w:rsid w:val="00DB0D22"/>
    <w:rsid w:val="00DB1604"/>
    <w:rsid w:val="00DB1B86"/>
    <w:rsid w:val="00DB2636"/>
    <w:rsid w:val="00DB26D2"/>
    <w:rsid w:val="00DB2965"/>
    <w:rsid w:val="00DB2BA2"/>
    <w:rsid w:val="00DB2FB4"/>
    <w:rsid w:val="00DB3CDC"/>
    <w:rsid w:val="00DB5A57"/>
    <w:rsid w:val="00DB5AC2"/>
    <w:rsid w:val="00DB648B"/>
    <w:rsid w:val="00DB67AA"/>
    <w:rsid w:val="00DB67C9"/>
    <w:rsid w:val="00DB6B58"/>
    <w:rsid w:val="00DB6F35"/>
    <w:rsid w:val="00DB6F94"/>
    <w:rsid w:val="00DB7765"/>
    <w:rsid w:val="00DB78E0"/>
    <w:rsid w:val="00DB7C56"/>
    <w:rsid w:val="00DB7DFF"/>
    <w:rsid w:val="00DB7E5B"/>
    <w:rsid w:val="00DC0223"/>
    <w:rsid w:val="00DC084D"/>
    <w:rsid w:val="00DC09DA"/>
    <w:rsid w:val="00DC0AD8"/>
    <w:rsid w:val="00DC0C95"/>
    <w:rsid w:val="00DC136C"/>
    <w:rsid w:val="00DC14CA"/>
    <w:rsid w:val="00DC16C0"/>
    <w:rsid w:val="00DC173E"/>
    <w:rsid w:val="00DC1F4F"/>
    <w:rsid w:val="00DC2143"/>
    <w:rsid w:val="00DC2269"/>
    <w:rsid w:val="00DC28DC"/>
    <w:rsid w:val="00DC2C05"/>
    <w:rsid w:val="00DC313E"/>
    <w:rsid w:val="00DC3374"/>
    <w:rsid w:val="00DC3B35"/>
    <w:rsid w:val="00DC4B02"/>
    <w:rsid w:val="00DC4F0B"/>
    <w:rsid w:val="00DC53C5"/>
    <w:rsid w:val="00DC5543"/>
    <w:rsid w:val="00DC554F"/>
    <w:rsid w:val="00DC5E36"/>
    <w:rsid w:val="00DC5E7F"/>
    <w:rsid w:val="00DC617C"/>
    <w:rsid w:val="00DC6B89"/>
    <w:rsid w:val="00DC6D88"/>
    <w:rsid w:val="00DC6E27"/>
    <w:rsid w:val="00DC6FAF"/>
    <w:rsid w:val="00DC70AF"/>
    <w:rsid w:val="00DC7146"/>
    <w:rsid w:val="00DD005D"/>
    <w:rsid w:val="00DD01F2"/>
    <w:rsid w:val="00DD0B7A"/>
    <w:rsid w:val="00DD0E88"/>
    <w:rsid w:val="00DD1DF1"/>
    <w:rsid w:val="00DD219C"/>
    <w:rsid w:val="00DD2499"/>
    <w:rsid w:val="00DD29F7"/>
    <w:rsid w:val="00DD2A75"/>
    <w:rsid w:val="00DD2FA7"/>
    <w:rsid w:val="00DD3066"/>
    <w:rsid w:val="00DD3EA5"/>
    <w:rsid w:val="00DD469E"/>
    <w:rsid w:val="00DD46DD"/>
    <w:rsid w:val="00DD50A7"/>
    <w:rsid w:val="00DD5777"/>
    <w:rsid w:val="00DD5B95"/>
    <w:rsid w:val="00DD5C3A"/>
    <w:rsid w:val="00DD62EE"/>
    <w:rsid w:val="00DD6580"/>
    <w:rsid w:val="00DD6AF0"/>
    <w:rsid w:val="00DD739E"/>
    <w:rsid w:val="00DD741E"/>
    <w:rsid w:val="00DD7CA1"/>
    <w:rsid w:val="00DE02E8"/>
    <w:rsid w:val="00DE09A0"/>
    <w:rsid w:val="00DE0B45"/>
    <w:rsid w:val="00DE0CF1"/>
    <w:rsid w:val="00DE1C2B"/>
    <w:rsid w:val="00DE2235"/>
    <w:rsid w:val="00DE26F7"/>
    <w:rsid w:val="00DE2778"/>
    <w:rsid w:val="00DE2F25"/>
    <w:rsid w:val="00DE407D"/>
    <w:rsid w:val="00DE40CB"/>
    <w:rsid w:val="00DE41A0"/>
    <w:rsid w:val="00DE45D3"/>
    <w:rsid w:val="00DE4CD0"/>
    <w:rsid w:val="00DE5595"/>
    <w:rsid w:val="00DE55CA"/>
    <w:rsid w:val="00DE55CB"/>
    <w:rsid w:val="00DE5CC2"/>
    <w:rsid w:val="00DE60EA"/>
    <w:rsid w:val="00DE6341"/>
    <w:rsid w:val="00DE63FF"/>
    <w:rsid w:val="00DE656A"/>
    <w:rsid w:val="00DE6782"/>
    <w:rsid w:val="00DE6B98"/>
    <w:rsid w:val="00DE7209"/>
    <w:rsid w:val="00DE782D"/>
    <w:rsid w:val="00DE7D9F"/>
    <w:rsid w:val="00DF0925"/>
    <w:rsid w:val="00DF0D29"/>
    <w:rsid w:val="00DF0DD0"/>
    <w:rsid w:val="00DF1031"/>
    <w:rsid w:val="00DF10BB"/>
    <w:rsid w:val="00DF1FF7"/>
    <w:rsid w:val="00DF31EC"/>
    <w:rsid w:val="00DF433A"/>
    <w:rsid w:val="00DF44DB"/>
    <w:rsid w:val="00DF45A6"/>
    <w:rsid w:val="00DF5046"/>
    <w:rsid w:val="00DF59AA"/>
    <w:rsid w:val="00DF5E98"/>
    <w:rsid w:val="00DF6C82"/>
    <w:rsid w:val="00DF705C"/>
    <w:rsid w:val="00DF70C3"/>
    <w:rsid w:val="00DF7383"/>
    <w:rsid w:val="00DF799A"/>
    <w:rsid w:val="00E000F1"/>
    <w:rsid w:val="00E005BA"/>
    <w:rsid w:val="00E0083F"/>
    <w:rsid w:val="00E00ADC"/>
    <w:rsid w:val="00E014EA"/>
    <w:rsid w:val="00E01BDC"/>
    <w:rsid w:val="00E01D7F"/>
    <w:rsid w:val="00E01E41"/>
    <w:rsid w:val="00E02B5C"/>
    <w:rsid w:val="00E02E8B"/>
    <w:rsid w:val="00E03588"/>
    <w:rsid w:val="00E03BD0"/>
    <w:rsid w:val="00E03FE2"/>
    <w:rsid w:val="00E04459"/>
    <w:rsid w:val="00E04A70"/>
    <w:rsid w:val="00E05386"/>
    <w:rsid w:val="00E05902"/>
    <w:rsid w:val="00E05A7F"/>
    <w:rsid w:val="00E05C03"/>
    <w:rsid w:val="00E0637E"/>
    <w:rsid w:val="00E064D0"/>
    <w:rsid w:val="00E067D5"/>
    <w:rsid w:val="00E06802"/>
    <w:rsid w:val="00E072A5"/>
    <w:rsid w:val="00E1042F"/>
    <w:rsid w:val="00E10534"/>
    <w:rsid w:val="00E10578"/>
    <w:rsid w:val="00E11A11"/>
    <w:rsid w:val="00E11ABD"/>
    <w:rsid w:val="00E122FC"/>
    <w:rsid w:val="00E1276E"/>
    <w:rsid w:val="00E12B34"/>
    <w:rsid w:val="00E13628"/>
    <w:rsid w:val="00E13D7D"/>
    <w:rsid w:val="00E1422A"/>
    <w:rsid w:val="00E14423"/>
    <w:rsid w:val="00E14504"/>
    <w:rsid w:val="00E14575"/>
    <w:rsid w:val="00E14624"/>
    <w:rsid w:val="00E14764"/>
    <w:rsid w:val="00E149D4"/>
    <w:rsid w:val="00E14AA1"/>
    <w:rsid w:val="00E14AA9"/>
    <w:rsid w:val="00E14D9B"/>
    <w:rsid w:val="00E15DE5"/>
    <w:rsid w:val="00E16004"/>
    <w:rsid w:val="00E168D5"/>
    <w:rsid w:val="00E16FB9"/>
    <w:rsid w:val="00E17C72"/>
    <w:rsid w:val="00E17DA5"/>
    <w:rsid w:val="00E202BE"/>
    <w:rsid w:val="00E20591"/>
    <w:rsid w:val="00E214D3"/>
    <w:rsid w:val="00E21A7C"/>
    <w:rsid w:val="00E21CB9"/>
    <w:rsid w:val="00E21FC6"/>
    <w:rsid w:val="00E2231C"/>
    <w:rsid w:val="00E23859"/>
    <w:rsid w:val="00E24634"/>
    <w:rsid w:val="00E24797"/>
    <w:rsid w:val="00E24DE9"/>
    <w:rsid w:val="00E25156"/>
    <w:rsid w:val="00E2538C"/>
    <w:rsid w:val="00E25538"/>
    <w:rsid w:val="00E25594"/>
    <w:rsid w:val="00E255E9"/>
    <w:rsid w:val="00E258BE"/>
    <w:rsid w:val="00E25977"/>
    <w:rsid w:val="00E259DF"/>
    <w:rsid w:val="00E25A4B"/>
    <w:rsid w:val="00E265F0"/>
    <w:rsid w:val="00E2671A"/>
    <w:rsid w:val="00E26855"/>
    <w:rsid w:val="00E2760B"/>
    <w:rsid w:val="00E27E4F"/>
    <w:rsid w:val="00E30610"/>
    <w:rsid w:val="00E30711"/>
    <w:rsid w:val="00E30C41"/>
    <w:rsid w:val="00E312D6"/>
    <w:rsid w:val="00E3151D"/>
    <w:rsid w:val="00E3156C"/>
    <w:rsid w:val="00E31967"/>
    <w:rsid w:val="00E31A96"/>
    <w:rsid w:val="00E31F30"/>
    <w:rsid w:val="00E31F41"/>
    <w:rsid w:val="00E32448"/>
    <w:rsid w:val="00E32819"/>
    <w:rsid w:val="00E32874"/>
    <w:rsid w:val="00E32B8E"/>
    <w:rsid w:val="00E3307B"/>
    <w:rsid w:val="00E33701"/>
    <w:rsid w:val="00E34B21"/>
    <w:rsid w:val="00E34DD8"/>
    <w:rsid w:val="00E34E2A"/>
    <w:rsid w:val="00E35952"/>
    <w:rsid w:val="00E3595C"/>
    <w:rsid w:val="00E35977"/>
    <w:rsid w:val="00E36205"/>
    <w:rsid w:val="00E36259"/>
    <w:rsid w:val="00E36D5D"/>
    <w:rsid w:val="00E37276"/>
    <w:rsid w:val="00E378E6"/>
    <w:rsid w:val="00E40006"/>
    <w:rsid w:val="00E40138"/>
    <w:rsid w:val="00E401B3"/>
    <w:rsid w:val="00E40807"/>
    <w:rsid w:val="00E4098C"/>
    <w:rsid w:val="00E41823"/>
    <w:rsid w:val="00E41A89"/>
    <w:rsid w:val="00E41C7D"/>
    <w:rsid w:val="00E41DF4"/>
    <w:rsid w:val="00E422AA"/>
    <w:rsid w:val="00E4243E"/>
    <w:rsid w:val="00E42A06"/>
    <w:rsid w:val="00E42B86"/>
    <w:rsid w:val="00E42C25"/>
    <w:rsid w:val="00E4314F"/>
    <w:rsid w:val="00E431A9"/>
    <w:rsid w:val="00E43504"/>
    <w:rsid w:val="00E4391C"/>
    <w:rsid w:val="00E43B8A"/>
    <w:rsid w:val="00E43E3D"/>
    <w:rsid w:val="00E4579D"/>
    <w:rsid w:val="00E45E9E"/>
    <w:rsid w:val="00E46B38"/>
    <w:rsid w:val="00E46B81"/>
    <w:rsid w:val="00E46E3A"/>
    <w:rsid w:val="00E479CE"/>
    <w:rsid w:val="00E47E1E"/>
    <w:rsid w:val="00E50356"/>
    <w:rsid w:val="00E50AC5"/>
    <w:rsid w:val="00E50AF1"/>
    <w:rsid w:val="00E50C78"/>
    <w:rsid w:val="00E510AE"/>
    <w:rsid w:val="00E51FC6"/>
    <w:rsid w:val="00E52540"/>
    <w:rsid w:val="00E525A2"/>
    <w:rsid w:val="00E525A6"/>
    <w:rsid w:val="00E5276F"/>
    <w:rsid w:val="00E52E76"/>
    <w:rsid w:val="00E52F27"/>
    <w:rsid w:val="00E5365E"/>
    <w:rsid w:val="00E53A96"/>
    <w:rsid w:val="00E53EF5"/>
    <w:rsid w:val="00E5443C"/>
    <w:rsid w:val="00E55004"/>
    <w:rsid w:val="00E554ED"/>
    <w:rsid w:val="00E557D4"/>
    <w:rsid w:val="00E55971"/>
    <w:rsid w:val="00E55E51"/>
    <w:rsid w:val="00E564C6"/>
    <w:rsid w:val="00E56B33"/>
    <w:rsid w:val="00E56C1A"/>
    <w:rsid w:val="00E605C9"/>
    <w:rsid w:val="00E60B3C"/>
    <w:rsid w:val="00E61F36"/>
    <w:rsid w:val="00E63B39"/>
    <w:rsid w:val="00E644F7"/>
    <w:rsid w:val="00E64D10"/>
    <w:rsid w:val="00E650EB"/>
    <w:rsid w:val="00E65111"/>
    <w:rsid w:val="00E652C8"/>
    <w:rsid w:val="00E65767"/>
    <w:rsid w:val="00E65A8F"/>
    <w:rsid w:val="00E65B2D"/>
    <w:rsid w:val="00E65FD3"/>
    <w:rsid w:val="00E664B5"/>
    <w:rsid w:val="00E664C1"/>
    <w:rsid w:val="00E669E2"/>
    <w:rsid w:val="00E67144"/>
    <w:rsid w:val="00E672C6"/>
    <w:rsid w:val="00E6783A"/>
    <w:rsid w:val="00E678F3"/>
    <w:rsid w:val="00E67ED4"/>
    <w:rsid w:val="00E70250"/>
    <w:rsid w:val="00E7056A"/>
    <w:rsid w:val="00E706D9"/>
    <w:rsid w:val="00E70727"/>
    <w:rsid w:val="00E70B85"/>
    <w:rsid w:val="00E70FFF"/>
    <w:rsid w:val="00E7137B"/>
    <w:rsid w:val="00E71766"/>
    <w:rsid w:val="00E71A94"/>
    <w:rsid w:val="00E71FD0"/>
    <w:rsid w:val="00E7206E"/>
    <w:rsid w:val="00E72527"/>
    <w:rsid w:val="00E7325F"/>
    <w:rsid w:val="00E738C5"/>
    <w:rsid w:val="00E7392B"/>
    <w:rsid w:val="00E754FD"/>
    <w:rsid w:val="00E75880"/>
    <w:rsid w:val="00E75955"/>
    <w:rsid w:val="00E75E54"/>
    <w:rsid w:val="00E75EA4"/>
    <w:rsid w:val="00E76135"/>
    <w:rsid w:val="00E76190"/>
    <w:rsid w:val="00E76E4E"/>
    <w:rsid w:val="00E77E83"/>
    <w:rsid w:val="00E77EAF"/>
    <w:rsid w:val="00E80428"/>
    <w:rsid w:val="00E8054B"/>
    <w:rsid w:val="00E80AAE"/>
    <w:rsid w:val="00E80BD9"/>
    <w:rsid w:val="00E812D1"/>
    <w:rsid w:val="00E81612"/>
    <w:rsid w:val="00E81F9B"/>
    <w:rsid w:val="00E82141"/>
    <w:rsid w:val="00E82239"/>
    <w:rsid w:val="00E82635"/>
    <w:rsid w:val="00E82849"/>
    <w:rsid w:val="00E82A1B"/>
    <w:rsid w:val="00E82F4F"/>
    <w:rsid w:val="00E83406"/>
    <w:rsid w:val="00E83660"/>
    <w:rsid w:val="00E848B9"/>
    <w:rsid w:val="00E85284"/>
    <w:rsid w:val="00E85807"/>
    <w:rsid w:val="00E860F4"/>
    <w:rsid w:val="00E864DF"/>
    <w:rsid w:val="00E8799D"/>
    <w:rsid w:val="00E9033E"/>
    <w:rsid w:val="00E90A3C"/>
    <w:rsid w:val="00E910A0"/>
    <w:rsid w:val="00E9117A"/>
    <w:rsid w:val="00E91513"/>
    <w:rsid w:val="00E91AF8"/>
    <w:rsid w:val="00E91BD8"/>
    <w:rsid w:val="00E92285"/>
    <w:rsid w:val="00E924F5"/>
    <w:rsid w:val="00E92EF8"/>
    <w:rsid w:val="00E934A1"/>
    <w:rsid w:val="00E93ABB"/>
    <w:rsid w:val="00E94E68"/>
    <w:rsid w:val="00E95166"/>
    <w:rsid w:val="00E95667"/>
    <w:rsid w:val="00E9600D"/>
    <w:rsid w:val="00E963DF"/>
    <w:rsid w:val="00E9693A"/>
    <w:rsid w:val="00E970DB"/>
    <w:rsid w:val="00E97F6D"/>
    <w:rsid w:val="00EA089C"/>
    <w:rsid w:val="00EA1619"/>
    <w:rsid w:val="00EA1E2C"/>
    <w:rsid w:val="00EA2155"/>
    <w:rsid w:val="00EA2D61"/>
    <w:rsid w:val="00EA3066"/>
    <w:rsid w:val="00EA30CF"/>
    <w:rsid w:val="00EA4545"/>
    <w:rsid w:val="00EA573A"/>
    <w:rsid w:val="00EA58D3"/>
    <w:rsid w:val="00EA59CD"/>
    <w:rsid w:val="00EA644B"/>
    <w:rsid w:val="00EA652D"/>
    <w:rsid w:val="00EA7138"/>
    <w:rsid w:val="00EA7413"/>
    <w:rsid w:val="00EA7473"/>
    <w:rsid w:val="00EA7554"/>
    <w:rsid w:val="00EB00F0"/>
    <w:rsid w:val="00EB0E93"/>
    <w:rsid w:val="00EB11ED"/>
    <w:rsid w:val="00EB2286"/>
    <w:rsid w:val="00EB2CC3"/>
    <w:rsid w:val="00EB3C7B"/>
    <w:rsid w:val="00EB3D7D"/>
    <w:rsid w:val="00EB48BF"/>
    <w:rsid w:val="00EB4ED6"/>
    <w:rsid w:val="00EB54B3"/>
    <w:rsid w:val="00EB594B"/>
    <w:rsid w:val="00EB5ADA"/>
    <w:rsid w:val="00EB5BD2"/>
    <w:rsid w:val="00EB664C"/>
    <w:rsid w:val="00EB681E"/>
    <w:rsid w:val="00EB766D"/>
    <w:rsid w:val="00EB7C99"/>
    <w:rsid w:val="00EB7EBE"/>
    <w:rsid w:val="00EC001E"/>
    <w:rsid w:val="00EC05A3"/>
    <w:rsid w:val="00EC0724"/>
    <w:rsid w:val="00EC0B96"/>
    <w:rsid w:val="00EC0CCB"/>
    <w:rsid w:val="00EC0D73"/>
    <w:rsid w:val="00EC1BED"/>
    <w:rsid w:val="00EC26EF"/>
    <w:rsid w:val="00EC2754"/>
    <w:rsid w:val="00EC2844"/>
    <w:rsid w:val="00EC2B2E"/>
    <w:rsid w:val="00EC2FC7"/>
    <w:rsid w:val="00EC37FA"/>
    <w:rsid w:val="00EC37FF"/>
    <w:rsid w:val="00EC3BD3"/>
    <w:rsid w:val="00EC3E91"/>
    <w:rsid w:val="00EC489B"/>
    <w:rsid w:val="00EC496D"/>
    <w:rsid w:val="00EC52F9"/>
    <w:rsid w:val="00EC5500"/>
    <w:rsid w:val="00EC5AA3"/>
    <w:rsid w:val="00EC5E11"/>
    <w:rsid w:val="00EC5F88"/>
    <w:rsid w:val="00EC60EA"/>
    <w:rsid w:val="00EC6889"/>
    <w:rsid w:val="00EC69DC"/>
    <w:rsid w:val="00EC6ECC"/>
    <w:rsid w:val="00EC70CD"/>
    <w:rsid w:val="00EC7828"/>
    <w:rsid w:val="00EC78AF"/>
    <w:rsid w:val="00EC7AF9"/>
    <w:rsid w:val="00EC7C28"/>
    <w:rsid w:val="00EC7D15"/>
    <w:rsid w:val="00ED003F"/>
    <w:rsid w:val="00ED081C"/>
    <w:rsid w:val="00ED0A4A"/>
    <w:rsid w:val="00ED168F"/>
    <w:rsid w:val="00ED18F8"/>
    <w:rsid w:val="00ED1FE6"/>
    <w:rsid w:val="00ED27F1"/>
    <w:rsid w:val="00ED291F"/>
    <w:rsid w:val="00ED2CEC"/>
    <w:rsid w:val="00ED2F7C"/>
    <w:rsid w:val="00ED3009"/>
    <w:rsid w:val="00ED33B7"/>
    <w:rsid w:val="00ED35A7"/>
    <w:rsid w:val="00ED38CC"/>
    <w:rsid w:val="00ED391F"/>
    <w:rsid w:val="00ED3AB1"/>
    <w:rsid w:val="00ED3B94"/>
    <w:rsid w:val="00ED3D0A"/>
    <w:rsid w:val="00ED3EC9"/>
    <w:rsid w:val="00ED4437"/>
    <w:rsid w:val="00ED460F"/>
    <w:rsid w:val="00ED4621"/>
    <w:rsid w:val="00ED4721"/>
    <w:rsid w:val="00ED48E0"/>
    <w:rsid w:val="00ED4A3B"/>
    <w:rsid w:val="00ED4CF1"/>
    <w:rsid w:val="00ED59F7"/>
    <w:rsid w:val="00ED5BEC"/>
    <w:rsid w:val="00ED5C17"/>
    <w:rsid w:val="00ED659C"/>
    <w:rsid w:val="00ED6BE7"/>
    <w:rsid w:val="00ED6CE0"/>
    <w:rsid w:val="00ED75CC"/>
    <w:rsid w:val="00ED76CC"/>
    <w:rsid w:val="00ED7CB3"/>
    <w:rsid w:val="00EE0E87"/>
    <w:rsid w:val="00EE0F1A"/>
    <w:rsid w:val="00EE1A70"/>
    <w:rsid w:val="00EE1F8E"/>
    <w:rsid w:val="00EE24BB"/>
    <w:rsid w:val="00EE27BB"/>
    <w:rsid w:val="00EE2C2D"/>
    <w:rsid w:val="00EE2D2E"/>
    <w:rsid w:val="00EE2EB3"/>
    <w:rsid w:val="00EE33A6"/>
    <w:rsid w:val="00EE344B"/>
    <w:rsid w:val="00EE3E43"/>
    <w:rsid w:val="00EE43F9"/>
    <w:rsid w:val="00EE44A6"/>
    <w:rsid w:val="00EE49C3"/>
    <w:rsid w:val="00EE4B4C"/>
    <w:rsid w:val="00EE4BAC"/>
    <w:rsid w:val="00EE5568"/>
    <w:rsid w:val="00EE585B"/>
    <w:rsid w:val="00EE5871"/>
    <w:rsid w:val="00EE5C15"/>
    <w:rsid w:val="00EE5D31"/>
    <w:rsid w:val="00EE67E8"/>
    <w:rsid w:val="00EE69E4"/>
    <w:rsid w:val="00EE6A27"/>
    <w:rsid w:val="00EE6EDA"/>
    <w:rsid w:val="00EE7330"/>
    <w:rsid w:val="00EE7786"/>
    <w:rsid w:val="00EE778E"/>
    <w:rsid w:val="00EE79BB"/>
    <w:rsid w:val="00EE7AB8"/>
    <w:rsid w:val="00EF0810"/>
    <w:rsid w:val="00EF1271"/>
    <w:rsid w:val="00EF3346"/>
    <w:rsid w:val="00EF3408"/>
    <w:rsid w:val="00EF394C"/>
    <w:rsid w:val="00EF4338"/>
    <w:rsid w:val="00EF4D5C"/>
    <w:rsid w:val="00EF596D"/>
    <w:rsid w:val="00EF6090"/>
    <w:rsid w:val="00EF63FB"/>
    <w:rsid w:val="00EF6719"/>
    <w:rsid w:val="00EF6B96"/>
    <w:rsid w:val="00EF6C6C"/>
    <w:rsid w:val="00EF7026"/>
    <w:rsid w:val="00EF75A6"/>
    <w:rsid w:val="00EF75CD"/>
    <w:rsid w:val="00EF79AC"/>
    <w:rsid w:val="00F00071"/>
    <w:rsid w:val="00F00C3A"/>
    <w:rsid w:val="00F00FCC"/>
    <w:rsid w:val="00F01026"/>
    <w:rsid w:val="00F010B2"/>
    <w:rsid w:val="00F0138B"/>
    <w:rsid w:val="00F02020"/>
    <w:rsid w:val="00F02252"/>
    <w:rsid w:val="00F022EE"/>
    <w:rsid w:val="00F024F4"/>
    <w:rsid w:val="00F0256D"/>
    <w:rsid w:val="00F028F7"/>
    <w:rsid w:val="00F02E0C"/>
    <w:rsid w:val="00F03D23"/>
    <w:rsid w:val="00F04C54"/>
    <w:rsid w:val="00F056FC"/>
    <w:rsid w:val="00F05875"/>
    <w:rsid w:val="00F05C34"/>
    <w:rsid w:val="00F05E39"/>
    <w:rsid w:val="00F05ED1"/>
    <w:rsid w:val="00F0632F"/>
    <w:rsid w:val="00F06374"/>
    <w:rsid w:val="00F06648"/>
    <w:rsid w:val="00F066D2"/>
    <w:rsid w:val="00F06749"/>
    <w:rsid w:val="00F0679C"/>
    <w:rsid w:val="00F068D9"/>
    <w:rsid w:val="00F069AE"/>
    <w:rsid w:val="00F07B86"/>
    <w:rsid w:val="00F101A7"/>
    <w:rsid w:val="00F10452"/>
    <w:rsid w:val="00F10476"/>
    <w:rsid w:val="00F1079E"/>
    <w:rsid w:val="00F10924"/>
    <w:rsid w:val="00F10B11"/>
    <w:rsid w:val="00F10CAE"/>
    <w:rsid w:val="00F114FE"/>
    <w:rsid w:val="00F1169F"/>
    <w:rsid w:val="00F119FF"/>
    <w:rsid w:val="00F1225C"/>
    <w:rsid w:val="00F12338"/>
    <w:rsid w:val="00F12435"/>
    <w:rsid w:val="00F12F07"/>
    <w:rsid w:val="00F135D8"/>
    <w:rsid w:val="00F135FD"/>
    <w:rsid w:val="00F13729"/>
    <w:rsid w:val="00F14BA9"/>
    <w:rsid w:val="00F15110"/>
    <w:rsid w:val="00F157C7"/>
    <w:rsid w:val="00F158A9"/>
    <w:rsid w:val="00F15FFF"/>
    <w:rsid w:val="00F163F9"/>
    <w:rsid w:val="00F16707"/>
    <w:rsid w:val="00F1727B"/>
    <w:rsid w:val="00F17BF5"/>
    <w:rsid w:val="00F17C60"/>
    <w:rsid w:val="00F20043"/>
    <w:rsid w:val="00F209BC"/>
    <w:rsid w:val="00F20A9E"/>
    <w:rsid w:val="00F20F4D"/>
    <w:rsid w:val="00F21513"/>
    <w:rsid w:val="00F21C78"/>
    <w:rsid w:val="00F221AB"/>
    <w:rsid w:val="00F22751"/>
    <w:rsid w:val="00F22760"/>
    <w:rsid w:val="00F22C53"/>
    <w:rsid w:val="00F23A20"/>
    <w:rsid w:val="00F23E3B"/>
    <w:rsid w:val="00F24398"/>
    <w:rsid w:val="00F244BE"/>
    <w:rsid w:val="00F24542"/>
    <w:rsid w:val="00F24D74"/>
    <w:rsid w:val="00F24EBA"/>
    <w:rsid w:val="00F2556B"/>
    <w:rsid w:val="00F2604B"/>
    <w:rsid w:val="00F260F5"/>
    <w:rsid w:val="00F26905"/>
    <w:rsid w:val="00F26E74"/>
    <w:rsid w:val="00F27568"/>
    <w:rsid w:val="00F27991"/>
    <w:rsid w:val="00F307D8"/>
    <w:rsid w:val="00F30C5D"/>
    <w:rsid w:val="00F3106F"/>
    <w:rsid w:val="00F31299"/>
    <w:rsid w:val="00F319DC"/>
    <w:rsid w:val="00F31F99"/>
    <w:rsid w:val="00F321ED"/>
    <w:rsid w:val="00F33A59"/>
    <w:rsid w:val="00F34F90"/>
    <w:rsid w:val="00F352C0"/>
    <w:rsid w:val="00F3534A"/>
    <w:rsid w:val="00F35A42"/>
    <w:rsid w:val="00F35BFB"/>
    <w:rsid w:val="00F35D73"/>
    <w:rsid w:val="00F3624E"/>
    <w:rsid w:val="00F36665"/>
    <w:rsid w:val="00F3669F"/>
    <w:rsid w:val="00F36ACC"/>
    <w:rsid w:val="00F36DEA"/>
    <w:rsid w:val="00F372CB"/>
    <w:rsid w:val="00F373C5"/>
    <w:rsid w:val="00F373D9"/>
    <w:rsid w:val="00F378E7"/>
    <w:rsid w:val="00F4008A"/>
    <w:rsid w:val="00F40239"/>
    <w:rsid w:val="00F40315"/>
    <w:rsid w:val="00F40EE7"/>
    <w:rsid w:val="00F41054"/>
    <w:rsid w:val="00F41758"/>
    <w:rsid w:val="00F41D5A"/>
    <w:rsid w:val="00F421DD"/>
    <w:rsid w:val="00F4337E"/>
    <w:rsid w:val="00F4366C"/>
    <w:rsid w:val="00F43777"/>
    <w:rsid w:val="00F439BF"/>
    <w:rsid w:val="00F43D1B"/>
    <w:rsid w:val="00F442E2"/>
    <w:rsid w:val="00F44C3F"/>
    <w:rsid w:val="00F44C5E"/>
    <w:rsid w:val="00F452CB"/>
    <w:rsid w:val="00F454F9"/>
    <w:rsid w:val="00F46831"/>
    <w:rsid w:val="00F46E1A"/>
    <w:rsid w:val="00F4729A"/>
    <w:rsid w:val="00F47DF4"/>
    <w:rsid w:val="00F508C9"/>
    <w:rsid w:val="00F50D6F"/>
    <w:rsid w:val="00F513A7"/>
    <w:rsid w:val="00F513FD"/>
    <w:rsid w:val="00F51515"/>
    <w:rsid w:val="00F51609"/>
    <w:rsid w:val="00F51BC1"/>
    <w:rsid w:val="00F526D4"/>
    <w:rsid w:val="00F52ACE"/>
    <w:rsid w:val="00F52C4C"/>
    <w:rsid w:val="00F5367D"/>
    <w:rsid w:val="00F53ACD"/>
    <w:rsid w:val="00F53E17"/>
    <w:rsid w:val="00F5424A"/>
    <w:rsid w:val="00F54588"/>
    <w:rsid w:val="00F54EB2"/>
    <w:rsid w:val="00F55418"/>
    <w:rsid w:val="00F55BA7"/>
    <w:rsid w:val="00F55C25"/>
    <w:rsid w:val="00F560BD"/>
    <w:rsid w:val="00F56854"/>
    <w:rsid w:val="00F56A69"/>
    <w:rsid w:val="00F570DA"/>
    <w:rsid w:val="00F57494"/>
    <w:rsid w:val="00F57D0E"/>
    <w:rsid w:val="00F60974"/>
    <w:rsid w:val="00F60995"/>
    <w:rsid w:val="00F60DAE"/>
    <w:rsid w:val="00F60EBE"/>
    <w:rsid w:val="00F60FFF"/>
    <w:rsid w:val="00F6114D"/>
    <w:rsid w:val="00F61628"/>
    <w:rsid w:val="00F6252A"/>
    <w:rsid w:val="00F6267B"/>
    <w:rsid w:val="00F629B3"/>
    <w:rsid w:val="00F62D13"/>
    <w:rsid w:val="00F62D19"/>
    <w:rsid w:val="00F62DC0"/>
    <w:rsid w:val="00F63239"/>
    <w:rsid w:val="00F6352D"/>
    <w:rsid w:val="00F636CE"/>
    <w:rsid w:val="00F63B9A"/>
    <w:rsid w:val="00F63F54"/>
    <w:rsid w:val="00F64BFD"/>
    <w:rsid w:val="00F64CC3"/>
    <w:rsid w:val="00F64F4C"/>
    <w:rsid w:val="00F650D9"/>
    <w:rsid w:val="00F65428"/>
    <w:rsid w:val="00F65474"/>
    <w:rsid w:val="00F6690A"/>
    <w:rsid w:val="00F66F70"/>
    <w:rsid w:val="00F670BC"/>
    <w:rsid w:val="00F674C4"/>
    <w:rsid w:val="00F67AEB"/>
    <w:rsid w:val="00F67B9C"/>
    <w:rsid w:val="00F7022E"/>
    <w:rsid w:val="00F70442"/>
    <w:rsid w:val="00F70698"/>
    <w:rsid w:val="00F7174E"/>
    <w:rsid w:val="00F71833"/>
    <w:rsid w:val="00F71E54"/>
    <w:rsid w:val="00F71F45"/>
    <w:rsid w:val="00F721F4"/>
    <w:rsid w:val="00F72744"/>
    <w:rsid w:val="00F72AA2"/>
    <w:rsid w:val="00F72C7A"/>
    <w:rsid w:val="00F73069"/>
    <w:rsid w:val="00F7328B"/>
    <w:rsid w:val="00F7365E"/>
    <w:rsid w:val="00F736CE"/>
    <w:rsid w:val="00F73727"/>
    <w:rsid w:val="00F73BA4"/>
    <w:rsid w:val="00F744C9"/>
    <w:rsid w:val="00F752B9"/>
    <w:rsid w:val="00F75B4E"/>
    <w:rsid w:val="00F75C58"/>
    <w:rsid w:val="00F766A7"/>
    <w:rsid w:val="00F770D7"/>
    <w:rsid w:val="00F77299"/>
    <w:rsid w:val="00F772C7"/>
    <w:rsid w:val="00F77443"/>
    <w:rsid w:val="00F77781"/>
    <w:rsid w:val="00F77834"/>
    <w:rsid w:val="00F80099"/>
    <w:rsid w:val="00F8019E"/>
    <w:rsid w:val="00F803CF"/>
    <w:rsid w:val="00F80A93"/>
    <w:rsid w:val="00F81006"/>
    <w:rsid w:val="00F814DB"/>
    <w:rsid w:val="00F81622"/>
    <w:rsid w:val="00F82624"/>
    <w:rsid w:val="00F82BA4"/>
    <w:rsid w:val="00F83085"/>
    <w:rsid w:val="00F838F1"/>
    <w:rsid w:val="00F83B3A"/>
    <w:rsid w:val="00F845EC"/>
    <w:rsid w:val="00F84B64"/>
    <w:rsid w:val="00F84D47"/>
    <w:rsid w:val="00F85325"/>
    <w:rsid w:val="00F854AE"/>
    <w:rsid w:val="00F85693"/>
    <w:rsid w:val="00F85B58"/>
    <w:rsid w:val="00F86104"/>
    <w:rsid w:val="00F865AB"/>
    <w:rsid w:val="00F866F0"/>
    <w:rsid w:val="00F86D84"/>
    <w:rsid w:val="00F86FB3"/>
    <w:rsid w:val="00F87F0A"/>
    <w:rsid w:val="00F90555"/>
    <w:rsid w:val="00F90871"/>
    <w:rsid w:val="00F90BF1"/>
    <w:rsid w:val="00F91123"/>
    <w:rsid w:val="00F91642"/>
    <w:rsid w:val="00F92166"/>
    <w:rsid w:val="00F9230E"/>
    <w:rsid w:val="00F92377"/>
    <w:rsid w:val="00F92969"/>
    <w:rsid w:val="00F939A5"/>
    <w:rsid w:val="00F943E1"/>
    <w:rsid w:val="00F9497F"/>
    <w:rsid w:val="00F94D33"/>
    <w:rsid w:val="00F94D81"/>
    <w:rsid w:val="00F94E84"/>
    <w:rsid w:val="00F95227"/>
    <w:rsid w:val="00F953BD"/>
    <w:rsid w:val="00F95EA0"/>
    <w:rsid w:val="00F95EF7"/>
    <w:rsid w:val="00F95F0C"/>
    <w:rsid w:val="00F97790"/>
    <w:rsid w:val="00F9796D"/>
    <w:rsid w:val="00FA07B1"/>
    <w:rsid w:val="00FA1727"/>
    <w:rsid w:val="00FA1810"/>
    <w:rsid w:val="00FA2066"/>
    <w:rsid w:val="00FA2706"/>
    <w:rsid w:val="00FA27D0"/>
    <w:rsid w:val="00FA2CE7"/>
    <w:rsid w:val="00FA32B0"/>
    <w:rsid w:val="00FA3DE5"/>
    <w:rsid w:val="00FA3E27"/>
    <w:rsid w:val="00FA3F73"/>
    <w:rsid w:val="00FA51B1"/>
    <w:rsid w:val="00FA5908"/>
    <w:rsid w:val="00FA62C8"/>
    <w:rsid w:val="00FA6479"/>
    <w:rsid w:val="00FA6748"/>
    <w:rsid w:val="00FA6B80"/>
    <w:rsid w:val="00FA7D5D"/>
    <w:rsid w:val="00FB0048"/>
    <w:rsid w:val="00FB02B5"/>
    <w:rsid w:val="00FB0B8E"/>
    <w:rsid w:val="00FB0DC0"/>
    <w:rsid w:val="00FB0DDD"/>
    <w:rsid w:val="00FB18D0"/>
    <w:rsid w:val="00FB1DDD"/>
    <w:rsid w:val="00FB2223"/>
    <w:rsid w:val="00FB2563"/>
    <w:rsid w:val="00FB2740"/>
    <w:rsid w:val="00FB2DEE"/>
    <w:rsid w:val="00FB3BBA"/>
    <w:rsid w:val="00FB3BF0"/>
    <w:rsid w:val="00FB3CA0"/>
    <w:rsid w:val="00FB3ED4"/>
    <w:rsid w:val="00FB43B2"/>
    <w:rsid w:val="00FB4461"/>
    <w:rsid w:val="00FB4712"/>
    <w:rsid w:val="00FB58B7"/>
    <w:rsid w:val="00FB5BCE"/>
    <w:rsid w:val="00FB5F9A"/>
    <w:rsid w:val="00FB61C7"/>
    <w:rsid w:val="00FB6215"/>
    <w:rsid w:val="00FB624B"/>
    <w:rsid w:val="00FB6C44"/>
    <w:rsid w:val="00FB6E09"/>
    <w:rsid w:val="00FB70C3"/>
    <w:rsid w:val="00FB7289"/>
    <w:rsid w:val="00FB74E8"/>
    <w:rsid w:val="00FB76F2"/>
    <w:rsid w:val="00FB7823"/>
    <w:rsid w:val="00FB7A3E"/>
    <w:rsid w:val="00FB7FEF"/>
    <w:rsid w:val="00FC02A8"/>
    <w:rsid w:val="00FC0D33"/>
    <w:rsid w:val="00FC1E36"/>
    <w:rsid w:val="00FC20B7"/>
    <w:rsid w:val="00FC2C92"/>
    <w:rsid w:val="00FC2EE1"/>
    <w:rsid w:val="00FC33A5"/>
    <w:rsid w:val="00FC33B5"/>
    <w:rsid w:val="00FC3B5F"/>
    <w:rsid w:val="00FC3C8A"/>
    <w:rsid w:val="00FC3D18"/>
    <w:rsid w:val="00FC3EF2"/>
    <w:rsid w:val="00FC42D6"/>
    <w:rsid w:val="00FC43D7"/>
    <w:rsid w:val="00FC4D17"/>
    <w:rsid w:val="00FC5307"/>
    <w:rsid w:val="00FC57F9"/>
    <w:rsid w:val="00FC609B"/>
    <w:rsid w:val="00FC62DF"/>
    <w:rsid w:val="00FC6942"/>
    <w:rsid w:val="00FC69BE"/>
    <w:rsid w:val="00FC79E6"/>
    <w:rsid w:val="00FC7F64"/>
    <w:rsid w:val="00FD03F0"/>
    <w:rsid w:val="00FD0E80"/>
    <w:rsid w:val="00FD0F0E"/>
    <w:rsid w:val="00FD1744"/>
    <w:rsid w:val="00FD19C8"/>
    <w:rsid w:val="00FD1B51"/>
    <w:rsid w:val="00FD1DD1"/>
    <w:rsid w:val="00FD22B1"/>
    <w:rsid w:val="00FD2920"/>
    <w:rsid w:val="00FD2B08"/>
    <w:rsid w:val="00FD2E61"/>
    <w:rsid w:val="00FD33F1"/>
    <w:rsid w:val="00FD3566"/>
    <w:rsid w:val="00FD3918"/>
    <w:rsid w:val="00FD4087"/>
    <w:rsid w:val="00FD4287"/>
    <w:rsid w:val="00FD46D9"/>
    <w:rsid w:val="00FD47F1"/>
    <w:rsid w:val="00FD4944"/>
    <w:rsid w:val="00FD49BE"/>
    <w:rsid w:val="00FD4DEB"/>
    <w:rsid w:val="00FD61CB"/>
    <w:rsid w:val="00FD64EE"/>
    <w:rsid w:val="00FD6BB7"/>
    <w:rsid w:val="00FD75A5"/>
    <w:rsid w:val="00FD788F"/>
    <w:rsid w:val="00FE11E3"/>
    <w:rsid w:val="00FE1758"/>
    <w:rsid w:val="00FE1A00"/>
    <w:rsid w:val="00FE1CDE"/>
    <w:rsid w:val="00FE2742"/>
    <w:rsid w:val="00FE3837"/>
    <w:rsid w:val="00FE3A35"/>
    <w:rsid w:val="00FE3C71"/>
    <w:rsid w:val="00FE3DCD"/>
    <w:rsid w:val="00FE4434"/>
    <w:rsid w:val="00FE4581"/>
    <w:rsid w:val="00FE47EC"/>
    <w:rsid w:val="00FE4A1C"/>
    <w:rsid w:val="00FE5017"/>
    <w:rsid w:val="00FE5397"/>
    <w:rsid w:val="00FE5469"/>
    <w:rsid w:val="00FE5954"/>
    <w:rsid w:val="00FE5E1B"/>
    <w:rsid w:val="00FE6588"/>
    <w:rsid w:val="00FE69D5"/>
    <w:rsid w:val="00FE7273"/>
    <w:rsid w:val="00FF0190"/>
    <w:rsid w:val="00FF024B"/>
    <w:rsid w:val="00FF06FC"/>
    <w:rsid w:val="00FF0772"/>
    <w:rsid w:val="00FF0A1E"/>
    <w:rsid w:val="00FF0CDC"/>
    <w:rsid w:val="00FF11C7"/>
    <w:rsid w:val="00FF17EF"/>
    <w:rsid w:val="00FF29D5"/>
    <w:rsid w:val="00FF305D"/>
    <w:rsid w:val="00FF3708"/>
    <w:rsid w:val="00FF4114"/>
    <w:rsid w:val="00FF6470"/>
    <w:rsid w:val="00FF6628"/>
    <w:rsid w:val="00FF6BD1"/>
    <w:rsid w:val="00FF6C05"/>
    <w:rsid w:val="00FF6ECB"/>
    <w:rsid w:val="00FF7C60"/>
    <w:rsid w:val="00FF7CC5"/>
    <w:rsid w:val="05FF7711"/>
    <w:rsid w:val="0705065E"/>
    <w:rsid w:val="08443A36"/>
    <w:rsid w:val="0A2FA5D5"/>
    <w:rsid w:val="0B017D67"/>
    <w:rsid w:val="0B5F3DD2"/>
    <w:rsid w:val="0BCA0600"/>
    <w:rsid w:val="0C065490"/>
    <w:rsid w:val="0C9D299B"/>
    <w:rsid w:val="0ECE3634"/>
    <w:rsid w:val="12CCC720"/>
    <w:rsid w:val="138AFFF8"/>
    <w:rsid w:val="1579819D"/>
    <w:rsid w:val="16E5C59D"/>
    <w:rsid w:val="18940662"/>
    <w:rsid w:val="18AD4926"/>
    <w:rsid w:val="19E43F14"/>
    <w:rsid w:val="1D1AFFE7"/>
    <w:rsid w:val="1E10B3AC"/>
    <w:rsid w:val="1F641D24"/>
    <w:rsid w:val="20024D90"/>
    <w:rsid w:val="20BFE855"/>
    <w:rsid w:val="23FD8DFC"/>
    <w:rsid w:val="2555384E"/>
    <w:rsid w:val="2564F151"/>
    <w:rsid w:val="26DA887B"/>
    <w:rsid w:val="270DCD0F"/>
    <w:rsid w:val="2925CE8C"/>
    <w:rsid w:val="29E7BBAE"/>
    <w:rsid w:val="2A56AD2C"/>
    <w:rsid w:val="2B2DD476"/>
    <w:rsid w:val="2EEE6121"/>
    <w:rsid w:val="2FC41B20"/>
    <w:rsid w:val="31ADD1E9"/>
    <w:rsid w:val="34965A7F"/>
    <w:rsid w:val="35AF21F9"/>
    <w:rsid w:val="3868DFE8"/>
    <w:rsid w:val="388A8231"/>
    <w:rsid w:val="389D280E"/>
    <w:rsid w:val="39AF0BE4"/>
    <w:rsid w:val="39E4A95C"/>
    <w:rsid w:val="3A015971"/>
    <w:rsid w:val="3C185661"/>
    <w:rsid w:val="3C64B141"/>
    <w:rsid w:val="3C8F033C"/>
    <w:rsid w:val="3CB9B3F6"/>
    <w:rsid w:val="4273AC2A"/>
    <w:rsid w:val="43105326"/>
    <w:rsid w:val="44E3A6F0"/>
    <w:rsid w:val="4CEA8FB4"/>
    <w:rsid w:val="500A845C"/>
    <w:rsid w:val="50D15DEE"/>
    <w:rsid w:val="53F0840A"/>
    <w:rsid w:val="54EBAF24"/>
    <w:rsid w:val="58EE565F"/>
    <w:rsid w:val="5CC89C10"/>
    <w:rsid w:val="5D482F69"/>
    <w:rsid w:val="602B2BAB"/>
    <w:rsid w:val="612FE875"/>
    <w:rsid w:val="64316358"/>
    <w:rsid w:val="6503E6D1"/>
    <w:rsid w:val="667CF62A"/>
    <w:rsid w:val="67D3DF6B"/>
    <w:rsid w:val="69B957A9"/>
    <w:rsid w:val="6FFE18F6"/>
    <w:rsid w:val="703D14CB"/>
    <w:rsid w:val="731435A8"/>
    <w:rsid w:val="75610E48"/>
    <w:rsid w:val="771DD98C"/>
    <w:rsid w:val="7B788421"/>
    <w:rsid w:val="7BAEB894"/>
    <w:rsid w:val="7DB76142"/>
    <w:rsid w:val="7FA6A7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87410B"/>
  <w15:docId w15:val="{27F5297F-7422-4C05-B260-FBB0540B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6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6D240A"/>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6D240A"/>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6D240A"/>
    <w:pPr>
      <w:spacing w:before="560" w:line="320" w:lineRule="exact"/>
      <w:ind w:left="0" w:firstLine="0"/>
      <w:outlineLvl w:val="2"/>
    </w:pPr>
    <w:rPr>
      <w:sz w:val="26"/>
    </w:rPr>
  </w:style>
  <w:style w:type="paragraph" w:styleId="Heading4">
    <w:name w:val="heading 4"/>
    <w:basedOn w:val="Heading3"/>
    <w:next w:val="BodyText"/>
    <w:qFormat/>
    <w:rsid w:val="006D240A"/>
    <w:pPr>
      <w:spacing w:before="480"/>
      <w:outlineLvl w:val="3"/>
    </w:pPr>
    <w:rPr>
      <w:b w:val="0"/>
      <w:sz w:val="24"/>
    </w:rPr>
  </w:style>
  <w:style w:type="paragraph" w:styleId="Heading5">
    <w:name w:val="heading 5"/>
    <w:basedOn w:val="Heading4"/>
    <w:next w:val="BodyText"/>
    <w:link w:val="Heading5Char"/>
    <w:qFormat/>
    <w:rsid w:val="006D240A"/>
    <w:pPr>
      <w:outlineLvl w:val="4"/>
    </w:pPr>
    <w:rPr>
      <w:i/>
      <w:sz w:val="22"/>
    </w:rPr>
  </w:style>
  <w:style w:type="paragraph" w:styleId="Heading6">
    <w:name w:val="heading 6"/>
    <w:basedOn w:val="BodyText"/>
    <w:next w:val="BodyText"/>
    <w:semiHidden/>
    <w:rsid w:val="006D240A"/>
    <w:pPr>
      <w:spacing w:after="60"/>
      <w:jc w:val="left"/>
      <w:outlineLvl w:val="5"/>
    </w:pPr>
    <w:rPr>
      <w:i/>
      <w:sz w:val="22"/>
    </w:rPr>
  </w:style>
  <w:style w:type="paragraph" w:styleId="Heading7">
    <w:name w:val="heading 7"/>
    <w:basedOn w:val="BodyText"/>
    <w:next w:val="BodyText"/>
    <w:semiHidden/>
    <w:rsid w:val="006D240A"/>
    <w:pPr>
      <w:spacing w:after="60" w:line="240" w:lineRule="auto"/>
      <w:jc w:val="left"/>
      <w:outlineLvl w:val="6"/>
    </w:pPr>
    <w:rPr>
      <w:rFonts w:ascii="Arial" w:hAnsi="Arial"/>
      <w:sz w:val="20"/>
    </w:rPr>
  </w:style>
  <w:style w:type="paragraph" w:styleId="Heading8">
    <w:name w:val="heading 8"/>
    <w:basedOn w:val="BodyText"/>
    <w:next w:val="BodyText"/>
    <w:semiHidden/>
    <w:rsid w:val="006D240A"/>
    <w:pPr>
      <w:spacing w:after="60" w:line="240" w:lineRule="auto"/>
      <w:jc w:val="left"/>
      <w:outlineLvl w:val="7"/>
    </w:pPr>
    <w:rPr>
      <w:rFonts w:ascii="Arial" w:hAnsi="Arial"/>
      <w:i/>
      <w:sz w:val="20"/>
    </w:rPr>
  </w:style>
  <w:style w:type="paragraph" w:styleId="Heading9">
    <w:name w:val="heading 9"/>
    <w:basedOn w:val="BodyText"/>
    <w:next w:val="BodyText"/>
    <w:semiHidden/>
    <w:rsid w:val="006D240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82F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2F6A"/>
  </w:style>
  <w:style w:type="paragraph" w:styleId="BodyText">
    <w:name w:val="Body Text"/>
    <w:link w:val="BodyTextChar"/>
    <w:qFormat/>
    <w:rsid w:val="006D240A"/>
    <w:pPr>
      <w:spacing w:before="240" w:line="300" w:lineRule="atLeast"/>
      <w:jc w:val="both"/>
    </w:pPr>
    <w:rPr>
      <w:sz w:val="24"/>
    </w:rPr>
  </w:style>
  <w:style w:type="paragraph" w:styleId="Footer">
    <w:name w:val="footer"/>
    <w:basedOn w:val="BodyText"/>
    <w:link w:val="FooterChar"/>
    <w:semiHidden/>
    <w:rsid w:val="006D240A"/>
    <w:pPr>
      <w:spacing w:before="80" w:line="200" w:lineRule="exact"/>
      <w:ind w:right="6"/>
      <w:jc w:val="left"/>
    </w:pPr>
    <w:rPr>
      <w:rFonts w:ascii="Arial" w:hAnsi="Arial"/>
      <w:caps/>
      <w:spacing w:val="-4"/>
      <w:sz w:val="16"/>
    </w:rPr>
  </w:style>
  <w:style w:type="paragraph" w:customStyle="1" w:styleId="FooterEnd">
    <w:name w:val="Footer End"/>
    <w:basedOn w:val="Footer"/>
    <w:rsid w:val="006D240A"/>
    <w:pPr>
      <w:spacing w:before="0" w:line="20" w:lineRule="exact"/>
    </w:pPr>
  </w:style>
  <w:style w:type="paragraph" w:styleId="Header">
    <w:name w:val="header"/>
    <w:basedOn w:val="BodyText"/>
    <w:rsid w:val="006D240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30E19"/>
    <w:pPr>
      <w:spacing w:line="20" w:lineRule="exact"/>
    </w:pPr>
    <w:rPr>
      <w:sz w:val="16"/>
    </w:rPr>
  </w:style>
  <w:style w:type="paragraph" w:customStyle="1" w:styleId="HeaderEven">
    <w:name w:val="Header Even"/>
    <w:basedOn w:val="Header"/>
    <w:semiHidden/>
    <w:rsid w:val="006D240A"/>
  </w:style>
  <w:style w:type="paragraph" w:customStyle="1" w:styleId="HeaderOdd">
    <w:name w:val="Header Odd"/>
    <w:basedOn w:val="Header"/>
    <w:semiHidden/>
    <w:rsid w:val="006D240A"/>
  </w:style>
  <w:style w:type="character" w:styleId="PageNumber">
    <w:name w:val="page number"/>
    <w:basedOn w:val="DefaultParagraphFont"/>
    <w:rsid w:val="006D240A"/>
    <w:rPr>
      <w:rFonts w:ascii="Arial" w:hAnsi="Arial"/>
      <w:b/>
      <w:sz w:val="16"/>
    </w:rPr>
  </w:style>
  <w:style w:type="paragraph" w:customStyle="1" w:styleId="Abbreviation">
    <w:name w:val="Abbreviation"/>
    <w:basedOn w:val="BodyText"/>
    <w:rsid w:val="006D240A"/>
    <w:pPr>
      <w:spacing w:before="120"/>
      <w:ind w:left="2381" w:hanging="2381"/>
      <w:jc w:val="left"/>
    </w:pPr>
  </w:style>
  <w:style w:type="paragraph" w:customStyle="1" w:styleId="Box">
    <w:name w:val="Box"/>
    <w:basedOn w:val="BodyText"/>
    <w:qFormat/>
    <w:rsid w:val="006D240A"/>
    <w:pPr>
      <w:keepNext/>
      <w:spacing w:before="120" w:line="260" w:lineRule="atLeast"/>
    </w:pPr>
    <w:rPr>
      <w:rFonts w:ascii="Arial" w:hAnsi="Arial"/>
      <w:sz w:val="20"/>
    </w:rPr>
  </w:style>
  <w:style w:type="paragraph" w:customStyle="1" w:styleId="BoxContinued">
    <w:name w:val="Box Continued"/>
    <w:basedOn w:val="BodyText"/>
    <w:next w:val="BodyText"/>
    <w:semiHidden/>
    <w:rsid w:val="006D240A"/>
    <w:pPr>
      <w:spacing w:before="180" w:line="220" w:lineRule="exact"/>
      <w:jc w:val="right"/>
    </w:pPr>
    <w:rPr>
      <w:rFonts w:ascii="Arial" w:hAnsi="Arial"/>
      <w:sz w:val="18"/>
    </w:rPr>
  </w:style>
  <w:style w:type="paragraph" w:customStyle="1" w:styleId="BoxHeading1">
    <w:name w:val="Box Heading 1"/>
    <w:basedOn w:val="BodyText"/>
    <w:next w:val="Box"/>
    <w:rsid w:val="006D240A"/>
    <w:pPr>
      <w:keepNext/>
      <w:spacing w:before="200" w:line="280" w:lineRule="atLeast"/>
    </w:pPr>
    <w:rPr>
      <w:rFonts w:ascii="Arial" w:hAnsi="Arial"/>
      <w:b/>
      <w:sz w:val="22"/>
    </w:rPr>
  </w:style>
  <w:style w:type="paragraph" w:customStyle="1" w:styleId="BoxHeading2">
    <w:name w:val="Box Heading 2"/>
    <w:basedOn w:val="BoxHeading1"/>
    <w:next w:val="Box"/>
    <w:rsid w:val="006D240A"/>
    <w:rPr>
      <w:b w:val="0"/>
      <w:i/>
    </w:rPr>
  </w:style>
  <w:style w:type="paragraph" w:customStyle="1" w:styleId="BoxListBullet">
    <w:name w:val="Box List Bullet"/>
    <w:basedOn w:val="BodyText"/>
    <w:rsid w:val="006D240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D240A"/>
    <w:pPr>
      <w:numPr>
        <w:numId w:val="13"/>
      </w:numPr>
      <w:ind w:left="568" w:hanging="284"/>
    </w:pPr>
  </w:style>
  <w:style w:type="paragraph" w:customStyle="1" w:styleId="BoxListNumber">
    <w:name w:val="Box List Number"/>
    <w:basedOn w:val="BodyText"/>
    <w:rsid w:val="006D240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6D240A"/>
    <w:pPr>
      <w:numPr>
        <w:ilvl w:val="1"/>
      </w:numPr>
      <w:ind w:left="681" w:hanging="397"/>
    </w:pPr>
  </w:style>
  <w:style w:type="paragraph" w:customStyle="1" w:styleId="BoxQuote">
    <w:name w:val="Box Quote"/>
    <w:basedOn w:val="BodyText"/>
    <w:next w:val="Box"/>
    <w:qFormat/>
    <w:rsid w:val="006D240A"/>
    <w:pPr>
      <w:keepNext/>
      <w:spacing w:before="60" w:line="240" w:lineRule="exact"/>
      <w:ind w:left="284"/>
    </w:pPr>
    <w:rPr>
      <w:rFonts w:ascii="Arial" w:hAnsi="Arial"/>
      <w:sz w:val="18"/>
    </w:rPr>
  </w:style>
  <w:style w:type="paragraph" w:customStyle="1" w:styleId="Note">
    <w:name w:val="Note"/>
    <w:basedOn w:val="BodyText"/>
    <w:next w:val="BodyText"/>
    <w:link w:val="NoteChar"/>
    <w:rsid w:val="006D240A"/>
    <w:pPr>
      <w:keepLines/>
      <w:spacing w:before="80" w:line="220" w:lineRule="exact"/>
    </w:pPr>
    <w:rPr>
      <w:rFonts w:ascii="Arial" w:hAnsi="Arial"/>
      <w:sz w:val="18"/>
    </w:rPr>
  </w:style>
  <w:style w:type="paragraph" w:customStyle="1" w:styleId="Source">
    <w:name w:val="Source"/>
    <w:basedOn w:val="Normal"/>
    <w:next w:val="BodyText"/>
    <w:link w:val="SourceChar"/>
    <w:rsid w:val="006D240A"/>
    <w:pPr>
      <w:keepLines/>
      <w:spacing w:before="80" w:line="220" w:lineRule="exact"/>
      <w:jc w:val="both"/>
    </w:pPr>
    <w:rPr>
      <w:rFonts w:ascii="Arial" w:hAnsi="Arial"/>
      <w:sz w:val="18"/>
      <w:szCs w:val="20"/>
    </w:rPr>
  </w:style>
  <w:style w:type="paragraph" w:customStyle="1" w:styleId="BoxSource">
    <w:name w:val="Box Source"/>
    <w:basedOn w:val="Source"/>
    <w:next w:val="BodyText"/>
    <w:rsid w:val="006D240A"/>
    <w:pPr>
      <w:spacing w:before="120"/>
    </w:pPr>
  </w:style>
  <w:style w:type="paragraph" w:customStyle="1" w:styleId="BoxSpaceAbove">
    <w:name w:val="Box Space Above"/>
    <w:basedOn w:val="BodyText"/>
    <w:rsid w:val="006D240A"/>
    <w:pPr>
      <w:keepNext/>
      <w:spacing w:before="360" w:line="80" w:lineRule="exact"/>
      <w:jc w:val="left"/>
    </w:pPr>
  </w:style>
  <w:style w:type="paragraph" w:styleId="Caption">
    <w:name w:val="caption"/>
    <w:basedOn w:val="Normal"/>
    <w:next w:val="BodyText"/>
    <w:rsid w:val="006D240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6D240A"/>
    <w:pPr>
      <w:spacing w:before="120" w:after="0"/>
    </w:pPr>
  </w:style>
  <w:style w:type="paragraph" w:customStyle="1" w:styleId="BoxSubtitle">
    <w:name w:val="Box Subtitle"/>
    <w:basedOn w:val="BoxTitle"/>
    <w:next w:val="Normal"/>
    <w:rsid w:val="006D240A"/>
    <w:pPr>
      <w:spacing w:after="80" w:line="200" w:lineRule="exact"/>
      <w:ind w:firstLine="0"/>
    </w:pPr>
    <w:rPr>
      <w:b w:val="0"/>
      <w:sz w:val="20"/>
    </w:rPr>
  </w:style>
  <w:style w:type="paragraph" w:customStyle="1" w:styleId="Chapter">
    <w:name w:val="Chapter"/>
    <w:basedOn w:val="Heading1"/>
    <w:next w:val="BodyText"/>
    <w:semiHidden/>
    <w:rsid w:val="006D240A"/>
    <w:pPr>
      <w:ind w:left="0" w:firstLine="0"/>
      <w:outlineLvl w:val="9"/>
    </w:pPr>
  </w:style>
  <w:style w:type="paragraph" w:customStyle="1" w:styleId="ChapterSummary">
    <w:name w:val="Chapter Summary"/>
    <w:basedOn w:val="BodyText"/>
    <w:rsid w:val="006D240A"/>
    <w:pPr>
      <w:spacing w:line="280" w:lineRule="atLeast"/>
      <w:ind w:left="907"/>
    </w:pPr>
    <w:rPr>
      <w:rFonts w:ascii="Arial" w:hAnsi="Arial"/>
      <w:b/>
      <w:sz w:val="20"/>
    </w:rPr>
  </w:style>
  <w:style w:type="character" w:styleId="CommentReference">
    <w:name w:val="annotation reference"/>
    <w:basedOn w:val="DefaultParagraphFont"/>
    <w:semiHidden/>
    <w:rsid w:val="006D240A"/>
    <w:rPr>
      <w:b/>
      <w:vanish/>
      <w:color w:val="FF00FF"/>
      <w:sz w:val="20"/>
    </w:rPr>
  </w:style>
  <w:style w:type="paragraph" w:styleId="CommentText">
    <w:name w:val="annotation text"/>
    <w:basedOn w:val="Normal"/>
    <w:link w:val="CommentTextChar"/>
    <w:semiHidden/>
    <w:rsid w:val="006D240A"/>
    <w:pPr>
      <w:spacing w:before="120" w:line="240" w:lineRule="atLeast"/>
      <w:ind w:left="567" w:hanging="567"/>
    </w:pPr>
    <w:rPr>
      <w:sz w:val="20"/>
    </w:rPr>
  </w:style>
  <w:style w:type="paragraph" w:customStyle="1" w:styleId="Continued">
    <w:name w:val="Continued"/>
    <w:basedOn w:val="BoxContinued"/>
    <w:next w:val="BodyText"/>
    <w:rsid w:val="006D240A"/>
  </w:style>
  <w:style w:type="character" w:customStyle="1" w:styleId="DocumentInfo">
    <w:name w:val="Document Info"/>
    <w:basedOn w:val="DefaultParagraphFont"/>
    <w:semiHidden/>
    <w:rsid w:val="006D240A"/>
    <w:rPr>
      <w:rFonts w:ascii="Arial" w:hAnsi="Arial"/>
      <w:sz w:val="14"/>
    </w:rPr>
  </w:style>
  <w:style w:type="character" w:customStyle="1" w:styleId="DraftingNote">
    <w:name w:val="Drafting Note"/>
    <w:basedOn w:val="DefaultParagraphFont"/>
    <w:rsid w:val="006D240A"/>
    <w:rPr>
      <w:b/>
      <w:color w:val="FF0000"/>
      <w:sz w:val="24"/>
      <w:u w:val="dotted"/>
    </w:rPr>
  </w:style>
  <w:style w:type="paragraph" w:customStyle="1" w:styleId="Figure">
    <w:name w:val="Figure"/>
    <w:basedOn w:val="BodyText"/>
    <w:rsid w:val="006D240A"/>
    <w:pPr>
      <w:keepNext/>
      <w:spacing w:before="120" w:after="120" w:line="240" w:lineRule="atLeast"/>
      <w:jc w:val="center"/>
    </w:pPr>
  </w:style>
  <w:style w:type="paragraph" w:customStyle="1" w:styleId="FigureTitle">
    <w:name w:val="Figure Title"/>
    <w:basedOn w:val="Caption"/>
    <w:next w:val="Subtitle"/>
    <w:rsid w:val="006D240A"/>
    <w:pPr>
      <w:spacing w:before="120"/>
    </w:pPr>
  </w:style>
  <w:style w:type="paragraph" w:styleId="Subtitle">
    <w:name w:val="Subtitle"/>
    <w:basedOn w:val="Caption"/>
    <w:link w:val="SubtitleChar"/>
    <w:qFormat/>
    <w:rsid w:val="006D240A"/>
    <w:pPr>
      <w:spacing w:before="0" w:line="200" w:lineRule="exact"/>
      <w:ind w:firstLine="0"/>
    </w:pPr>
    <w:rPr>
      <w:b w:val="0"/>
      <w:sz w:val="20"/>
    </w:rPr>
  </w:style>
  <w:style w:type="paragraph" w:customStyle="1" w:styleId="Finding">
    <w:name w:val="Finding"/>
    <w:basedOn w:val="BodyText"/>
    <w:rsid w:val="006D240A"/>
    <w:pPr>
      <w:keepLines/>
      <w:spacing w:before="120" w:line="280" w:lineRule="atLeast"/>
    </w:pPr>
    <w:rPr>
      <w:rFonts w:ascii="Arial" w:hAnsi="Arial"/>
      <w:sz w:val="22"/>
    </w:rPr>
  </w:style>
  <w:style w:type="paragraph" w:customStyle="1" w:styleId="FindingBullet">
    <w:name w:val="Finding Bullet"/>
    <w:basedOn w:val="Finding"/>
    <w:rsid w:val="006D240A"/>
    <w:pPr>
      <w:numPr>
        <w:numId w:val="15"/>
      </w:numPr>
      <w:spacing w:before="80"/>
    </w:pPr>
  </w:style>
  <w:style w:type="paragraph" w:customStyle="1" w:styleId="FindingNoTitle">
    <w:name w:val="Finding NoTitle"/>
    <w:basedOn w:val="Finding"/>
    <w:semiHidden/>
    <w:rsid w:val="006D240A"/>
    <w:pPr>
      <w:spacing w:before="240"/>
    </w:pPr>
  </w:style>
  <w:style w:type="paragraph" w:customStyle="1" w:styleId="RecTitle">
    <w:name w:val="Rec Title"/>
    <w:basedOn w:val="BodyText"/>
    <w:next w:val="Rec"/>
    <w:qFormat/>
    <w:rsid w:val="006D240A"/>
    <w:pPr>
      <w:keepNext/>
      <w:keepLines/>
      <w:spacing w:line="280" w:lineRule="atLeast"/>
    </w:pPr>
    <w:rPr>
      <w:rFonts w:ascii="Arial" w:hAnsi="Arial"/>
      <w:caps/>
      <w:sz w:val="18"/>
    </w:rPr>
  </w:style>
  <w:style w:type="paragraph" w:customStyle="1" w:styleId="FindingTitle">
    <w:name w:val="Finding Title"/>
    <w:basedOn w:val="RecTitle"/>
    <w:next w:val="Finding"/>
    <w:rsid w:val="006D240A"/>
  </w:style>
  <w:style w:type="character" w:styleId="FootnoteReference">
    <w:name w:val="footnote reference"/>
    <w:basedOn w:val="DefaultParagraphFont"/>
    <w:semiHidden/>
    <w:rsid w:val="006D240A"/>
    <w:rPr>
      <w:rFonts w:ascii="Times New Roman" w:hAnsi="Times New Roman"/>
      <w:position w:val="6"/>
      <w:sz w:val="20"/>
      <w:vertAlign w:val="baseline"/>
    </w:rPr>
  </w:style>
  <w:style w:type="paragraph" w:styleId="FootnoteText">
    <w:name w:val="footnote text"/>
    <w:basedOn w:val="BodyText"/>
    <w:link w:val="FootnoteTextChar"/>
    <w:rsid w:val="006D240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D240A"/>
    <w:rPr>
      <w:i/>
    </w:rPr>
  </w:style>
  <w:style w:type="paragraph" w:customStyle="1" w:styleId="Jurisdictioncommentsbodytext">
    <w:name w:val="Jurisdiction comments body text"/>
    <w:rsid w:val="006D240A"/>
    <w:pPr>
      <w:spacing w:after="140"/>
      <w:jc w:val="both"/>
    </w:pPr>
    <w:rPr>
      <w:rFonts w:ascii="Arial" w:hAnsi="Arial"/>
      <w:sz w:val="24"/>
      <w:lang w:eastAsia="en-US"/>
    </w:rPr>
  </w:style>
  <w:style w:type="paragraph" w:customStyle="1" w:styleId="Jurisdictioncommentsheading">
    <w:name w:val="Jurisdiction comments heading"/>
    <w:rsid w:val="006D240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D240A"/>
    <w:pPr>
      <w:numPr>
        <w:numId w:val="2"/>
      </w:numPr>
      <w:spacing w:after="140"/>
      <w:jc w:val="both"/>
    </w:pPr>
    <w:rPr>
      <w:rFonts w:ascii="Arial" w:hAnsi="Arial"/>
      <w:sz w:val="24"/>
      <w:lang w:eastAsia="en-US"/>
    </w:rPr>
  </w:style>
  <w:style w:type="paragraph" w:styleId="ListBullet">
    <w:name w:val="List Bullet"/>
    <w:basedOn w:val="BodyText"/>
    <w:rsid w:val="006D240A"/>
    <w:pPr>
      <w:numPr>
        <w:numId w:val="3"/>
      </w:numPr>
      <w:spacing w:before="120"/>
    </w:pPr>
  </w:style>
  <w:style w:type="paragraph" w:styleId="ListBullet2">
    <w:name w:val="List Bullet 2"/>
    <w:basedOn w:val="BodyText"/>
    <w:rsid w:val="006D240A"/>
    <w:pPr>
      <w:numPr>
        <w:numId w:val="4"/>
      </w:numPr>
      <w:spacing w:before="120"/>
    </w:pPr>
  </w:style>
  <w:style w:type="paragraph" w:styleId="ListBullet3">
    <w:name w:val="List Bullet 3"/>
    <w:basedOn w:val="BodyText"/>
    <w:rsid w:val="006D240A"/>
    <w:pPr>
      <w:numPr>
        <w:numId w:val="5"/>
      </w:numPr>
      <w:spacing w:before="120"/>
      <w:ind w:left="1020" w:hanging="340"/>
    </w:pPr>
  </w:style>
  <w:style w:type="paragraph" w:styleId="ListNumber">
    <w:name w:val="List Number"/>
    <w:basedOn w:val="BodyText"/>
    <w:rsid w:val="006D240A"/>
    <w:pPr>
      <w:numPr>
        <w:numId w:val="9"/>
      </w:numPr>
      <w:spacing w:before="120"/>
    </w:pPr>
  </w:style>
  <w:style w:type="paragraph" w:styleId="ListNumber2">
    <w:name w:val="List Number 2"/>
    <w:basedOn w:val="ListNumber"/>
    <w:rsid w:val="006D240A"/>
    <w:pPr>
      <w:numPr>
        <w:ilvl w:val="1"/>
      </w:numPr>
    </w:pPr>
  </w:style>
  <w:style w:type="paragraph" w:styleId="ListNumber3">
    <w:name w:val="List Number 3"/>
    <w:basedOn w:val="ListNumber2"/>
    <w:rsid w:val="006D240A"/>
    <w:pPr>
      <w:numPr>
        <w:ilvl w:val="2"/>
      </w:numPr>
    </w:pPr>
  </w:style>
  <w:style w:type="character" w:customStyle="1" w:styleId="NoteLabel">
    <w:name w:val="Note Label"/>
    <w:basedOn w:val="DefaultParagraphFont"/>
    <w:rsid w:val="006D240A"/>
    <w:rPr>
      <w:rFonts w:ascii="Arial" w:hAnsi="Arial"/>
      <w:b/>
      <w:position w:val="6"/>
      <w:sz w:val="18"/>
    </w:rPr>
  </w:style>
  <w:style w:type="paragraph" w:customStyle="1" w:styleId="PartDivider">
    <w:name w:val="Part Divider"/>
    <w:basedOn w:val="BodyText"/>
    <w:next w:val="BodyText"/>
    <w:semiHidden/>
    <w:rsid w:val="006D240A"/>
    <w:pPr>
      <w:spacing w:before="0" w:line="40" w:lineRule="exact"/>
      <w:jc w:val="right"/>
    </w:pPr>
    <w:rPr>
      <w:smallCaps/>
      <w:sz w:val="16"/>
    </w:rPr>
  </w:style>
  <w:style w:type="paragraph" w:customStyle="1" w:styleId="PartNumber">
    <w:name w:val="Part Number"/>
    <w:basedOn w:val="BodyText"/>
    <w:next w:val="BodyText"/>
    <w:semiHidden/>
    <w:rsid w:val="006D240A"/>
    <w:pPr>
      <w:spacing w:before="4000" w:line="320" w:lineRule="exact"/>
      <w:ind w:left="6634"/>
      <w:jc w:val="right"/>
    </w:pPr>
    <w:rPr>
      <w:smallCaps/>
      <w:spacing w:val="60"/>
      <w:sz w:val="32"/>
    </w:rPr>
  </w:style>
  <w:style w:type="paragraph" w:customStyle="1" w:styleId="PartTitle">
    <w:name w:val="Part Title"/>
    <w:basedOn w:val="BodyText"/>
    <w:semiHidden/>
    <w:rsid w:val="006D240A"/>
    <w:pPr>
      <w:spacing w:before="160" w:after="1360" w:line="520" w:lineRule="exact"/>
      <w:ind w:right="2381"/>
      <w:jc w:val="right"/>
    </w:pPr>
    <w:rPr>
      <w:smallCaps/>
      <w:sz w:val="52"/>
    </w:rPr>
  </w:style>
  <w:style w:type="paragraph" w:styleId="Quote">
    <w:name w:val="Quote"/>
    <w:basedOn w:val="BodyText"/>
    <w:next w:val="BodyText"/>
    <w:qFormat/>
    <w:rsid w:val="006D240A"/>
    <w:pPr>
      <w:spacing w:before="120" w:line="280" w:lineRule="exact"/>
      <w:ind w:left="340"/>
    </w:pPr>
    <w:rPr>
      <w:sz w:val="22"/>
    </w:rPr>
  </w:style>
  <w:style w:type="paragraph" w:customStyle="1" w:styleId="QuoteBullet">
    <w:name w:val="Quote Bullet"/>
    <w:basedOn w:val="Quote"/>
    <w:rsid w:val="006D240A"/>
    <w:pPr>
      <w:numPr>
        <w:numId w:val="6"/>
      </w:numPr>
    </w:pPr>
  </w:style>
  <w:style w:type="paragraph" w:customStyle="1" w:styleId="Rec">
    <w:name w:val="Rec"/>
    <w:basedOn w:val="BodyText"/>
    <w:qFormat/>
    <w:rsid w:val="006D240A"/>
    <w:pPr>
      <w:keepLines/>
      <w:spacing w:before="120" w:line="280" w:lineRule="atLeast"/>
    </w:pPr>
    <w:rPr>
      <w:rFonts w:ascii="Arial" w:hAnsi="Arial"/>
      <w:sz w:val="22"/>
    </w:rPr>
  </w:style>
  <w:style w:type="paragraph" w:customStyle="1" w:styleId="RecBullet">
    <w:name w:val="Rec Bullet"/>
    <w:basedOn w:val="Rec"/>
    <w:rsid w:val="006D240A"/>
    <w:pPr>
      <w:numPr>
        <w:numId w:val="17"/>
      </w:numPr>
      <w:spacing w:before="80"/>
    </w:pPr>
  </w:style>
  <w:style w:type="paragraph" w:customStyle="1" w:styleId="RecB">
    <w:name w:val="RecB"/>
    <w:basedOn w:val="Normal"/>
    <w:semiHidden/>
    <w:rsid w:val="006D240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D240A"/>
    <w:pPr>
      <w:numPr>
        <w:numId w:val="11"/>
      </w:numPr>
      <w:spacing w:before="80"/>
    </w:pPr>
  </w:style>
  <w:style w:type="paragraph" w:customStyle="1" w:styleId="RecBNoTitle">
    <w:name w:val="RecB NoTitle"/>
    <w:basedOn w:val="RecB"/>
    <w:semiHidden/>
    <w:rsid w:val="006D240A"/>
    <w:pPr>
      <w:spacing w:before="240"/>
    </w:pPr>
  </w:style>
  <w:style w:type="paragraph" w:customStyle="1" w:styleId="Reference">
    <w:name w:val="Reference"/>
    <w:basedOn w:val="BodyText"/>
    <w:rsid w:val="006D240A"/>
    <w:pPr>
      <w:spacing w:before="120"/>
      <w:ind w:left="340" w:hanging="340"/>
    </w:pPr>
  </w:style>
  <w:style w:type="paragraph" w:customStyle="1" w:styleId="SequenceInfo">
    <w:name w:val="Sequence Info"/>
    <w:basedOn w:val="BodyText"/>
    <w:semiHidden/>
    <w:rsid w:val="006D240A"/>
    <w:rPr>
      <w:vanish/>
      <w:sz w:val="16"/>
    </w:rPr>
  </w:style>
  <w:style w:type="paragraph" w:customStyle="1" w:styleId="SideNote">
    <w:name w:val="Side Note"/>
    <w:basedOn w:val="BodyText"/>
    <w:next w:val="BodyText"/>
    <w:semiHidden/>
    <w:rsid w:val="006D240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D240A"/>
    <w:pPr>
      <w:framePr w:wrap="around"/>
      <w:numPr>
        <w:numId w:val="7"/>
      </w:numPr>
      <w:tabs>
        <w:tab w:val="left" w:pos="227"/>
      </w:tabs>
    </w:pPr>
  </w:style>
  <w:style w:type="paragraph" w:customStyle="1" w:styleId="SideNoteGraphic">
    <w:name w:val="Side Note Graphic"/>
    <w:basedOn w:val="SideNote"/>
    <w:next w:val="BodyText"/>
    <w:semiHidden/>
    <w:rsid w:val="006D240A"/>
    <w:pPr>
      <w:framePr w:wrap="around"/>
    </w:pPr>
  </w:style>
  <w:style w:type="paragraph" w:customStyle="1" w:styleId="TableBodyText">
    <w:name w:val="Table Body Text"/>
    <w:basedOn w:val="BodyText"/>
    <w:rsid w:val="006D240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D240A"/>
    <w:pPr>
      <w:numPr>
        <w:numId w:val="8"/>
      </w:numPr>
      <w:jc w:val="left"/>
    </w:pPr>
  </w:style>
  <w:style w:type="paragraph" w:customStyle="1" w:styleId="TableColumnHeading">
    <w:name w:val="Table Column Heading"/>
    <w:basedOn w:val="TableBodyText"/>
    <w:rsid w:val="006D240A"/>
    <w:pPr>
      <w:spacing w:before="80" w:after="80"/>
    </w:pPr>
    <w:rPr>
      <w:i/>
    </w:rPr>
  </w:style>
  <w:style w:type="paragraph" w:styleId="TOC2">
    <w:name w:val="toc 2"/>
    <w:basedOn w:val="TOC1"/>
    <w:uiPriority w:val="39"/>
    <w:rsid w:val="006D240A"/>
    <w:pPr>
      <w:ind w:left="1134" w:hanging="624"/>
    </w:pPr>
    <w:rPr>
      <w:b w:val="0"/>
    </w:rPr>
  </w:style>
  <w:style w:type="paragraph" w:styleId="TOC3">
    <w:name w:val="toc 3"/>
    <w:basedOn w:val="TOC2"/>
    <w:rsid w:val="006D240A"/>
    <w:pPr>
      <w:spacing w:before="60"/>
      <w:ind w:left="1190" w:hanging="680"/>
    </w:pPr>
  </w:style>
  <w:style w:type="paragraph" w:styleId="TableofFigures">
    <w:name w:val="table of figures"/>
    <w:basedOn w:val="TOC3"/>
    <w:next w:val="BodyText"/>
    <w:semiHidden/>
    <w:rsid w:val="006D240A"/>
    <w:pPr>
      <w:ind w:left="737" w:hanging="737"/>
    </w:pPr>
  </w:style>
  <w:style w:type="paragraph" w:customStyle="1" w:styleId="TableTitle">
    <w:name w:val="Table Title"/>
    <w:basedOn w:val="Caption"/>
    <w:next w:val="Subtitle"/>
    <w:qFormat/>
    <w:rsid w:val="006D240A"/>
    <w:pPr>
      <w:spacing w:before="120"/>
    </w:pPr>
  </w:style>
  <w:style w:type="paragraph" w:customStyle="1" w:styleId="TableUnitsRow">
    <w:name w:val="Table Units Row"/>
    <w:basedOn w:val="TableBodyText"/>
    <w:rsid w:val="006D240A"/>
    <w:pPr>
      <w:spacing w:before="40"/>
    </w:pPr>
  </w:style>
  <w:style w:type="paragraph" w:styleId="TOC1">
    <w:name w:val="toc 1"/>
    <w:basedOn w:val="Normal"/>
    <w:next w:val="TOC2"/>
    <w:link w:val="TOC1Char"/>
    <w:uiPriority w:val="39"/>
    <w:rsid w:val="006D240A"/>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6D240A"/>
    <w:pPr>
      <w:ind w:left="1191" w:firstLine="0"/>
    </w:pPr>
  </w:style>
  <w:style w:type="paragraph" w:customStyle="1" w:styleId="RecBBullet2">
    <w:name w:val="RecB Bullet 2"/>
    <w:basedOn w:val="ListBullet2"/>
    <w:semiHidden/>
    <w:rsid w:val="006D240A"/>
    <w:pPr>
      <w:pBdr>
        <w:left w:val="single" w:sz="24" w:space="29" w:color="C0C0C0"/>
      </w:pBdr>
    </w:pPr>
    <w:rPr>
      <w:b/>
      <w:i/>
    </w:rPr>
  </w:style>
  <w:style w:type="paragraph" w:styleId="BalloonText">
    <w:name w:val="Balloon Text"/>
    <w:basedOn w:val="Normal"/>
    <w:link w:val="BalloonTextChar"/>
    <w:rsid w:val="006D240A"/>
    <w:rPr>
      <w:rFonts w:ascii="Tahoma" w:hAnsi="Tahoma" w:cs="Tahoma"/>
      <w:sz w:val="16"/>
      <w:szCs w:val="16"/>
    </w:rPr>
  </w:style>
  <w:style w:type="character" w:customStyle="1" w:styleId="BalloonTextChar">
    <w:name w:val="Balloon Text Char"/>
    <w:basedOn w:val="DefaultParagraphFont"/>
    <w:link w:val="BalloonText"/>
    <w:rsid w:val="006D240A"/>
    <w:rPr>
      <w:rFonts w:ascii="Tahoma" w:hAnsi="Tahoma" w:cs="Tahoma"/>
      <w:sz w:val="16"/>
      <w:szCs w:val="16"/>
    </w:rPr>
  </w:style>
  <w:style w:type="character" w:customStyle="1" w:styleId="SubtitleChar">
    <w:name w:val="Subtitle Char"/>
    <w:basedOn w:val="DefaultParagraphFont"/>
    <w:link w:val="Subtitle"/>
    <w:rsid w:val="006D240A"/>
    <w:rPr>
      <w:rFonts w:ascii="Arial" w:hAnsi="Arial"/>
      <w:szCs w:val="24"/>
    </w:rPr>
  </w:style>
  <w:style w:type="paragraph" w:customStyle="1" w:styleId="BoxListBullet3">
    <w:name w:val="Box List Bullet 3"/>
    <w:basedOn w:val="ListBullet3"/>
    <w:rsid w:val="006D240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D240A"/>
    <w:rPr>
      <w:i/>
      <w:iCs/>
    </w:rPr>
  </w:style>
  <w:style w:type="paragraph" w:customStyle="1" w:styleId="BoxQuoteBullet">
    <w:name w:val="Box Quote Bullet"/>
    <w:basedOn w:val="BoxQuote"/>
    <w:next w:val="Box"/>
    <w:rsid w:val="006D240A"/>
    <w:pPr>
      <w:numPr>
        <w:numId w:val="12"/>
      </w:numPr>
      <w:ind w:left="568" w:hanging="284"/>
    </w:pPr>
  </w:style>
  <w:style w:type="paragraph" w:customStyle="1" w:styleId="InformationRequestBullet">
    <w:name w:val="Information Request Bullet"/>
    <w:basedOn w:val="ListBullet"/>
    <w:next w:val="BodyText"/>
    <w:rsid w:val="006D240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D240A"/>
    <w:pPr>
      <w:keepNext w:val="0"/>
      <w:spacing w:before="60" w:after="60" w:line="80" w:lineRule="exact"/>
    </w:pPr>
    <w:rPr>
      <w:sz w:val="14"/>
    </w:rPr>
  </w:style>
  <w:style w:type="paragraph" w:customStyle="1" w:styleId="KeyPointsListBullet">
    <w:name w:val="Key Points List Bullet"/>
    <w:basedOn w:val="Normal"/>
    <w:qFormat/>
    <w:rsid w:val="006D240A"/>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F670BC"/>
    <w:pPr>
      <w:numPr>
        <w:numId w:val="21"/>
      </w:numPr>
      <w:ind w:left="624" w:hanging="284"/>
    </w:pPr>
  </w:style>
  <w:style w:type="paragraph" w:customStyle="1" w:styleId="InformationRequestTitle">
    <w:name w:val="Information Request Title"/>
    <w:basedOn w:val="FindingTitle"/>
    <w:next w:val="InformationRequest"/>
    <w:rsid w:val="006D240A"/>
    <w:rPr>
      <w:i/>
    </w:rPr>
  </w:style>
  <w:style w:type="paragraph" w:customStyle="1" w:styleId="Space">
    <w:name w:val="Space"/>
    <w:basedOn w:val="Normal"/>
    <w:rsid w:val="006D240A"/>
    <w:pPr>
      <w:keepNext/>
      <w:spacing w:line="120" w:lineRule="exact"/>
      <w:jc w:val="both"/>
    </w:pPr>
    <w:rPr>
      <w:rFonts w:ascii="Arial" w:hAnsi="Arial"/>
      <w:sz w:val="20"/>
      <w:szCs w:val="20"/>
    </w:rPr>
  </w:style>
  <w:style w:type="paragraph" w:customStyle="1" w:styleId="Heading1nochapterno">
    <w:name w:val="Heading 1 (no chapter no.)"/>
    <w:basedOn w:val="Heading1"/>
    <w:rsid w:val="006D240A"/>
    <w:pPr>
      <w:spacing w:before="0"/>
      <w:ind w:left="0" w:firstLine="0"/>
    </w:pPr>
  </w:style>
  <w:style w:type="paragraph" w:customStyle="1" w:styleId="Heading2nosectionno">
    <w:name w:val="Heading 2 (no section no.)"/>
    <w:basedOn w:val="Heading2"/>
    <w:rsid w:val="006D240A"/>
    <w:pPr>
      <w:ind w:left="0" w:firstLine="0"/>
    </w:pPr>
  </w:style>
  <w:style w:type="character" w:customStyle="1" w:styleId="Heading5Char">
    <w:name w:val="Heading 5 Char"/>
    <w:basedOn w:val="DefaultParagraphFont"/>
    <w:link w:val="Heading5"/>
    <w:rsid w:val="006D240A"/>
    <w:rPr>
      <w:rFonts w:ascii="Arial" w:hAnsi="Arial"/>
      <w:i/>
      <w:sz w:val="22"/>
    </w:rPr>
  </w:style>
  <w:style w:type="paragraph" w:customStyle="1" w:styleId="Figurespace">
    <w:name w:val="Figure space"/>
    <w:basedOn w:val="Box"/>
    <w:rsid w:val="006D240A"/>
    <w:pPr>
      <w:spacing w:before="0" w:line="120" w:lineRule="exact"/>
    </w:pPr>
  </w:style>
  <w:style w:type="paragraph" w:customStyle="1" w:styleId="FooterDraftReport">
    <w:name w:val="FooterDraftReport"/>
    <w:basedOn w:val="Footer"/>
    <w:link w:val="FooterDraftReportChar"/>
    <w:rsid w:val="006D240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D240A"/>
    <w:rPr>
      <w:sz w:val="24"/>
    </w:rPr>
  </w:style>
  <w:style w:type="character" w:customStyle="1" w:styleId="FooterChar">
    <w:name w:val="Footer Char"/>
    <w:basedOn w:val="BodyTextChar"/>
    <w:link w:val="Footer"/>
    <w:semiHidden/>
    <w:rsid w:val="006D240A"/>
    <w:rPr>
      <w:rFonts w:ascii="Arial" w:hAnsi="Arial"/>
      <w:caps/>
      <w:spacing w:val="-4"/>
      <w:sz w:val="16"/>
    </w:rPr>
  </w:style>
  <w:style w:type="character" w:customStyle="1" w:styleId="FooterDraftReportChar">
    <w:name w:val="FooterDraftReport Char"/>
    <w:basedOn w:val="FooterChar"/>
    <w:link w:val="FooterDraftReport"/>
    <w:rsid w:val="006D240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D2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6D240A"/>
    <w:rPr>
      <w:rFonts w:ascii="Arial" w:hAnsi="Arial"/>
      <w:b/>
      <w:sz w:val="26"/>
      <w:szCs w:val="26"/>
      <w:lang w:eastAsia="en-US"/>
    </w:rPr>
  </w:style>
  <w:style w:type="character" w:customStyle="1" w:styleId="Continuedintitle">
    <w:name w:val="Continued (in title)"/>
    <w:basedOn w:val="DefaultParagraphFont"/>
    <w:rsid w:val="006D240A"/>
    <w:rPr>
      <w:rFonts w:ascii="Arial" w:hAnsi="Arial"/>
      <w:b/>
      <w:sz w:val="18"/>
    </w:rPr>
  </w:style>
  <w:style w:type="character" w:customStyle="1" w:styleId="FootnoteTextChar">
    <w:name w:val="Footnote Text Char"/>
    <w:basedOn w:val="DefaultParagraphFont"/>
    <w:link w:val="FootnoteText"/>
    <w:rsid w:val="00201D2B"/>
  </w:style>
  <w:style w:type="paragraph" w:styleId="CommentSubject">
    <w:name w:val="annotation subject"/>
    <w:basedOn w:val="CommentText"/>
    <w:next w:val="CommentText"/>
    <w:link w:val="CommentSubjectChar"/>
    <w:semiHidden/>
    <w:unhideWhenUsed/>
    <w:rsid w:val="001F4AC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F4ACB"/>
    <w:rPr>
      <w:szCs w:val="24"/>
    </w:rPr>
  </w:style>
  <w:style w:type="character" w:customStyle="1" w:styleId="CommentSubjectChar">
    <w:name w:val="Comment Subject Char"/>
    <w:basedOn w:val="CommentTextChar"/>
    <w:link w:val="CommentSubject"/>
    <w:semiHidden/>
    <w:rsid w:val="001F4ACB"/>
    <w:rPr>
      <w:b/>
      <w:bCs/>
      <w:szCs w:val="24"/>
    </w:rPr>
  </w:style>
  <w:style w:type="paragraph" w:styleId="Revision">
    <w:name w:val="Revision"/>
    <w:hidden/>
    <w:uiPriority w:val="99"/>
    <w:semiHidden/>
    <w:rsid w:val="00CF5FB0"/>
    <w:rPr>
      <w:sz w:val="24"/>
      <w:szCs w:val="24"/>
    </w:rPr>
  </w:style>
  <w:style w:type="character" w:customStyle="1" w:styleId="NoteChar">
    <w:name w:val="Note Char"/>
    <w:basedOn w:val="DefaultParagraphFont"/>
    <w:link w:val="Note"/>
    <w:locked/>
    <w:rsid w:val="0046547F"/>
    <w:rPr>
      <w:rFonts w:ascii="Arial" w:hAnsi="Arial"/>
      <w:sz w:val="18"/>
    </w:rPr>
  </w:style>
  <w:style w:type="character" w:customStyle="1" w:styleId="SourceChar">
    <w:name w:val="Source Char"/>
    <w:basedOn w:val="DefaultParagraphFont"/>
    <w:link w:val="Source"/>
    <w:rsid w:val="0046547F"/>
    <w:rPr>
      <w:rFonts w:ascii="Arial" w:hAnsi="Arial"/>
      <w:sz w:val="18"/>
    </w:rPr>
  </w:style>
  <w:style w:type="paragraph" w:styleId="Bibliography">
    <w:name w:val="Bibliography"/>
    <w:basedOn w:val="Normal"/>
    <w:next w:val="Normal"/>
    <w:uiPriority w:val="37"/>
    <w:unhideWhenUsed/>
    <w:rsid w:val="004D6E2F"/>
    <w:pPr>
      <w:spacing w:after="240"/>
      <w:ind w:left="720" w:hanging="720"/>
    </w:pPr>
  </w:style>
  <w:style w:type="paragraph" w:customStyle="1" w:styleId="Nbody">
    <w:name w:val="Nbody"/>
    <w:basedOn w:val="BoxSpaceAbove"/>
    <w:rsid w:val="004D6E2F"/>
    <w:rPr>
      <w:b/>
      <w:vanish/>
      <w:color w:val="FF00FF"/>
      <w:sz w:val="14"/>
    </w:rPr>
  </w:style>
  <w:style w:type="character" w:styleId="EndnoteReference">
    <w:name w:val="endnote reference"/>
    <w:basedOn w:val="DefaultParagraphFont"/>
    <w:semiHidden/>
    <w:unhideWhenUsed/>
    <w:rsid w:val="004D6E2F"/>
    <w:rPr>
      <w:vertAlign w:val="superscript"/>
    </w:rPr>
  </w:style>
  <w:style w:type="paragraph" w:customStyle="1" w:styleId="KeyPoints">
    <w:name w:val="Key Points"/>
    <w:basedOn w:val="BoxTitle"/>
    <w:rsid w:val="004D6E2F"/>
  </w:style>
  <w:style w:type="character" w:styleId="Hyperlink">
    <w:name w:val="Hyperlink"/>
    <w:basedOn w:val="DefaultParagraphFont"/>
    <w:unhideWhenUsed/>
    <w:rsid w:val="00A62DF6"/>
    <w:rPr>
      <w:color w:val="000000" w:themeColor="hyperlink"/>
      <w:u w:val="single"/>
    </w:rPr>
  </w:style>
  <w:style w:type="character" w:styleId="FollowedHyperlink">
    <w:name w:val="FollowedHyperlink"/>
    <w:basedOn w:val="DefaultParagraphFont"/>
    <w:semiHidden/>
    <w:unhideWhenUsed/>
    <w:rsid w:val="00A62DF6"/>
    <w:rPr>
      <w:color w:val="BFBFBF" w:themeColor="followedHyperlink"/>
      <w:u w:val="single"/>
    </w:rPr>
  </w:style>
  <w:style w:type="character" w:customStyle="1" w:styleId="UnresolvedMention1">
    <w:name w:val="Unresolved Mention1"/>
    <w:basedOn w:val="DefaultParagraphFont"/>
    <w:uiPriority w:val="99"/>
    <w:semiHidden/>
    <w:unhideWhenUsed/>
    <w:rsid w:val="00A62DF6"/>
    <w:rPr>
      <w:color w:val="605E5C"/>
      <w:shd w:val="clear" w:color="auto" w:fill="E1DFDD"/>
    </w:rPr>
  </w:style>
  <w:style w:type="paragraph" w:customStyle="1" w:styleId="Footnotequote">
    <w:name w:val="Footnote quote"/>
    <w:basedOn w:val="FootnoteText"/>
    <w:rsid w:val="00A62DF6"/>
  </w:style>
  <w:style w:type="character" w:customStyle="1" w:styleId="Heading1Char">
    <w:name w:val="Heading 1 Char"/>
    <w:basedOn w:val="DefaultParagraphFont"/>
    <w:link w:val="Heading1"/>
    <w:rsid w:val="008C4DBE"/>
    <w:rPr>
      <w:sz w:val="52"/>
    </w:rPr>
  </w:style>
  <w:style w:type="paragraph" w:customStyle="1" w:styleId="Copyrightheading">
    <w:name w:val="Copyright heading"/>
    <w:basedOn w:val="TOC1"/>
    <w:link w:val="CopyrightheadingChar"/>
    <w:qFormat/>
    <w:rsid w:val="00C162CD"/>
    <w:pPr>
      <w:spacing w:after="0" w:line="300" w:lineRule="exact"/>
    </w:pPr>
    <w:rPr>
      <w:rFonts w:eastAsia="Times New Roman" w:cs="Times New Roman"/>
      <w:sz w:val="22"/>
    </w:rPr>
  </w:style>
  <w:style w:type="character" w:customStyle="1" w:styleId="CopyrightheadingChar">
    <w:name w:val="Copyright heading Char"/>
    <w:basedOn w:val="TOC1Char"/>
    <w:link w:val="Copyrightheading"/>
    <w:rsid w:val="00C162CD"/>
    <w:rPr>
      <w:rFonts w:ascii="Arial" w:hAnsi="Arial"/>
      <w:b/>
      <w:sz w:val="22"/>
      <w:szCs w:val="26"/>
      <w:lang w:eastAsia="en-US"/>
    </w:rPr>
  </w:style>
  <w:style w:type="paragraph" w:customStyle="1" w:styleId="Copyrightsubtitle">
    <w:name w:val="Copyright subtitle"/>
    <w:basedOn w:val="BodyText"/>
    <w:rsid w:val="00C162CD"/>
    <w:rPr>
      <w:rFonts w:ascii="Arial" w:hAnsi="Arial"/>
      <w:b/>
      <w:sz w:val="22"/>
      <w:szCs w:val="25"/>
    </w:rPr>
  </w:style>
  <w:style w:type="paragraph" w:customStyle="1" w:styleId="Copyrightbodytext">
    <w:name w:val="Copyright bodytext"/>
    <w:basedOn w:val="BodyText"/>
    <w:link w:val="CopyrightbodytextChar"/>
    <w:qFormat/>
    <w:rsid w:val="00C162CD"/>
    <w:pPr>
      <w:spacing w:before="60"/>
    </w:pPr>
  </w:style>
  <w:style w:type="character" w:customStyle="1" w:styleId="CopyrightbodytextChar">
    <w:name w:val="Copyright bodytext Char"/>
    <w:basedOn w:val="BodyTextChar"/>
    <w:link w:val="Copyrightbodytext"/>
    <w:rsid w:val="00C162CD"/>
    <w:rPr>
      <w:sz w:val="24"/>
    </w:rPr>
  </w:style>
  <w:style w:type="paragraph" w:customStyle="1" w:styleId="Heading1NotTOC">
    <w:name w:val="Heading 1 Not TOC"/>
    <w:basedOn w:val="Heading1"/>
    <w:next w:val="BodyText"/>
    <w:rsid w:val="005C1F59"/>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7481">
      <w:bodyDiv w:val="1"/>
      <w:marLeft w:val="0"/>
      <w:marRight w:val="0"/>
      <w:marTop w:val="0"/>
      <w:marBottom w:val="0"/>
      <w:divBdr>
        <w:top w:val="none" w:sz="0" w:space="0" w:color="auto"/>
        <w:left w:val="none" w:sz="0" w:space="0" w:color="auto"/>
        <w:bottom w:val="none" w:sz="0" w:space="0" w:color="auto"/>
        <w:right w:val="none" w:sz="0" w:space="0" w:color="auto"/>
      </w:divBdr>
      <w:divsChild>
        <w:div w:id="792752642">
          <w:marLeft w:val="0"/>
          <w:marRight w:val="0"/>
          <w:marTop w:val="0"/>
          <w:marBottom w:val="0"/>
          <w:divBdr>
            <w:top w:val="none" w:sz="0" w:space="0" w:color="auto"/>
            <w:left w:val="none" w:sz="0" w:space="0" w:color="auto"/>
            <w:bottom w:val="none" w:sz="0" w:space="0" w:color="auto"/>
            <w:right w:val="none" w:sz="0" w:space="0" w:color="auto"/>
          </w:divBdr>
        </w:div>
        <w:div w:id="1941526387">
          <w:marLeft w:val="0"/>
          <w:marRight w:val="0"/>
          <w:marTop w:val="0"/>
          <w:marBottom w:val="0"/>
          <w:divBdr>
            <w:top w:val="none" w:sz="0" w:space="0" w:color="auto"/>
            <w:left w:val="none" w:sz="0" w:space="0" w:color="auto"/>
            <w:bottom w:val="none" w:sz="0" w:space="0" w:color="auto"/>
            <w:right w:val="none" w:sz="0" w:space="0" w:color="auto"/>
          </w:divBdr>
        </w:div>
        <w:div w:id="1994022593">
          <w:marLeft w:val="0"/>
          <w:marRight w:val="0"/>
          <w:marTop w:val="0"/>
          <w:marBottom w:val="0"/>
          <w:divBdr>
            <w:top w:val="none" w:sz="0" w:space="0" w:color="auto"/>
            <w:left w:val="none" w:sz="0" w:space="0" w:color="auto"/>
            <w:bottom w:val="none" w:sz="0" w:space="0" w:color="auto"/>
            <w:right w:val="none" w:sz="0" w:space="0" w:color="auto"/>
          </w:divBdr>
        </w:div>
      </w:divsChild>
    </w:div>
    <w:div w:id="174537387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image" Target="media/image24.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chart" Target="charts/chart1.xm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2.emf"/><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hyperlink" Target="http://creativecommons.org/licenses/by/3.0/au" TargetMode="External"/><Relationship Id="rId19" Type="http://schemas.openxmlformats.org/officeDocument/2006/relationships/footer" Target="footer4.xml"/><Relationship Id="rId31" Type="http://schemas.openxmlformats.org/officeDocument/2006/relationships/image" Target="media/image14.emf"/><Relationship Id="rId44"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5.emf"/><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Klasing and Milionis </c:v>
          </c:tx>
          <c:spPr>
            <a:ln>
              <a:solidFill>
                <a:srgbClr val="66BCDB"/>
              </a:solidFill>
            </a:ln>
          </c:spPr>
          <c:marker>
            <c:symbol val="none"/>
          </c:marker>
          <c:cat>
            <c:numRef>
              <c:f>'Figure 15'!$B$10:$B$130</c:f>
              <c:numCache>
                <c:formatCode>0</c:formatCode>
                <c:ptCount val="121"/>
                <c:pt idx="0">
                  <c:v>1870</c:v>
                </c:pt>
                <c:pt idx="1">
                  <c:v>1871</c:v>
                </c:pt>
                <c:pt idx="2">
                  <c:v>1872</c:v>
                </c:pt>
                <c:pt idx="3">
                  <c:v>1873</c:v>
                </c:pt>
                <c:pt idx="4">
                  <c:v>1874</c:v>
                </c:pt>
                <c:pt idx="5">
                  <c:v>1875</c:v>
                </c:pt>
                <c:pt idx="6">
                  <c:v>1876</c:v>
                </c:pt>
                <c:pt idx="7">
                  <c:v>1877</c:v>
                </c:pt>
                <c:pt idx="8">
                  <c:v>1878</c:v>
                </c:pt>
                <c:pt idx="9">
                  <c:v>1879</c:v>
                </c:pt>
                <c:pt idx="10">
                  <c:v>1880</c:v>
                </c:pt>
                <c:pt idx="11">
                  <c:v>1881</c:v>
                </c:pt>
                <c:pt idx="12">
                  <c:v>1882</c:v>
                </c:pt>
                <c:pt idx="13">
                  <c:v>1883</c:v>
                </c:pt>
                <c:pt idx="14">
                  <c:v>1884</c:v>
                </c:pt>
                <c:pt idx="15">
                  <c:v>1885</c:v>
                </c:pt>
                <c:pt idx="16">
                  <c:v>1886</c:v>
                </c:pt>
                <c:pt idx="17">
                  <c:v>1887</c:v>
                </c:pt>
                <c:pt idx="18">
                  <c:v>1888</c:v>
                </c:pt>
                <c:pt idx="19">
                  <c:v>1889</c:v>
                </c:pt>
                <c:pt idx="20">
                  <c:v>1890</c:v>
                </c:pt>
                <c:pt idx="21">
                  <c:v>1891</c:v>
                </c:pt>
                <c:pt idx="22">
                  <c:v>1892</c:v>
                </c:pt>
                <c:pt idx="23">
                  <c:v>1893</c:v>
                </c:pt>
                <c:pt idx="24">
                  <c:v>1894</c:v>
                </c:pt>
                <c:pt idx="25">
                  <c:v>1895</c:v>
                </c:pt>
                <c:pt idx="26">
                  <c:v>1896</c:v>
                </c:pt>
                <c:pt idx="27">
                  <c:v>1897</c:v>
                </c:pt>
                <c:pt idx="28">
                  <c:v>1898</c:v>
                </c:pt>
                <c:pt idx="29">
                  <c:v>1899</c:v>
                </c:pt>
                <c:pt idx="30">
                  <c:v>1900</c:v>
                </c:pt>
                <c:pt idx="31">
                  <c:v>1901</c:v>
                </c:pt>
                <c:pt idx="32">
                  <c:v>1902</c:v>
                </c:pt>
                <c:pt idx="33">
                  <c:v>1903</c:v>
                </c:pt>
                <c:pt idx="34">
                  <c:v>1904</c:v>
                </c:pt>
                <c:pt idx="35">
                  <c:v>1905</c:v>
                </c:pt>
                <c:pt idx="36">
                  <c:v>1906</c:v>
                </c:pt>
                <c:pt idx="37">
                  <c:v>1907</c:v>
                </c:pt>
                <c:pt idx="38">
                  <c:v>1908</c:v>
                </c:pt>
                <c:pt idx="39">
                  <c:v>1909</c:v>
                </c:pt>
                <c:pt idx="40">
                  <c:v>1910</c:v>
                </c:pt>
                <c:pt idx="41">
                  <c:v>1911</c:v>
                </c:pt>
                <c:pt idx="42">
                  <c:v>1912</c:v>
                </c:pt>
                <c:pt idx="43">
                  <c:v>1913</c:v>
                </c:pt>
                <c:pt idx="44">
                  <c:v>1914</c:v>
                </c:pt>
                <c:pt idx="45">
                  <c:v>1915</c:v>
                </c:pt>
                <c:pt idx="46">
                  <c:v>1916</c:v>
                </c:pt>
                <c:pt idx="47">
                  <c:v>1917</c:v>
                </c:pt>
                <c:pt idx="48">
                  <c:v>1918</c:v>
                </c:pt>
                <c:pt idx="49">
                  <c:v>1919</c:v>
                </c:pt>
                <c:pt idx="50">
                  <c:v>1920</c:v>
                </c:pt>
                <c:pt idx="51">
                  <c:v>1921</c:v>
                </c:pt>
                <c:pt idx="52">
                  <c:v>1922</c:v>
                </c:pt>
                <c:pt idx="53">
                  <c:v>1923</c:v>
                </c:pt>
                <c:pt idx="54">
                  <c:v>1924</c:v>
                </c:pt>
                <c:pt idx="55">
                  <c:v>1925</c:v>
                </c:pt>
                <c:pt idx="56">
                  <c:v>1926</c:v>
                </c:pt>
                <c:pt idx="57">
                  <c:v>1927</c:v>
                </c:pt>
                <c:pt idx="58">
                  <c:v>1928</c:v>
                </c:pt>
                <c:pt idx="59">
                  <c:v>1929</c:v>
                </c:pt>
                <c:pt idx="60">
                  <c:v>1930</c:v>
                </c:pt>
                <c:pt idx="61">
                  <c:v>1931</c:v>
                </c:pt>
                <c:pt idx="62">
                  <c:v>1932</c:v>
                </c:pt>
                <c:pt idx="63">
                  <c:v>1933</c:v>
                </c:pt>
                <c:pt idx="64">
                  <c:v>1934</c:v>
                </c:pt>
                <c:pt idx="65">
                  <c:v>1935</c:v>
                </c:pt>
                <c:pt idx="66">
                  <c:v>1936</c:v>
                </c:pt>
                <c:pt idx="67">
                  <c:v>1937</c:v>
                </c:pt>
                <c:pt idx="68">
                  <c:v>1938</c:v>
                </c:pt>
                <c:pt idx="69">
                  <c:v>1939</c:v>
                </c:pt>
                <c:pt idx="70">
                  <c:v>1940</c:v>
                </c:pt>
                <c:pt idx="71">
                  <c:v>1941</c:v>
                </c:pt>
                <c:pt idx="72">
                  <c:v>1942</c:v>
                </c:pt>
                <c:pt idx="73">
                  <c:v>1943</c:v>
                </c:pt>
                <c:pt idx="74">
                  <c:v>1944</c:v>
                </c:pt>
                <c:pt idx="75">
                  <c:v>1945</c:v>
                </c:pt>
                <c:pt idx="76">
                  <c:v>1946</c:v>
                </c:pt>
                <c:pt idx="77">
                  <c:v>1947</c:v>
                </c:pt>
                <c:pt idx="78">
                  <c:v>1948</c:v>
                </c:pt>
                <c:pt idx="79">
                  <c:v>1949</c:v>
                </c:pt>
                <c:pt idx="80">
                  <c:v>1950</c:v>
                </c:pt>
                <c:pt idx="81">
                  <c:v>1951</c:v>
                </c:pt>
                <c:pt idx="82">
                  <c:v>1952</c:v>
                </c:pt>
                <c:pt idx="83">
                  <c:v>1953</c:v>
                </c:pt>
                <c:pt idx="84">
                  <c:v>1954</c:v>
                </c:pt>
                <c:pt idx="85">
                  <c:v>1955</c:v>
                </c:pt>
                <c:pt idx="86">
                  <c:v>1956</c:v>
                </c:pt>
                <c:pt idx="87">
                  <c:v>1957</c:v>
                </c:pt>
                <c:pt idx="88">
                  <c:v>1958</c:v>
                </c:pt>
                <c:pt idx="89">
                  <c:v>1959</c:v>
                </c:pt>
                <c:pt idx="90">
                  <c:v>1960</c:v>
                </c:pt>
                <c:pt idx="91">
                  <c:v>1961</c:v>
                </c:pt>
                <c:pt idx="92">
                  <c:v>1962</c:v>
                </c:pt>
                <c:pt idx="93">
                  <c:v>1963</c:v>
                </c:pt>
                <c:pt idx="94">
                  <c:v>1964</c:v>
                </c:pt>
                <c:pt idx="95">
                  <c:v>1965</c:v>
                </c:pt>
                <c:pt idx="96">
                  <c:v>1966</c:v>
                </c:pt>
                <c:pt idx="97">
                  <c:v>1967</c:v>
                </c:pt>
                <c:pt idx="98">
                  <c:v>1968</c:v>
                </c:pt>
                <c:pt idx="99">
                  <c:v>1969</c:v>
                </c:pt>
                <c:pt idx="100">
                  <c:v>1970</c:v>
                </c:pt>
                <c:pt idx="101">
                  <c:v>1971</c:v>
                </c:pt>
                <c:pt idx="102">
                  <c:v>1972</c:v>
                </c:pt>
                <c:pt idx="103">
                  <c:v>1973</c:v>
                </c:pt>
                <c:pt idx="104">
                  <c:v>1974</c:v>
                </c:pt>
                <c:pt idx="105">
                  <c:v>1975</c:v>
                </c:pt>
                <c:pt idx="106">
                  <c:v>1976</c:v>
                </c:pt>
                <c:pt idx="107">
                  <c:v>1977</c:v>
                </c:pt>
                <c:pt idx="108">
                  <c:v>1978</c:v>
                </c:pt>
                <c:pt idx="109">
                  <c:v>1979</c:v>
                </c:pt>
                <c:pt idx="110">
                  <c:v>1980</c:v>
                </c:pt>
                <c:pt idx="111">
                  <c:v>1981</c:v>
                </c:pt>
                <c:pt idx="112">
                  <c:v>1982</c:v>
                </c:pt>
                <c:pt idx="113">
                  <c:v>1983</c:v>
                </c:pt>
                <c:pt idx="114">
                  <c:v>1984</c:v>
                </c:pt>
                <c:pt idx="115">
                  <c:v>1985</c:v>
                </c:pt>
                <c:pt idx="116">
                  <c:v>1986</c:v>
                </c:pt>
                <c:pt idx="117">
                  <c:v>1987</c:v>
                </c:pt>
                <c:pt idx="118">
                  <c:v>1988</c:v>
                </c:pt>
                <c:pt idx="119">
                  <c:v>1989</c:v>
                </c:pt>
                <c:pt idx="120">
                  <c:v>1990</c:v>
                </c:pt>
              </c:numCache>
            </c:numRef>
          </c:cat>
          <c:val>
            <c:numRef>
              <c:f>'Figure 15'!$C$10:$C$130</c:f>
              <c:numCache>
                <c:formatCode>0.00</c:formatCode>
                <c:ptCount val="121"/>
                <c:pt idx="0">
                  <c:v>17.57</c:v>
                </c:pt>
                <c:pt idx="1">
                  <c:v>20.469999000000001</c:v>
                </c:pt>
                <c:pt idx="2">
                  <c:v>21.32</c:v>
                </c:pt>
                <c:pt idx="3">
                  <c:v>20.85</c:v>
                </c:pt>
                <c:pt idx="4">
                  <c:v>21.620000999999998</c:v>
                </c:pt>
                <c:pt idx="5">
                  <c:v>21.98</c:v>
                </c:pt>
                <c:pt idx="6">
                  <c:v>22.09</c:v>
                </c:pt>
                <c:pt idx="7">
                  <c:v>22.209999</c:v>
                </c:pt>
                <c:pt idx="8">
                  <c:v>23.35</c:v>
                </c:pt>
                <c:pt idx="9">
                  <c:v>23.67</c:v>
                </c:pt>
                <c:pt idx="10">
                  <c:v>23.66</c:v>
                </c:pt>
                <c:pt idx="11">
                  <c:v>23.790001</c:v>
                </c:pt>
                <c:pt idx="12">
                  <c:v>23.870000999999998</c:v>
                </c:pt>
                <c:pt idx="13">
                  <c:v>24.33</c:v>
                </c:pt>
                <c:pt idx="14">
                  <c:v>23.26</c:v>
                </c:pt>
                <c:pt idx="15">
                  <c:v>22.52</c:v>
                </c:pt>
                <c:pt idx="16">
                  <c:v>22.639999</c:v>
                </c:pt>
                <c:pt idx="17">
                  <c:v>22.23</c:v>
                </c:pt>
                <c:pt idx="18">
                  <c:v>22.92</c:v>
                </c:pt>
                <c:pt idx="19">
                  <c:v>24.290001</c:v>
                </c:pt>
                <c:pt idx="20">
                  <c:v>24.52</c:v>
                </c:pt>
                <c:pt idx="21">
                  <c:v>24.129999000000002</c:v>
                </c:pt>
                <c:pt idx="22">
                  <c:v>22.049999</c:v>
                </c:pt>
                <c:pt idx="23">
                  <c:v>21.860001</c:v>
                </c:pt>
                <c:pt idx="24">
                  <c:v>22.219999000000001</c:v>
                </c:pt>
                <c:pt idx="25">
                  <c:v>21.24</c:v>
                </c:pt>
                <c:pt idx="26">
                  <c:v>24</c:v>
                </c:pt>
                <c:pt idx="27">
                  <c:v>24.459999</c:v>
                </c:pt>
                <c:pt idx="28">
                  <c:v>24.459999</c:v>
                </c:pt>
                <c:pt idx="29">
                  <c:v>25</c:v>
                </c:pt>
                <c:pt idx="30">
                  <c:v>24.360001</c:v>
                </c:pt>
                <c:pt idx="31">
                  <c:v>24.459999</c:v>
                </c:pt>
                <c:pt idx="32">
                  <c:v>24.620000999999998</c:v>
                </c:pt>
                <c:pt idx="33">
                  <c:v>24.68</c:v>
                </c:pt>
                <c:pt idx="34">
                  <c:v>24.99</c:v>
                </c:pt>
                <c:pt idx="35">
                  <c:v>26.290001</c:v>
                </c:pt>
                <c:pt idx="36">
                  <c:v>27.66</c:v>
                </c:pt>
                <c:pt idx="37">
                  <c:v>27.559999000000001</c:v>
                </c:pt>
                <c:pt idx="38">
                  <c:v>26.530000999999999</c:v>
                </c:pt>
                <c:pt idx="39">
                  <c:v>27.24</c:v>
                </c:pt>
                <c:pt idx="40">
                  <c:v>27.459999</c:v>
                </c:pt>
                <c:pt idx="41">
                  <c:v>28.629999000000002</c:v>
                </c:pt>
                <c:pt idx="42">
                  <c:v>29.629999000000002</c:v>
                </c:pt>
                <c:pt idx="43">
                  <c:v>29.01</c:v>
                </c:pt>
                <c:pt idx="44">
                  <c:v>17.959999</c:v>
                </c:pt>
                <c:pt idx="45">
                  <c:v>18.799999</c:v>
                </c:pt>
                <c:pt idx="46">
                  <c:v>21.809999000000001</c:v>
                </c:pt>
                <c:pt idx="47">
                  <c:v>25.950001</c:v>
                </c:pt>
                <c:pt idx="48">
                  <c:v>23.459999</c:v>
                </c:pt>
                <c:pt idx="49">
                  <c:v>22.42</c:v>
                </c:pt>
                <c:pt idx="50">
                  <c:v>21.66</c:v>
                </c:pt>
                <c:pt idx="51">
                  <c:v>15.12</c:v>
                </c:pt>
                <c:pt idx="52">
                  <c:v>16.709999</c:v>
                </c:pt>
                <c:pt idx="53">
                  <c:v>18.02</c:v>
                </c:pt>
                <c:pt idx="54">
                  <c:v>18.48</c:v>
                </c:pt>
                <c:pt idx="55">
                  <c:v>19.360001</c:v>
                </c:pt>
                <c:pt idx="56">
                  <c:v>18.379999000000002</c:v>
                </c:pt>
                <c:pt idx="57">
                  <c:v>18.93</c:v>
                </c:pt>
                <c:pt idx="58">
                  <c:v>19.149999999999999</c:v>
                </c:pt>
                <c:pt idx="59">
                  <c:v>18.75</c:v>
                </c:pt>
                <c:pt idx="60">
                  <c:v>15.97</c:v>
                </c:pt>
                <c:pt idx="61">
                  <c:v>13.77</c:v>
                </c:pt>
                <c:pt idx="62">
                  <c:v>10.34</c:v>
                </c:pt>
                <c:pt idx="63">
                  <c:v>10.72</c:v>
                </c:pt>
                <c:pt idx="64">
                  <c:v>13.48</c:v>
                </c:pt>
                <c:pt idx="65">
                  <c:v>13.11</c:v>
                </c:pt>
                <c:pt idx="66">
                  <c:v>13.53</c:v>
                </c:pt>
                <c:pt idx="67">
                  <c:v>15.39</c:v>
                </c:pt>
                <c:pt idx="68">
                  <c:v>12.96</c:v>
                </c:pt>
                <c:pt idx="69">
                  <c:v>12.97</c:v>
                </c:pt>
                <c:pt idx="70">
                  <c:v>13.89</c:v>
                </c:pt>
                <c:pt idx="71">
                  <c:v>12.68</c:v>
                </c:pt>
                <c:pt idx="72">
                  <c:v>11.76</c:v>
                </c:pt>
                <c:pt idx="73">
                  <c:v>12.55</c:v>
                </c:pt>
                <c:pt idx="74">
                  <c:v>11.94</c:v>
                </c:pt>
                <c:pt idx="75">
                  <c:v>10.14</c:v>
                </c:pt>
                <c:pt idx="76">
                  <c:v>15.05</c:v>
                </c:pt>
                <c:pt idx="77">
                  <c:v>19.82</c:v>
                </c:pt>
                <c:pt idx="78">
                  <c:v>17.139999</c:v>
                </c:pt>
                <c:pt idx="79">
                  <c:v>16.350000000000001</c:v>
                </c:pt>
              </c:numCache>
            </c:numRef>
          </c:val>
          <c:smooth val="0"/>
          <c:extLst xmlns:c16r2="http://schemas.microsoft.com/office/drawing/2015/06/chart">
            <c:ext xmlns:c16="http://schemas.microsoft.com/office/drawing/2014/chart" uri="{C3380CC4-5D6E-409C-BE32-E72D297353CC}">
              <c16:uniqueId val="{00000000-E9C9-46EF-B68B-019FA856C9BF}"/>
            </c:ext>
          </c:extLst>
        </c:ser>
        <c:ser>
          <c:idx val="1"/>
          <c:order val="1"/>
          <c:tx>
            <c:v>Penn World Table</c:v>
          </c:tx>
          <c:spPr>
            <a:ln>
              <a:solidFill>
                <a:srgbClr val="78A22F"/>
              </a:solidFill>
            </a:ln>
          </c:spPr>
          <c:marker>
            <c:symbol val="none"/>
          </c:marker>
          <c:cat>
            <c:numRef>
              <c:f>'Figure 15'!$B$10:$B$130</c:f>
              <c:numCache>
                <c:formatCode>0</c:formatCode>
                <c:ptCount val="121"/>
                <c:pt idx="0">
                  <c:v>1870</c:v>
                </c:pt>
                <c:pt idx="1">
                  <c:v>1871</c:v>
                </c:pt>
                <c:pt idx="2">
                  <c:v>1872</c:v>
                </c:pt>
                <c:pt idx="3">
                  <c:v>1873</c:v>
                </c:pt>
                <c:pt idx="4">
                  <c:v>1874</c:v>
                </c:pt>
                <c:pt idx="5">
                  <c:v>1875</c:v>
                </c:pt>
                <c:pt idx="6">
                  <c:v>1876</c:v>
                </c:pt>
                <c:pt idx="7">
                  <c:v>1877</c:v>
                </c:pt>
                <c:pt idx="8">
                  <c:v>1878</c:v>
                </c:pt>
                <c:pt idx="9">
                  <c:v>1879</c:v>
                </c:pt>
                <c:pt idx="10">
                  <c:v>1880</c:v>
                </c:pt>
                <c:pt idx="11">
                  <c:v>1881</c:v>
                </c:pt>
                <c:pt idx="12">
                  <c:v>1882</c:v>
                </c:pt>
                <c:pt idx="13">
                  <c:v>1883</c:v>
                </c:pt>
                <c:pt idx="14">
                  <c:v>1884</c:v>
                </c:pt>
                <c:pt idx="15">
                  <c:v>1885</c:v>
                </c:pt>
                <c:pt idx="16">
                  <c:v>1886</c:v>
                </c:pt>
                <c:pt idx="17">
                  <c:v>1887</c:v>
                </c:pt>
                <c:pt idx="18">
                  <c:v>1888</c:v>
                </c:pt>
                <c:pt idx="19">
                  <c:v>1889</c:v>
                </c:pt>
                <c:pt idx="20">
                  <c:v>1890</c:v>
                </c:pt>
                <c:pt idx="21">
                  <c:v>1891</c:v>
                </c:pt>
                <c:pt idx="22">
                  <c:v>1892</c:v>
                </c:pt>
                <c:pt idx="23">
                  <c:v>1893</c:v>
                </c:pt>
                <c:pt idx="24">
                  <c:v>1894</c:v>
                </c:pt>
                <c:pt idx="25">
                  <c:v>1895</c:v>
                </c:pt>
                <c:pt idx="26">
                  <c:v>1896</c:v>
                </c:pt>
                <c:pt idx="27">
                  <c:v>1897</c:v>
                </c:pt>
                <c:pt idx="28">
                  <c:v>1898</c:v>
                </c:pt>
                <c:pt idx="29">
                  <c:v>1899</c:v>
                </c:pt>
                <c:pt idx="30">
                  <c:v>1900</c:v>
                </c:pt>
                <c:pt idx="31">
                  <c:v>1901</c:v>
                </c:pt>
                <c:pt idx="32">
                  <c:v>1902</c:v>
                </c:pt>
                <c:pt idx="33">
                  <c:v>1903</c:v>
                </c:pt>
                <c:pt idx="34">
                  <c:v>1904</c:v>
                </c:pt>
                <c:pt idx="35">
                  <c:v>1905</c:v>
                </c:pt>
                <c:pt idx="36">
                  <c:v>1906</c:v>
                </c:pt>
                <c:pt idx="37">
                  <c:v>1907</c:v>
                </c:pt>
                <c:pt idx="38">
                  <c:v>1908</c:v>
                </c:pt>
                <c:pt idx="39">
                  <c:v>1909</c:v>
                </c:pt>
                <c:pt idx="40">
                  <c:v>1910</c:v>
                </c:pt>
                <c:pt idx="41">
                  <c:v>1911</c:v>
                </c:pt>
                <c:pt idx="42">
                  <c:v>1912</c:v>
                </c:pt>
                <c:pt idx="43">
                  <c:v>1913</c:v>
                </c:pt>
                <c:pt idx="44">
                  <c:v>1914</c:v>
                </c:pt>
                <c:pt idx="45">
                  <c:v>1915</c:v>
                </c:pt>
                <c:pt idx="46">
                  <c:v>1916</c:v>
                </c:pt>
                <c:pt idx="47">
                  <c:v>1917</c:v>
                </c:pt>
                <c:pt idx="48">
                  <c:v>1918</c:v>
                </c:pt>
                <c:pt idx="49">
                  <c:v>1919</c:v>
                </c:pt>
                <c:pt idx="50">
                  <c:v>1920</c:v>
                </c:pt>
                <c:pt idx="51">
                  <c:v>1921</c:v>
                </c:pt>
                <c:pt idx="52">
                  <c:v>1922</c:v>
                </c:pt>
                <c:pt idx="53">
                  <c:v>1923</c:v>
                </c:pt>
                <c:pt idx="54">
                  <c:v>1924</c:v>
                </c:pt>
                <c:pt idx="55">
                  <c:v>1925</c:v>
                </c:pt>
                <c:pt idx="56">
                  <c:v>1926</c:v>
                </c:pt>
                <c:pt idx="57">
                  <c:v>1927</c:v>
                </c:pt>
                <c:pt idx="58">
                  <c:v>1928</c:v>
                </c:pt>
                <c:pt idx="59">
                  <c:v>1929</c:v>
                </c:pt>
                <c:pt idx="60">
                  <c:v>1930</c:v>
                </c:pt>
                <c:pt idx="61">
                  <c:v>1931</c:v>
                </c:pt>
                <c:pt idx="62">
                  <c:v>1932</c:v>
                </c:pt>
                <c:pt idx="63">
                  <c:v>1933</c:v>
                </c:pt>
                <c:pt idx="64">
                  <c:v>1934</c:v>
                </c:pt>
                <c:pt idx="65">
                  <c:v>1935</c:v>
                </c:pt>
                <c:pt idx="66">
                  <c:v>1936</c:v>
                </c:pt>
                <c:pt idx="67">
                  <c:v>1937</c:v>
                </c:pt>
                <c:pt idx="68">
                  <c:v>1938</c:v>
                </c:pt>
                <c:pt idx="69">
                  <c:v>1939</c:v>
                </c:pt>
                <c:pt idx="70">
                  <c:v>1940</c:v>
                </c:pt>
                <c:pt idx="71">
                  <c:v>1941</c:v>
                </c:pt>
                <c:pt idx="72">
                  <c:v>1942</c:v>
                </c:pt>
                <c:pt idx="73">
                  <c:v>1943</c:v>
                </c:pt>
                <c:pt idx="74">
                  <c:v>1944</c:v>
                </c:pt>
                <c:pt idx="75">
                  <c:v>1945</c:v>
                </c:pt>
                <c:pt idx="76">
                  <c:v>1946</c:v>
                </c:pt>
                <c:pt idx="77">
                  <c:v>1947</c:v>
                </c:pt>
                <c:pt idx="78">
                  <c:v>1948</c:v>
                </c:pt>
                <c:pt idx="79">
                  <c:v>1949</c:v>
                </c:pt>
                <c:pt idx="80">
                  <c:v>1950</c:v>
                </c:pt>
                <c:pt idx="81">
                  <c:v>1951</c:v>
                </c:pt>
                <c:pt idx="82">
                  <c:v>1952</c:v>
                </c:pt>
                <c:pt idx="83">
                  <c:v>1953</c:v>
                </c:pt>
                <c:pt idx="84">
                  <c:v>1954</c:v>
                </c:pt>
                <c:pt idx="85">
                  <c:v>1955</c:v>
                </c:pt>
                <c:pt idx="86">
                  <c:v>1956</c:v>
                </c:pt>
                <c:pt idx="87">
                  <c:v>1957</c:v>
                </c:pt>
                <c:pt idx="88">
                  <c:v>1958</c:v>
                </c:pt>
                <c:pt idx="89">
                  <c:v>1959</c:v>
                </c:pt>
                <c:pt idx="90">
                  <c:v>1960</c:v>
                </c:pt>
                <c:pt idx="91">
                  <c:v>1961</c:v>
                </c:pt>
                <c:pt idx="92">
                  <c:v>1962</c:v>
                </c:pt>
                <c:pt idx="93">
                  <c:v>1963</c:v>
                </c:pt>
                <c:pt idx="94">
                  <c:v>1964</c:v>
                </c:pt>
                <c:pt idx="95">
                  <c:v>1965</c:v>
                </c:pt>
                <c:pt idx="96">
                  <c:v>1966</c:v>
                </c:pt>
                <c:pt idx="97">
                  <c:v>1967</c:v>
                </c:pt>
                <c:pt idx="98">
                  <c:v>1968</c:v>
                </c:pt>
                <c:pt idx="99">
                  <c:v>1969</c:v>
                </c:pt>
                <c:pt idx="100">
                  <c:v>1970</c:v>
                </c:pt>
                <c:pt idx="101">
                  <c:v>1971</c:v>
                </c:pt>
                <c:pt idx="102">
                  <c:v>1972</c:v>
                </c:pt>
                <c:pt idx="103">
                  <c:v>1973</c:v>
                </c:pt>
                <c:pt idx="104">
                  <c:v>1974</c:v>
                </c:pt>
                <c:pt idx="105">
                  <c:v>1975</c:v>
                </c:pt>
                <c:pt idx="106">
                  <c:v>1976</c:v>
                </c:pt>
                <c:pt idx="107">
                  <c:v>1977</c:v>
                </c:pt>
                <c:pt idx="108">
                  <c:v>1978</c:v>
                </c:pt>
                <c:pt idx="109">
                  <c:v>1979</c:v>
                </c:pt>
                <c:pt idx="110">
                  <c:v>1980</c:v>
                </c:pt>
                <c:pt idx="111">
                  <c:v>1981</c:v>
                </c:pt>
                <c:pt idx="112">
                  <c:v>1982</c:v>
                </c:pt>
                <c:pt idx="113">
                  <c:v>1983</c:v>
                </c:pt>
                <c:pt idx="114">
                  <c:v>1984</c:v>
                </c:pt>
                <c:pt idx="115">
                  <c:v>1985</c:v>
                </c:pt>
                <c:pt idx="116">
                  <c:v>1986</c:v>
                </c:pt>
                <c:pt idx="117">
                  <c:v>1987</c:v>
                </c:pt>
                <c:pt idx="118">
                  <c:v>1988</c:v>
                </c:pt>
                <c:pt idx="119">
                  <c:v>1989</c:v>
                </c:pt>
                <c:pt idx="120">
                  <c:v>1990</c:v>
                </c:pt>
              </c:numCache>
            </c:numRef>
          </c:cat>
          <c:val>
            <c:numRef>
              <c:f>'Figure 15'!$F$10:$F$130</c:f>
              <c:numCache>
                <c:formatCode>General</c:formatCode>
                <c:ptCount val="121"/>
                <c:pt idx="80" formatCode="0.00">
                  <c:v>19.867851000000002</c:v>
                </c:pt>
                <c:pt idx="81" formatCode="0.00">
                  <c:v>22.803799000000001</c:v>
                </c:pt>
                <c:pt idx="82" formatCode="0.00">
                  <c:v>20.092328999999999</c:v>
                </c:pt>
                <c:pt idx="83" formatCode="0.00">
                  <c:v>18.674465000000001</c:v>
                </c:pt>
                <c:pt idx="84" formatCode="0.00">
                  <c:v>19.222598999999999</c:v>
                </c:pt>
                <c:pt idx="85" formatCode="0.00">
                  <c:v>19.881781</c:v>
                </c:pt>
                <c:pt idx="86" formatCode="0.00">
                  <c:v>20.845296999999999</c:v>
                </c:pt>
                <c:pt idx="87" formatCode="0.00">
                  <c:v>21.257007999999999</c:v>
                </c:pt>
                <c:pt idx="88" formatCode="0.00">
                  <c:v>19.418913</c:v>
                </c:pt>
                <c:pt idx="89" formatCode="0.00">
                  <c:v>19.702271</c:v>
                </c:pt>
                <c:pt idx="90" formatCode="0.00">
                  <c:v>21.931723000000002</c:v>
                </c:pt>
                <c:pt idx="91" formatCode="0.00">
                  <c:v>21.599577</c:v>
                </c:pt>
                <c:pt idx="92" formatCode="0.00">
                  <c:v>21.165158999999999</c:v>
                </c:pt>
                <c:pt idx="93" formatCode="0.00">
                  <c:v>21.832260000000002</c:v>
                </c:pt>
                <c:pt idx="94" formatCode="0.00">
                  <c:v>22.020690999999999</c:v>
                </c:pt>
                <c:pt idx="95" formatCode="0.00">
                  <c:v>21.85181</c:v>
                </c:pt>
                <c:pt idx="96" formatCode="0.00">
                  <c:v>22.192221</c:v>
                </c:pt>
                <c:pt idx="97" formatCode="0.00">
                  <c:v>22.007828</c:v>
                </c:pt>
                <c:pt idx="98" formatCode="0.00">
                  <c:v>22.599610999999999</c:v>
                </c:pt>
                <c:pt idx="99" formatCode="0.00">
                  <c:v>23.240227000000001</c:v>
                </c:pt>
                <c:pt idx="100" formatCode="0.00">
                  <c:v>25.233537999999999</c:v>
                </c:pt>
                <c:pt idx="101" formatCode="0.00">
                  <c:v>25.448308999999998</c:v>
                </c:pt>
                <c:pt idx="102" formatCode="0.00">
                  <c:v>26.037748000000001</c:v>
                </c:pt>
                <c:pt idx="103" formatCode="0.00">
                  <c:v>29.158553999999999</c:v>
                </c:pt>
                <c:pt idx="104" formatCode="0.00">
                  <c:v>35.395130000000002</c:v>
                </c:pt>
                <c:pt idx="105" formatCode="0.00">
                  <c:v>33.496879999999997</c:v>
                </c:pt>
                <c:pt idx="106" formatCode="0.00">
                  <c:v>34.52169</c:v>
                </c:pt>
                <c:pt idx="107" formatCode="0.00">
                  <c:v>34.770831999999999</c:v>
                </c:pt>
                <c:pt idx="108" formatCode="0.00">
                  <c:v>33.912101999999997</c:v>
                </c:pt>
                <c:pt idx="109" formatCode="0.00">
                  <c:v>36.704262</c:v>
                </c:pt>
                <c:pt idx="110" formatCode="0.00">
                  <c:v>39.500366</c:v>
                </c:pt>
                <c:pt idx="111" formatCode="0.00">
                  <c:v>38.826172</c:v>
                </c:pt>
                <c:pt idx="112" formatCode="0.00">
                  <c:v>37.020232999999998</c:v>
                </c:pt>
                <c:pt idx="113" formatCode="0.00">
                  <c:v>35.599777000000003</c:v>
                </c:pt>
                <c:pt idx="114" formatCode="0.00">
                  <c:v>36.346966000000002</c:v>
                </c:pt>
                <c:pt idx="115" formatCode="0.00">
                  <c:v>35.428539000000001</c:v>
                </c:pt>
                <c:pt idx="116" formatCode="0.00">
                  <c:v>33.601433</c:v>
                </c:pt>
                <c:pt idx="117" formatCode="0.00">
                  <c:v>34.556255</c:v>
                </c:pt>
                <c:pt idx="118" formatCode="0.00">
                  <c:v>35.413445000000003</c:v>
                </c:pt>
                <c:pt idx="119" formatCode="0.00">
                  <c:v>36.348182999999999</c:v>
                </c:pt>
                <c:pt idx="120" formatCode="0.00">
                  <c:v>38.021610000000003</c:v>
                </c:pt>
              </c:numCache>
            </c:numRef>
          </c:val>
          <c:smooth val="0"/>
          <c:extLst xmlns:c16r2="http://schemas.microsoft.com/office/drawing/2015/06/chart">
            <c:ext xmlns:c16="http://schemas.microsoft.com/office/drawing/2014/chart" uri="{C3380CC4-5D6E-409C-BE32-E72D297353CC}">
              <c16:uniqueId val="{00000001-E9C9-46EF-B68B-019FA856C9BF}"/>
            </c:ext>
          </c:extLst>
        </c:ser>
        <c:dLbls>
          <c:showLegendKey val="0"/>
          <c:showVal val="0"/>
          <c:showCatName val="0"/>
          <c:showSerName val="0"/>
          <c:showPercent val="0"/>
          <c:showBubbleSize val="0"/>
        </c:dLbls>
        <c:smooth val="0"/>
        <c:axId val="256066368"/>
        <c:axId val="256061272"/>
      </c:lineChart>
      <c:catAx>
        <c:axId val="256066368"/>
        <c:scaling>
          <c:orientation val="minMax"/>
        </c:scaling>
        <c:delete val="0"/>
        <c:axPos val="b"/>
        <c:numFmt formatCode="0" sourceLinked="1"/>
        <c:majorTickMark val="out"/>
        <c:minorTickMark val="none"/>
        <c:tickLblPos val="nextTo"/>
        <c:spPr>
          <a:ln>
            <a:solidFill>
              <a:srgbClr val="BFBFBF"/>
            </a:solidFill>
          </a:ln>
        </c:spPr>
        <c:crossAx val="256061272"/>
        <c:crosses val="autoZero"/>
        <c:auto val="1"/>
        <c:lblAlgn val="ctr"/>
        <c:lblOffset val="100"/>
        <c:tickLblSkip val="20"/>
        <c:tickMarkSkip val="5"/>
        <c:noMultiLvlLbl val="0"/>
      </c:catAx>
      <c:valAx>
        <c:axId val="256061272"/>
        <c:scaling>
          <c:orientation val="minMax"/>
        </c:scaling>
        <c:delete val="0"/>
        <c:axPos val="l"/>
        <c:title>
          <c:tx>
            <c:rich>
              <a:bodyPr/>
              <a:lstStyle/>
              <a:p>
                <a:pPr>
                  <a:defRPr/>
                </a:pPr>
                <a:r>
                  <a:rPr lang="en-AU"/>
                  <a:t>Trade</a:t>
                </a:r>
                <a:r>
                  <a:rPr lang="en-AU" baseline="0"/>
                  <a:t> openness ratio (%)</a:t>
                </a:r>
                <a:endParaRPr lang="en-AU"/>
              </a:p>
            </c:rich>
          </c:tx>
          <c:overlay val="0"/>
        </c:title>
        <c:numFmt formatCode="0.00" sourceLinked="1"/>
        <c:majorTickMark val="out"/>
        <c:minorTickMark val="none"/>
        <c:tickLblPos val="nextTo"/>
        <c:spPr>
          <a:ln>
            <a:solidFill>
              <a:srgbClr val="BFBFBF"/>
            </a:solidFill>
          </a:ln>
        </c:spPr>
        <c:crossAx val="256066368"/>
        <c:crosses val="autoZero"/>
        <c:crossBetween val="midCat"/>
      </c:valAx>
      <c:spPr>
        <a:noFill/>
        <a:ln>
          <a:noFill/>
        </a:ln>
      </c:spPr>
    </c:plotArea>
    <c:legend>
      <c:legendPos val="b"/>
      <c:overlay val="0"/>
      <c:spPr>
        <a:ln>
          <a:noFill/>
        </a:ln>
      </c:spPr>
    </c:legend>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451C-186C-4101-9107-5509633C25C4}">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C7E9ED36.dotm</Template>
  <TotalTime>8</TotalTime>
  <Pages>46</Pages>
  <Words>13909</Words>
  <Characters>78160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Australia's long term productivity experience - Productivity Insights 2020</vt:lpstr>
    </vt:vector>
  </TitlesOfParts>
  <Company>Productivity Commission</Company>
  <LinksUpToDate>false</LinksUpToDate>
  <CharactersWithSpaces>91886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long term productivity experience - Productivity Insights 2020</dc:title>
  <dc:subject/>
  <dc:creator>Productivity Commission</dc:creator>
  <cp:keywords/>
  <dc:description/>
  <cp:lastModifiedBy>Cross, Michelle</cp:lastModifiedBy>
  <cp:revision>6</cp:revision>
  <dcterms:created xsi:type="dcterms:W3CDTF">2020-11-11T04:04:00Z</dcterms:created>
  <dcterms:modified xsi:type="dcterms:W3CDTF">2020-11-24T23:11:00Z</dcterms:modified>
</cp:coreProperties>
</file>